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276"/>
        </w:tabs>
        <w:jc w:val="both"/>
        <w:outlineLvl w:val="9"/>
        <w:rPr>
          <w:rFonts w:hint="eastAsia" w:ascii="黑体" w:hAnsi="黑体" w:eastAsia="黑体"/>
          <w:color w:val="auto"/>
          <w:sz w:val="52"/>
          <w:szCs w:val="52"/>
        </w:rPr>
      </w:pPr>
      <w:bookmarkStart w:id="82" w:name="_GoBack"/>
    </w:p>
    <w:p>
      <w:pPr>
        <w:tabs>
          <w:tab w:val="left" w:pos="1276"/>
        </w:tabs>
        <w:jc w:val="center"/>
        <w:outlineLvl w:val="9"/>
        <w:rPr>
          <w:rFonts w:hint="eastAsia" w:ascii="黑体" w:hAnsi="黑体" w:eastAsia="黑体"/>
          <w:color w:val="auto"/>
          <w:sz w:val="52"/>
          <w:szCs w:val="52"/>
        </w:rPr>
      </w:pPr>
      <w:r>
        <w:rPr>
          <w:rFonts w:hint="eastAsia" w:ascii="黑体" w:hAnsi="黑体" w:eastAsia="黑体"/>
          <w:color w:val="auto"/>
          <w:sz w:val="52"/>
          <w:szCs w:val="52"/>
        </w:rPr>
        <w:t>金堂县第一人民医院</w:t>
      </w:r>
    </w:p>
    <w:p>
      <w:pPr>
        <w:tabs>
          <w:tab w:val="left" w:pos="1050"/>
          <w:tab w:val="center" w:pos="4563"/>
        </w:tabs>
        <w:spacing w:line="360" w:lineRule="auto"/>
        <w:jc w:val="center"/>
        <w:outlineLvl w:val="9"/>
        <w:rPr>
          <w:rFonts w:hint="eastAsia" w:ascii="黑体" w:hAnsi="黑体" w:eastAsia="黑体"/>
          <w:color w:val="auto"/>
          <w:sz w:val="52"/>
          <w:szCs w:val="52"/>
          <w:lang w:val="en-US" w:eastAsia="zh-CN"/>
        </w:rPr>
      </w:pPr>
    </w:p>
    <w:p>
      <w:pPr>
        <w:tabs>
          <w:tab w:val="left" w:pos="1050"/>
          <w:tab w:val="center" w:pos="4563"/>
        </w:tabs>
        <w:spacing w:line="360" w:lineRule="auto"/>
        <w:jc w:val="center"/>
        <w:outlineLvl w:val="9"/>
        <w:rPr>
          <w:rFonts w:hint="eastAsia" w:ascii="黑体" w:hAnsi="黑体" w:eastAsia="黑体"/>
          <w:color w:val="auto"/>
          <w:sz w:val="48"/>
          <w:szCs w:val="48"/>
          <w:lang w:val="en-US" w:eastAsia="zh-CN"/>
        </w:rPr>
      </w:pPr>
      <w:r>
        <w:rPr>
          <w:rFonts w:hint="eastAsia" w:ascii="黑体" w:hAnsi="黑体" w:eastAsia="黑体"/>
          <w:color w:val="auto"/>
          <w:sz w:val="48"/>
          <w:szCs w:val="48"/>
          <w:lang w:val="en-US" w:eastAsia="zh-CN"/>
        </w:rPr>
        <w:t>智慧胸痛平台运营服务采购项目</w:t>
      </w:r>
    </w:p>
    <w:p>
      <w:pPr>
        <w:pStyle w:val="15"/>
        <w:rPr>
          <w:rFonts w:hint="eastAsia"/>
          <w:color w:val="auto"/>
          <w:lang w:val="en-US" w:eastAsia="zh-CN"/>
        </w:rPr>
      </w:pPr>
    </w:p>
    <w:p>
      <w:pPr>
        <w:tabs>
          <w:tab w:val="left" w:pos="1050"/>
          <w:tab w:val="center" w:pos="4563"/>
        </w:tabs>
        <w:spacing w:line="360" w:lineRule="auto"/>
        <w:jc w:val="center"/>
        <w:outlineLvl w:val="9"/>
        <w:rPr>
          <w:rFonts w:ascii="黑体" w:hAnsi="黑体" w:eastAsia="黑体"/>
          <w:color w:val="auto"/>
          <w:sz w:val="72"/>
          <w:szCs w:val="72"/>
        </w:rPr>
      </w:pPr>
      <w:r>
        <w:rPr>
          <w:rFonts w:hint="eastAsia" w:ascii="黑体" w:hAnsi="黑体" w:eastAsia="黑体"/>
          <w:color w:val="auto"/>
          <w:sz w:val="72"/>
          <w:szCs w:val="72"/>
        </w:rPr>
        <w:t>单一来源采购文件</w:t>
      </w:r>
    </w:p>
    <w:p>
      <w:pPr>
        <w:tabs>
          <w:tab w:val="left" w:pos="1050"/>
          <w:tab w:val="center" w:pos="4563"/>
        </w:tabs>
        <w:spacing w:line="360" w:lineRule="auto"/>
        <w:jc w:val="center"/>
        <w:outlineLvl w:val="9"/>
        <w:rPr>
          <w:rFonts w:ascii="黑体" w:hAnsi="黑体" w:eastAsia="黑体"/>
          <w:color w:val="auto"/>
          <w:sz w:val="72"/>
          <w:szCs w:val="72"/>
        </w:rPr>
      </w:pPr>
    </w:p>
    <w:p>
      <w:pPr>
        <w:jc w:val="center"/>
        <w:outlineLvl w:val="9"/>
        <w:rPr>
          <w:rFonts w:ascii="黑体" w:hAnsi="黑体" w:eastAsia="黑体"/>
          <w:color w:val="auto"/>
          <w:sz w:val="48"/>
        </w:rPr>
      </w:pPr>
    </w:p>
    <w:p>
      <w:pPr>
        <w:jc w:val="center"/>
        <w:outlineLvl w:val="9"/>
        <w:rPr>
          <w:rFonts w:ascii="黑体" w:hAnsi="黑体" w:eastAsia="黑体"/>
          <w:color w:val="auto"/>
          <w:sz w:val="48"/>
        </w:rPr>
      </w:pPr>
    </w:p>
    <w:p>
      <w:pPr>
        <w:jc w:val="center"/>
        <w:outlineLvl w:val="9"/>
        <w:rPr>
          <w:rFonts w:hint="eastAsia" w:ascii="黑体" w:hAnsi="黑体" w:eastAsia="黑体"/>
          <w:color w:val="auto"/>
          <w:sz w:val="48"/>
          <w:lang w:eastAsia="zh-CN"/>
        </w:rPr>
      </w:pPr>
      <w:r>
        <w:rPr>
          <w:rFonts w:hint="eastAsia" w:ascii="黑体" w:hAnsi="黑体" w:eastAsia="黑体"/>
          <w:color w:val="auto"/>
          <w:sz w:val="48"/>
          <w:lang w:eastAsia="zh-CN"/>
        </w:rPr>
        <w:tab/>
      </w:r>
    </w:p>
    <w:p>
      <w:pPr>
        <w:spacing w:line="360" w:lineRule="auto"/>
        <w:jc w:val="center"/>
        <w:outlineLvl w:val="9"/>
        <w:rPr>
          <w:rFonts w:hint="default" w:ascii="黑体" w:hAnsi="黑体" w:eastAsia="黑体"/>
          <w:color w:val="auto"/>
          <w:sz w:val="32"/>
          <w:szCs w:val="32"/>
          <w:lang w:val="en-US"/>
        </w:rPr>
      </w:pPr>
      <w:r>
        <w:rPr>
          <w:rFonts w:hint="eastAsia" w:ascii="黑体" w:hAnsi="黑体" w:eastAsia="黑体"/>
          <w:color w:val="auto"/>
          <w:sz w:val="32"/>
          <w:szCs w:val="32"/>
        </w:rPr>
        <w:t>项目编号：</w:t>
      </w:r>
      <w:r>
        <w:rPr>
          <w:rFonts w:hint="eastAsia" w:ascii="黑体" w:hAnsi="黑体" w:eastAsia="黑体"/>
          <w:color w:val="auto"/>
          <w:sz w:val="32"/>
          <w:szCs w:val="32"/>
          <w:lang w:eastAsia="zh-CN"/>
        </w:rPr>
        <w:t>HXJTYY-CG-202602</w:t>
      </w:r>
      <w:r>
        <w:rPr>
          <w:rFonts w:hint="eastAsia" w:ascii="黑体" w:hAnsi="黑体" w:eastAsia="黑体"/>
          <w:color w:val="auto"/>
          <w:sz w:val="32"/>
          <w:szCs w:val="32"/>
          <w:lang w:val="en-US" w:eastAsia="zh-CN"/>
        </w:rPr>
        <w:t>1</w:t>
      </w:r>
    </w:p>
    <w:p>
      <w:pPr>
        <w:spacing w:line="360" w:lineRule="auto"/>
        <w:jc w:val="center"/>
        <w:outlineLvl w:val="9"/>
        <w:rPr>
          <w:rFonts w:ascii="黑体" w:hAnsi="黑体" w:eastAsia="黑体"/>
          <w:color w:val="auto"/>
          <w:sz w:val="32"/>
          <w:szCs w:val="32"/>
        </w:rPr>
      </w:pPr>
    </w:p>
    <w:p>
      <w:pPr>
        <w:spacing w:line="360" w:lineRule="auto"/>
        <w:jc w:val="center"/>
        <w:outlineLvl w:val="9"/>
        <w:rPr>
          <w:rFonts w:hint="eastAsia" w:ascii="黑体" w:hAnsi="黑体" w:eastAsia="黑体"/>
          <w:color w:val="auto"/>
          <w:sz w:val="32"/>
          <w:szCs w:val="32"/>
        </w:rPr>
      </w:pPr>
      <w:r>
        <w:rPr>
          <w:rFonts w:hint="eastAsia" w:ascii="黑体" w:hAnsi="黑体" w:eastAsia="黑体"/>
          <w:color w:val="auto"/>
          <w:sz w:val="32"/>
          <w:szCs w:val="32"/>
        </w:rPr>
        <w:t>金堂县第一人民医院编制</w:t>
      </w:r>
    </w:p>
    <w:p>
      <w:pPr>
        <w:pStyle w:val="16"/>
        <w:jc w:val="center"/>
        <w:outlineLvl w:val="9"/>
        <w:rPr>
          <w:color w:val="auto"/>
        </w:rPr>
      </w:pPr>
    </w:p>
    <w:p>
      <w:pPr>
        <w:pStyle w:val="16"/>
        <w:jc w:val="center"/>
        <w:outlineLvl w:val="9"/>
        <w:rPr>
          <w:color w:val="auto"/>
        </w:rPr>
      </w:pPr>
    </w:p>
    <w:p>
      <w:pPr>
        <w:spacing w:line="360" w:lineRule="auto"/>
        <w:jc w:val="center"/>
        <w:outlineLvl w:val="9"/>
        <w:rPr>
          <w:rFonts w:ascii="黑体" w:hAnsi="黑体" w:eastAsia="黑体"/>
          <w:color w:val="auto"/>
          <w:sz w:val="24"/>
        </w:rPr>
      </w:pPr>
      <w:r>
        <w:rPr>
          <w:rFonts w:hint="eastAsia" w:ascii="黑体" w:hAnsi="黑体" w:eastAsia="黑体"/>
          <w:bCs/>
          <w:color w:val="auto"/>
          <w:sz w:val="32"/>
          <w:szCs w:val="32"/>
          <w:lang w:val="zh-CN"/>
        </w:rPr>
        <w:t>2026年</w:t>
      </w:r>
      <w:r>
        <w:rPr>
          <w:rFonts w:hint="eastAsia" w:ascii="黑体" w:hAnsi="黑体" w:eastAsia="黑体"/>
          <w:bCs/>
          <w:color w:val="auto"/>
          <w:sz w:val="32"/>
          <w:szCs w:val="32"/>
          <w:lang w:val="en-US" w:eastAsia="zh-CN"/>
        </w:rPr>
        <w:t>10月</w:t>
      </w:r>
    </w:p>
    <w:p>
      <w:pPr>
        <w:outlineLvl w:val="9"/>
        <w:rPr>
          <w:color w:val="auto"/>
        </w:rPr>
      </w:pPr>
    </w:p>
    <w:p>
      <w:pPr>
        <w:autoSpaceDE w:val="0"/>
        <w:autoSpaceDN w:val="0"/>
        <w:snapToGrid w:val="0"/>
        <w:spacing w:line="480" w:lineRule="auto"/>
        <w:jc w:val="center"/>
        <w:outlineLvl w:val="9"/>
        <w:rPr>
          <w:rFonts w:ascii="仿宋" w:hAnsi="仿宋" w:eastAsia="仿宋" w:cs="幼圆"/>
          <w:b/>
          <w:bCs/>
          <w:color w:val="auto"/>
          <w:spacing w:val="134"/>
          <w:sz w:val="36"/>
          <w:szCs w:val="36"/>
        </w:rPr>
      </w:pPr>
      <w:r>
        <w:rPr>
          <w:rFonts w:ascii="仿宋" w:hAnsi="仿宋" w:eastAsia="仿宋" w:cs="幼圆"/>
          <w:b/>
          <w:bCs/>
          <w:color w:val="auto"/>
          <w:spacing w:val="134"/>
          <w:sz w:val="36"/>
          <w:szCs w:val="36"/>
        </w:rPr>
        <w:br w:type="page"/>
      </w:r>
      <w:bookmarkStart w:id="0" w:name="_Toc417906796"/>
    </w:p>
    <w:sdt>
      <w:sdtPr>
        <w:rPr>
          <w:rFonts w:hint="eastAsia" w:asciiTheme="minorHAnsi" w:hAnsiTheme="minorHAnsi" w:eastAsiaTheme="minorEastAsia" w:cstheme="minorBidi"/>
          <w:b/>
          <w:color w:val="auto"/>
          <w:kern w:val="0"/>
          <w:sz w:val="36"/>
          <w:lang w:val="en-US" w:eastAsia="zh-CN"/>
        </w:rPr>
        <w:id w:val="147473361"/>
        <w15:color w:val="DBDBDB"/>
        <w:docPartObj>
          <w:docPartGallery w:val="Table of Contents"/>
          <w:docPartUnique/>
        </w:docPartObj>
      </w:sdtPr>
      <w:sdtEndPr>
        <w:rPr>
          <w:rFonts w:hint="eastAsia" w:ascii="宋体" w:hAnsi="宋体" w:eastAsia="宋体" w:cs="Times New Roman"/>
          <w:b/>
          <w:bCs/>
          <w:color w:val="auto"/>
          <w:kern w:val="2"/>
          <w:sz w:val="32"/>
          <w:szCs w:val="28"/>
          <w:lang w:val="en-US" w:eastAsia="zh-CN" w:bidi="ar-SA"/>
        </w:rPr>
      </w:sdtEndPr>
      <w:sdtContent>
        <w:p>
          <w:pPr>
            <w:spacing w:before="0" w:beforeLines="0" w:after="0" w:afterLines="0" w:line="240" w:lineRule="auto"/>
            <w:ind w:left="0" w:leftChars="0" w:right="0" w:rightChars="0" w:firstLine="0" w:firstLineChars="0"/>
            <w:jc w:val="center"/>
            <w:outlineLvl w:val="9"/>
            <w:rPr>
              <w:rFonts w:hint="eastAsia" w:asciiTheme="minorHAnsi" w:hAnsiTheme="minorHAnsi" w:eastAsiaTheme="minorEastAsia" w:cstheme="minorBidi"/>
              <w:b/>
              <w:color w:val="auto"/>
              <w:kern w:val="0"/>
              <w:sz w:val="36"/>
              <w:lang w:val="en-US" w:eastAsia="zh-CN"/>
            </w:rPr>
          </w:pPr>
          <w:r>
            <w:rPr>
              <w:rFonts w:hint="eastAsia" w:asciiTheme="minorHAnsi" w:hAnsiTheme="minorHAnsi" w:eastAsiaTheme="minorEastAsia" w:cstheme="minorBidi"/>
              <w:b/>
              <w:color w:val="auto"/>
              <w:kern w:val="0"/>
              <w:sz w:val="36"/>
              <w:lang w:val="en-US" w:eastAsia="zh-CN"/>
            </w:rPr>
            <w:t>目录</w:t>
          </w:r>
        </w:p>
        <w:p>
          <w:pPr>
            <w:pStyle w:val="24"/>
            <w:tabs>
              <w:tab w:val="right" w:leader="dot" w:pos="8307"/>
            </w:tabs>
            <w:rPr>
              <w:color w:val="auto"/>
            </w:rPr>
          </w:pPr>
          <w:r>
            <w:rPr>
              <w:color w:val="auto"/>
            </w:rPr>
            <w:fldChar w:fldCharType="begin"/>
          </w:r>
          <w:r>
            <w:rPr>
              <w:color w:val="auto"/>
            </w:rPr>
            <w:instrText xml:space="preserve">TOC \o "1-1" \h \u </w:instrText>
          </w:r>
          <w:r>
            <w:rPr>
              <w:color w:val="auto"/>
            </w:rPr>
            <w:fldChar w:fldCharType="separate"/>
          </w:r>
          <w:r>
            <w:rPr>
              <w:color w:val="auto"/>
            </w:rPr>
            <w:fldChar w:fldCharType="begin"/>
          </w:r>
          <w:r>
            <w:rPr>
              <w:color w:val="auto"/>
            </w:rPr>
            <w:instrText xml:space="preserve"> HYPERLINK \l _Toc13387 </w:instrText>
          </w:r>
          <w:r>
            <w:rPr>
              <w:color w:val="auto"/>
            </w:rPr>
            <w:fldChar w:fldCharType="separate"/>
          </w:r>
          <w:r>
            <w:rPr>
              <w:rFonts w:hint="eastAsia" w:asciiTheme="minorHAnsi" w:hAnsiTheme="minorHAnsi" w:eastAsiaTheme="minorEastAsia" w:cstheme="minorBidi"/>
              <w:color w:val="auto"/>
              <w:kern w:val="0"/>
              <w:lang w:val="en-US" w:eastAsia="zh-CN"/>
            </w:rPr>
            <w:t>第一章 协商邀请</w:t>
          </w:r>
          <w:r>
            <w:rPr>
              <w:color w:val="auto"/>
            </w:rPr>
            <w:tab/>
          </w:r>
          <w:r>
            <w:rPr>
              <w:color w:val="auto"/>
            </w:rPr>
            <w:fldChar w:fldCharType="begin"/>
          </w:r>
          <w:r>
            <w:rPr>
              <w:color w:val="auto"/>
            </w:rPr>
            <w:instrText xml:space="preserve"> PAGEREF _Toc13387 \h </w:instrText>
          </w:r>
          <w:r>
            <w:rPr>
              <w:color w:val="auto"/>
            </w:rPr>
            <w:fldChar w:fldCharType="separate"/>
          </w:r>
          <w:r>
            <w:rPr>
              <w:color w:val="auto"/>
            </w:rPr>
            <w:t>3</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_Toc23624 </w:instrText>
          </w:r>
          <w:r>
            <w:rPr>
              <w:color w:val="auto"/>
            </w:rPr>
            <w:fldChar w:fldCharType="separate"/>
          </w:r>
          <w:r>
            <w:rPr>
              <w:rFonts w:hint="eastAsia" w:asciiTheme="minorHAnsi" w:hAnsiTheme="minorHAnsi" w:eastAsiaTheme="minorEastAsia" w:cstheme="minorBidi"/>
              <w:color w:val="auto"/>
              <w:kern w:val="0"/>
              <w:lang w:val="en-US" w:eastAsia="zh-CN"/>
            </w:rPr>
            <w:t>第二章 资质证明材料</w:t>
          </w:r>
          <w:r>
            <w:rPr>
              <w:color w:val="auto"/>
            </w:rPr>
            <w:tab/>
          </w:r>
          <w:r>
            <w:rPr>
              <w:color w:val="auto"/>
            </w:rPr>
            <w:fldChar w:fldCharType="begin"/>
          </w:r>
          <w:r>
            <w:rPr>
              <w:color w:val="auto"/>
            </w:rPr>
            <w:instrText xml:space="preserve"> PAGEREF _Toc23624 \h </w:instrText>
          </w:r>
          <w:r>
            <w:rPr>
              <w:color w:val="auto"/>
            </w:rPr>
            <w:fldChar w:fldCharType="separate"/>
          </w:r>
          <w:r>
            <w:rPr>
              <w:color w:val="auto"/>
            </w:rPr>
            <w:t>5</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_Toc21990 </w:instrText>
          </w:r>
          <w:r>
            <w:rPr>
              <w:color w:val="auto"/>
            </w:rPr>
            <w:fldChar w:fldCharType="separate"/>
          </w:r>
          <w:r>
            <w:rPr>
              <w:rFonts w:hint="eastAsia" w:asciiTheme="minorHAnsi" w:hAnsiTheme="minorHAnsi" w:eastAsiaTheme="minorEastAsia" w:cstheme="minorBidi"/>
              <w:bCs w:val="0"/>
              <w:color w:val="auto"/>
              <w:kern w:val="0"/>
              <w:szCs w:val="20"/>
              <w:lang w:val="en-US" w:eastAsia="zh-CN" w:bidi="ar-SA"/>
            </w:rPr>
            <w:t>第三章 采购要求</w:t>
          </w:r>
          <w:r>
            <w:rPr>
              <w:color w:val="auto"/>
            </w:rPr>
            <w:tab/>
          </w:r>
          <w:r>
            <w:rPr>
              <w:color w:val="auto"/>
            </w:rPr>
            <w:fldChar w:fldCharType="begin"/>
          </w:r>
          <w:r>
            <w:rPr>
              <w:color w:val="auto"/>
            </w:rPr>
            <w:instrText xml:space="preserve"> PAGEREF _Toc21990 \h </w:instrText>
          </w:r>
          <w:r>
            <w:rPr>
              <w:color w:val="auto"/>
            </w:rPr>
            <w:fldChar w:fldCharType="separate"/>
          </w:r>
          <w:r>
            <w:rPr>
              <w:color w:val="auto"/>
            </w:rPr>
            <w:t>7</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_Toc25021 </w:instrText>
          </w:r>
          <w:r>
            <w:rPr>
              <w:color w:val="auto"/>
            </w:rPr>
            <w:fldChar w:fldCharType="separate"/>
          </w:r>
          <w:r>
            <w:rPr>
              <w:rFonts w:hint="eastAsia" w:asciiTheme="minorHAnsi" w:hAnsiTheme="minorHAnsi" w:eastAsiaTheme="minorEastAsia" w:cstheme="minorBidi"/>
              <w:bCs w:val="0"/>
              <w:color w:val="auto"/>
              <w:kern w:val="0"/>
              <w:szCs w:val="20"/>
              <w:lang w:val="en-US" w:eastAsia="zh-CN" w:bidi="ar-SA"/>
            </w:rPr>
            <w:t>第四章 响应文件格式</w:t>
          </w:r>
          <w:r>
            <w:rPr>
              <w:color w:val="auto"/>
            </w:rPr>
            <w:tab/>
          </w:r>
          <w:r>
            <w:rPr>
              <w:color w:val="auto"/>
            </w:rPr>
            <w:fldChar w:fldCharType="begin"/>
          </w:r>
          <w:r>
            <w:rPr>
              <w:color w:val="auto"/>
            </w:rPr>
            <w:instrText xml:space="preserve"> PAGEREF _Toc25021 \h </w:instrText>
          </w:r>
          <w:r>
            <w:rPr>
              <w:color w:val="auto"/>
            </w:rPr>
            <w:fldChar w:fldCharType="separate"/>
          </w:r>
          <w:r>
            <w:rPr>
              <w:color w:val="auto"/>
            </w:rPr>
            <w:t>9</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_Toc11217 </w:instrText>
          </w:r>
          <w:r>
            <w:rPr>
              <w:color w:val="auto"/>
            </w:rPr>
            <w:fldChar w:fldCharType="separate"/>
          </w:r>
          <w:r>
            <w:rPr>
              <w:rFonts w:hint="eastAsia"/>
              <w:color w:val="auto"/>
              <w:lang w:val="en-US" w:eastAsia="zh-CN"/>
            </w:rPr>
            <w:t xml:space="preserve">第五章 </w:t>
          </w:r>
          <w:r>
            <w:rPr>
              <w:color w:val="auto"/>
            </w:rPr>
            <w:t>协商办法</w:t>
          </w:r>
          <w:r>
            <w:rPr>
              <w:color w:val="auto"/>
            </w:rPr>
            <w:tab/>
          </w:r>
          <w:r>
            <w:rPr>
              <w:color w:val="auto"/>
            </w:rPr>
            <w:fldChar w:fldCharType="begin"/>
          </w:r>
          <w:r>
            <w:rPr>
              <w:color w:val="auto"/>
            </w:rPr>
            <w:instrText xml:space="preserve"> PAGEREF _Toc11217 \h </w:instrText>
          </w:r>
          <w:r>
            <w:rPr>
              <w:color w:val="auto"/>
            </w:rPr>
            <w:fldChar w:fldCharType="separate"/>
          </w:r>
          <w:r>
            <w:rPr>
              <w:color w:val="auto"/>
            </w:rPr>
            <w:t>23</w:t>
          </w:r>
          <w:r>
            <w:rPr>
              <w:color w:val="auto"/>
            </w:rPr>
            <w:fldChar w:fldCharType="end"/>
          </w:r>
          <w:r>
            <w:rPr>
              <w:color w:val="auto"/>
            </w:rPr>
            <w:fldChar w:fldCharType="end"/>
          </w:r>
        </w:p>
        <w:p>
          <w:pPr>
            <w:pStyle w:val="24"/>
            <w:tabs>
              <w:tab w:val="right" w:leader="dot" w:pos="8307"/>
            </w:tabs>
            <w:rPr>
              <w:color w:val="auto"/>
            </w:rPr>
          </w:pPr>
          <w:r>
            <w:rPr>
              <w:color w:val="auto"/>
            </w:rPr>
            <w:fldChar w:fldCharType="begin"/>
          </w:r>
          <w:r>
            <w:rPr>
              <w:color w:val="auto"/>
            </w:rPr>
            <w:instrText xml:space="preserve"> HYPERLINK \l _Toc15801 </w:instrText>
          </w:r>
          <w:r>
            <w:rPr>
              <w:color w:val="auto"/>
            </w:rPr>
            <w:fldChar w:fldCharType="separate"/>
          </w:r>
          <w:r>
            <w:rPr>
              <w:rFonts w:hint="eastAsia" w:asciiTheme="minorHAnsi" w:hAnsiTheme="minorHAnsi" w:eastAsiaTheme="minorEastAsia" w:cstheme="minorBidi"/>
              <w:bCs w:val="0"/>
              <w:color w:val="auto"/>
              <w:kern w:val="0"/>
              <w:szCs w:val="20"/>
              <w:lang w:val="en-US" w:eastAsia="zh-CN" w:bidi="ar-SA"/>
            </w:rPr>
            <w:t>第六章 合同主要条款（草案）</w:t>
          </w:r>
          <w:r>
            <w:rPr>
              <w:color w:val="auto"/>
            </w:rPr>
            <w:tab/>
          </w:r>
          <w:r>
            <w:rPr>
              <w:color w:val="auto"/>
            </w:rPr>
            <w:fldChar w:fldCharType="begin"/>
          </w:r>
          <w:r>
            <w:rPr>
              <w:color w:val="auto"/>
            </w:rPr>
            <w:instrText xml:space="preserve"> PAGEREF _Toc15801 \h </w:instrText>
          </w:r>
          <w:r>
            <w:rPr>
              <w:color w:val="auto"/>
            </w:rPr>
            <w:fldChar w:fldCharType="separate"/>
          </w:r>
          <w:r>
            <w:rPr>
              <w:color w:val="auto"/>
            </w:rPr>
            <w:t>27</w:t>
          </w:r>
          <w:r>
            <w:rPr>
              <w:color w:val="auto"/>
            </w:rPr>
            <w:fldChar w:fldCharType="end"/>
          </w:r>
          <w:r>
            <w:rPr>
              <w:color w:val="auto"/>
            </w:rPr>
            <w:fldChar w:fldCharType="end"/>
          </w:r>
        </w:p>
        <w:p>
          <w:pPr>
            <w:outlineLvl w:val="9"/>
            <w:rPr>
              <w:color w:val="auto"/>
            </w:rPr>
            <w:sectPr>
              <w:headerReference r:id="rId3" w:type="first"/>
              <w:footerReference r:id="rId5" w:type="first"/>
              <w:footerReference r:id="rId4" w:type="default"/>
              <w:pgSz w:w="11907" w:h="16839"/>
              <w:pgMar w:top="1440" w:right="1800" w:bottom="1440" w:left="1800" w:header="851" w:footer="992" w:gutter="0"/>
              <w:cols w:space="720" w:num="1"/>
              <w:titlePg/>
              <w:docGrid w:type="lines" w:linePitch="312" w:charSpace="0"/>
            </w:sectPr>
          </w:pPr>
          <w:r>
            <w:rPr>
              <w:color w:val="auto"/>
            </w:rPr>
            <w:fldChar w:fldCharType="end"/>
          </w:r>
        </w:p>
      </w:sdtContent>
    </w:sdt>
    <w:p>
      <w:pPr>
        <w:outlineLvl w:val="9"/>
        <w:rPr>
          <w:color w:val="auto"/>
        </w:rPr>
      </w:pPr>
    </w:p>
    <w:p>
      <w:pPr>
        <w:spacing w:before="0" w:beforeLines="0" w:after="0" w:afterLines="0" w:line="240" w:lineRule="auto"/>
        <w:ind w:left="0" w:leftChars="0" w:right="0" w:rightChars="0" w:firstLine="0" w:firstLineChars="0"/>
        <w:jc w:val="center"/>
        <w:outlineLvl w:val="0"/>
        <w:rPr>
          <w:rFonts w:hint="eastAsia" w:asciiTheme="minorHAnsi" w:hAnsiTheme="minorHAnsi" w:eastAsiaTheme="minorEastAsia" w:cstheme="minorBidi"/>
          <w:b/>
          <w:color w:val="auto"/>
          <w:kern w:val="0"/>
          <w:sz w:val="36"/>
          <w:lang w:val="en-US" w:eastAsia="zh-CN"/>
        </w:rPr>
      </w:pPr>
      <w:bookmarkStart w:id="1" w:name="_Toc13387"/>
      <w:r>
        <w:rPr>
          <w:rFonts w:hint="eastAsia" w:asciiTheme="minorHAnsi" w:hAnsiTheme="minorHAnsi" w:eastAsiaTheme="minorEastAsia" w:cstheme="minorBidi"/>
          <w:b/>
          <w:color w:val="auto"/>
          <w:kern w:val="0"/>
          <w:sz w:val="36"/>
          <w:lang w:val="en-US" w:eastAsia="zh-CN"/>
        </w:rPr>
        <w:t>第一章 协商邀请</w:t>
      </w:r>
      <w:bookmarkEnd w:id="0"/>
      <w:bookmarkEnd w:id="1"/>
    </w:p>
    <w:p>
      <w:pPr>
        <w:tabs>
          <w:tab w:val="left" w:pos="1050"/>
          <w:tab w:val="center" w:pos="4563"/>
        </w:tabs>
        <w:spacing w:line="400" w:lineRule="exact"/>
        <w:ind w:firstLine="480" w:firstLineChars="200"/>
        <w:outlineLvl w:val="9"/>
        <w:rPr>
          <w:rFonts w:ascii="仿宋" w:hAnsi="仿宋" w:eastAsia="仿宋"/>
          <w:color w:val="auto"/>
          <w:sz w:val="24"/>
          <w:szCs w:val="24"/>
        </w:rPr>
      </w:pPr>
      <w:bookmarkStart w:id="2" w:name="PO_默认文件内容_1"/>
      <w:r>
        <w:rPr>
          <w:rFonts w:hint="eastAsia" w:ascii="仿宋" w:hAnsi="仿宋" w:eastAsia="仿宋"/>
          <w:color w:val="auto"/>
          <w:sz w:val="24"/>
          <w:szCs w:val="24"/>
          <w:u w:val="single"/>
        </w:rPr>
        <w:t>金堂县第一人民医院</w:t>
      </w:r>
      <w:r>
        <w:rPr>
          <w:rFonts w:hint="eastAsia" w:ascii="仿宋" w:hAnsi="仿宋" w:eastAsia="仿宋"/>
          <w:color w:val="auto"/>
          <w:sz w:val="24"/>
          <w:szCs w:val="24"/>
          <w:u w:val="single"/>
          <w:lang w:eastAsia="zh-CN"/>
        </w:rPr>
        <w:t>智慧胸痛平台运营服务采购项目</w:t>
      </w:r>
      <w:r>
        <w:rPr>
          <w:rFonts w:hint="eastAsia" w:ascii="仿宋" w:hAnsi="仿宋" w:eastAsia="仿宋"/>
          <w:color w:val="auto"/>
          <w:sz w:val="24"/>
          <w:szCs w:val="24"/>
        </w:rPr>
        <w:t>采用单一来源方式采购</w:t>
      </w:r>
      <w:r>
        <w:rPr>
          <w:rFonts w:hint="eastAsia" w:ascii="仿宋" w:hAnsi="仿宋" w:eastAsia="仿宋"/>
          <w:color w:val="auto"/>
          <w:sz w:val="24"/>
          <w:szCs w:val="24"/>
          <w:lang w:eastAsia="zh-CN"/>
        </w:rPr>
        <w:t>，</w:t>
      </w:r>
      <w:r>
        <w:rPr>
          <w:rFonts w:hint="eastAsia" w:ascii="仿宋" w:hAnsi="仿宋" w:eastAsia="仿宋"/>
          <w:color w:val="auto"/>
          <w:sz w:val="24"/>
          <w:szCs w:val="24"/>
        </w:rPr>
        <w:t>现诚邀贵公司参加本项目的</w:t>
      </w:r>
      <w:r>
        <w:rPr>
          <w:rFonts w:hint="eastAsia" w:ascii="仿宋" w:hAnsi="仿宋" w:eastAsia="仿宋"/>
          <w:color w:val="auto"/>
          <w:sz w:val="24"/>
          <w:szCs w:val="24"/>
          <w:lang w:val="en-US" w:eastAsia="zh-CN"/>
        </w:rPr>
        <w:t>协商</w:t>
      </w:r>
      <w:r>
        <w:rPr>
          <w:rFonts w:hint="eastAsia" w:ascii="仿宋" w:hAnsi="仿宋" w:eastAsia="仿宋"/>
          <w:color w:val="auto"/>
          <w:sz w:val="24"/>
          <w:szCs w:val="24"/>
        </w:rPr>
        <w:t>。</w:t>
      </w:r>
      <w:bookmarkEnd w:id="2"/>
    </w:p>
    <w:p>
      <w:pPr>
        <w:widowControl/>
        <w:numPr>
          <w:ilvl w:val="0"/>
          <w:numId w:val="2"/>
        </w:numPr>
        <w:spacing w:line="360" w:lineRule="auto"/>
        <w:ind w:firstLine="482" w:firstLineChars="200"/>
        <w:outlineLvl w:val="9"/>
        <w:rPr>
          <w:rFonts w:ascii="仿宋" w:hAnsi="仿宋" w:eastAsia="仿宋"/>
          <w:color w:val="auto"/>
          <w:sz w:val="24"/>
          <w:szCs w:val="24"/>
        </w:rPr>
      </w:pPr>
      <w:r>
        <w:rPr>
          <w:rFonts w:hint="eastAsia" w:ascii="仿宋" w:hAnsi="仿宋" w:eastAsia="仿宋"/>
          <w:b/>
          <w:color w:val="auto"/>
          <w:sz w:val="24"/>
          <w:szCs w:val="24"/>
          <w:lang w:val="en-US" w:eastAsia="zh-CN"/>
        </w:rPr>
        <w:t>项目</w:t>
      </w:r>
      <w:r>
        <w:rPr>
          <w:rFonts w:ascii="仿宋" w:hAnsi="仿宋" w:eastAsia="仿宋"/>
          <w:b/>
          <w:color w:val="auto"/>
          <w:sz w:val="24"/>
          <w:szCs w:val="24"/>
        </w:rPr>
        <w:t>编号：</w:t>
      </w:r>
      <w:r>
        <w:rPr>
          <w:rFonts w:hint="eastAsia" w:ascii="仿宋" w:hAnsi="仿宋" w:eastAsia="仿宋"/>
          <w:color w:val="auto"/>
          <w:sz w:val="24"/>
          <w:szCs w:val="24"/>
          <w:lang w:eastAsia="zh-CN"/>
        </w:rPr>
        <w:t>HXJTYY-CG-202602</w:t>
      </w:r>
      <w:r>
        <w:rPr>
          <w:rFonts w:hint="eastAsia" w:ascii="仿宋" w:hAnsi="仿宋" w:eastAsia="仿宋"/>
          <w:color w:val="auto"/>
          <w:sz w:val="24"/>
          <w:szCs w:val="24"/>
          <w:lang w:val="en-US" w:eastAsia="zh-CN"/>
        </w:rPr>
        <w:t>1</w:t>
      </w:r>
      <w:r>
        <w:rPr>
          <w:rFonts w:ascii="仿宋" w:hAnsi="仿宋" w:eastAsia="仿宋"/>
          <w:color w:val="auto"/>
          <w:sz w:val="24"/>
          <w:szCs w:val="24"/>
        </w:rPr>
        <w:t xml:space="preserve"> </w:t>
      </w:r>
    </w:p>
    <w:p>
      <w:pPr>
        <w:widowControl/>
        <w:spacing w:line="360" w:lineRule="auto"/>
        <w:ind w:firstLine="482" w:firstLineChars="200"/>
        <w:outlineLvl w:val="9"/>
        <w:rPr>
          <w:rFonts w:hint="eastAsia" w:ascii="仿宋" w:hAnsi="仿宋" w:eastAsia="仿宋"/>
          <w:color w:val="auto"/>
          <w:sz w:val="24"/>
          <w:szCs w:val="24"/>
          <w:lang w:eastAsia="zh-CN"/>
        </w:rPr>
      </w:pPr>
      <w:r>
        <w:rPr>
          <w:rFonts w:ascii="仿宋" w:hAnsi="仿宋" w:eastAsia="仿宋"/>
          <w:b/>
          <w:color w:val="auto"/>
          <w:sz w:val="24"/>
          <w:szCs w:val="24"/>
        </w:rPr>
        <w:t>二、</w:t>
      </w:r>
      <w:r>
        <w:rPr>
          <w:rFonts w:hint="eastAsia" w:ascii="仿宋" w:hAnsi="仿宋" w:eastAsia="仿宋"/>
          <w:b/>
          <w:color w:val="auto"/>
          <w:sz w:val="24"/>
          <w:szCs w:val="24"/>
          <w:lang w:val="en-US" w:eastAsia="zh-CN"/>
        </w:rPr>
        <w:t>项目</w:t>
      </w:r>
      <w:r>
        <w:rPr>
          <w:rFonts w:ascii="仿宋" w:hAnsi="仿宋" w:eastAsia="仿宋"/>
          <w:b/>
          <w:color w:val="auto"/>
          <w:sz w:val="24"/>
          <w:szCs w:val="24"/>
        </w:rPr>
        <w:t>名称：</w:t>
      </w:r>
      <w:r>
        <w:rPr>
          <w:rFonts w:hint="eastAsia" w:ascii="仿宋" w:hAnsi="仿宋" w:eastAsia="仿宋"/>
          <w:b/>
          <w:color w:val="auto"/>
          <w:sz w:val="24"/>
          <w:szCs w:val="24"/>
        </w:rPr>
        <w:t>金堂县第一人民医院</w:t>
      </w:r>
      <w:r>
        <w:rPr>
          <w:rFonts w:hint="eastAsia" w:ascii="仿宋" w:hAnsi="仿宋" w:eastAsia="仿宋"/>
          <w:b/>
          <w:color w:val="auto"/>
          <w:sz w:val="24"/>
          <w:szCs w:val="24"/>
          <w:lang w:eastAsia="zh-CN"/>
        </w:rPr>
        <w:t>智慧胸痛平台运营服务采购项目</w:t>
      </w:r>
    </w:p>
    <w:p>
      <w:pPr>
        <w:widowControl/>
        <w:spacing w:line="360" w:lineRule="auto"/>
        <w:ind w:firstLine="482" w:firstLineChars="200"/>
        <w:outlineLvl w:val="9"/>
        <w:rPr>
          <w:rFonts w:hint="eastAsia" w:ascii="仿宋" w:hAnsi="仿宋" w:eastAsia="仿宋"/>
          <w:b/>
          <w:color w:val="auto"/>
          <w:sz w:val="24"/>
          <w:szCs w:val="24"/>
          <w:lang w:val="en-US" w:eastAsia="zh-CN"/>
        </w:rPr>
      </w:pPr>
      <w:r>
        <w:rPr>
          <w:rFonts w:ascii="仿宋" w:hAnsi="仿宋" w:eastAsia="仿宋"/>
          <w:b/>
          <w:color w:val="auto"/>
          <w:sz w:val="24"/>
          <w:szCs w:val="24"/>
        </w:rPr>
        <w:t>三、</w:t>
      </w:r>
      <w:r>
        <w:rPr>
          <w:rFonts w:hint="eastAsia" w:ascii="仿宋" w:hAnsi="仿宋" w:eastAsia="仿宋"/>
          <w:b/>
          <w:color w:val="auto"/>
          <w:sz w:val="24"/>
          <w:szCs w:val="24"/>
        </w:rPr>
        <w:t>采购</w:t>
      </w:r>
      <w:r>
        <w:rPr>
          <w:rFonts w:ascii="仿宋" w:hAnsi="仿宋" w:eastAsia="仿宋"/>
          <w:b/>
          <w:color w:val="auto"/>
          <w:sz w:val="24"/>
          <w:szCs w:val="24"/>
        </w:rPr>
        <w:t>内容：</w:t>
      </w:r>
    </w:p>
    <w:p>
      <w:pPr>
        <w:spacing w:after="120" w:line="440" w:lineRule="exact"/>
        <w:ind w:firstLine="464" w:firstLineChars="200"/>
        <w:outlineLvl w:val="9"/>
        <w:rPr>
          <w:rFonts w:ascii="仿宋" w:hAnsi="仿宋" w:eastAsia="仿宋"/>
          <w:color w:val="auto"/>
          <w:spacing w:val="-4"/>
          <w:sz w:val="24"/>
        </w:rPr>
      </w:pPr>
      <w:bookmarkStart w:id="3" w:name="PO_默认文件内容_7"/>
      <w:r>
        <w:rPr>
          <w:rFonts w:hint="eastAsia" w:ascii="仿宋" w:hAnsi="仿宋" w:eastAsia="仿宋"/>
          <w:color w:val="auto"/>
          <w:spacing w:val="-4"/>
          <w:sz w:val="24"/>
        </w:rPr>
        <w:t>本项目共</w:t>
      </w:r>
      <w:r>
        <w:rPr>
          <w:rFonts w:ascii="仿宋" w:hAnsi="仿宋" w:eastAsia="仿宋"/>
          <w:color w:val="auto"/>
          <w:spacing w:val="-4"/>
          <w:sz w:val="24"/>
        </w:rPr>
        <w:t>1</w:t>
      </w:r>
      <w:r>
        <w:rPr>
          <w:rFonts w:hint="eastAsia" w:ascii="仿宋" w:hAnsi="仿宋" w:eastAsia="仿宋"/>
          <w:color w:val="auto"/>
          <w:spacing w:val="-4"/>
          <w:sz w:val="24"/>
        </w:rPr>
        <w:t>个</w:t>
      </w:r>
      <w:r>
        <w:rPr>
          <w:rFonts w:ascii="仿宋" w:hAnsi="仿宋" w:eastAsia="仿宋"/>
          <w:color w:val="auto"/>
          <w:spacing w:val="-4"/>
          <w:sz w:val="24"/>
        </w:rPr>
        <w:t>包</w:t>
      </w:r>
      <w:r>
        <w:rPr>
          <w:rFonts w:hint="eastAsia" w:ascii="仿宋" w:hAnsi="仿宋" w:eastAsia="仿宋"/>
          <w:color w:val="auto"/>
          <w:spacing w:val="-4"/>
          <w:sz w:val="24"/>
        </w:rPr>
        <w:t>，采购</w:t>
      </w:r>
      <w:r>
        <w:rPr>
          <w:rFonts w:ascii="仿宋" w:hAnsi="仿宋" w:eastAsia="仿宋"/>
          <w:color w:val="auto"/>
          <w:spacing w:val="-4"/>
          <w:sz w:val="24"/>
        </w:rPr>
        <w:t>内容如下：</w:t>
      </w:r>
    </w:p>
    <w:tbl>
      <w:tblPr>
        <w:tblStyle w:val="32"/>
        <w:tblW w:w="892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2841"/>
        <w:gridCol w:w="3086"/>
        <w:gridCol w:w="22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0" w:hRule="atLeast"/>
          <w:jc w:val="center"/>
        </w:trPr>
        <w:tc>
          <w:tcPr>
            <w:tcW w:w="696" w:type="dxa"/>
            <w:vAlign w:val="center"/>
          </w:tcPr>
          <w:p>
            <w:pPr>
              <w:jc w:val="center"/>
              <w:outlineLvl w:val="9"/>
              <w:rPr>
                <w:rFonts w:ascii="仿宋" w:hAnsi="仿宋" w:eastAsia="仿宋"/>
                <w:color w:val="auto"/>
              </w:rPr>
            </w:pPr>
            <w:r>
              <w:rPr>
                <w:rFonts w:hint="eastAsia" w:ascii="仿宋" w:hAnsi="仿宋" w:eastAsia="仿宋"/>
                <w:color w:val="auto"/>
              </w:rPr>
              <w:t>包号</w:t>
            </w:r>
          </w:p>
        </w:tc>
        <w:tc>
          <w:tcPr>
            <w:tcW w:w="2841" w:type="dxa"/>
            <w:vAlign w:val="center"/>
          </w:tcPr>
          <w:p>
            <w:pPr>
              <w:jc w:val="center"/>
              <w:outlineLvl w:val="9"/>
              <w:rPr>
                <w:rFonts w:ascii="仿宋" w:hAnsi="仿宋" w:eastAsia="仿宋"/>
                <w:color w:val="auto"/>
              </w:rPr>
            </w:pPr>
            <w:r>
              <w:rPr>
                <w:rFonts w:hint="eastAsia" w:ascii="仿宋" w:hAnsi="仿宋" w:eastAsia="仿宋"/>
                <w:color w:val="auto"/>
                <w:lang w:eastAsia="zh-CN"/>
              </w:rPr>
              <w:t>采购</w:t>
            </w:r>
            <w:r>
              <w:rPr>
                <w:rFonts w:ascii="仿宋" w:hAnsi="仿宋" w:eastAsia="仿宋"/>
                <w:color w:val="auto"/>
              </w:rPr>
              <w:t>内容</w:t>
            </w:r>
          </w:p>
        </w:tc>
        <w:tc>
          <w:tcPr>
            <w:tcW w:w="3086" w:type="dxa"/>
            <w:vAlign w:val="center"/>
          </w:tcPr>
          <w:p>
            <w:pPr>
              <w:jc w:val="center"/>
              <w:outlineLvl w:val="9"/>
              <w:rPr>
                <w:rFonts w:hint="default" w:ascii="仿宋" w:hAnsi="仿宋" w:eastAsia="仿宋"/>
                <w:color w:val="auto"/>
                <w:lang w:val="en-US" w:eastAsia="zh-CN"/>
              </w:rPr>
            </w:pPr>
            <w:r>
              <w:rPr>
                <w:rFonts w:hint="eastAsia" w:ascii="仿宋" w:hAnsi="仿宋" w:eastAsia="仿宋"/>
                <w:color w:val="auto"/>
                <w:lang w:val="en-US" w:eastAsia="zh-CN"/>
              </w:rPr>
              <w:t>采购预算</w:t>
            </w:r>
          </w:p>
        </w:tc>
        <w:tc>
          <w:tcPr>
            <w:tcW w:w="2297" w:type="dxa"/>
            <w:vAlign w:val="center"/>
          </w:tcPr>
          <w:p>
            <w:pPr>
              <w:jc w:val="center"/>
              <w:outlineLvl w:val="9"/>
              <w:rPr>
                <w:rFonts w:hint="default" w:ascii="仿宋" w:hAnsi="仿宋" w:eastAsia="仿宋"/>
                <w:color w:val="auto"/>
                <w:lang w:val="en-US" w:eastAsia="zh-CN"/>
              </w:rPr>
            </w:pPr>
            <w:r>
              <w:rPr>
                <w:rFonts w:hint="eastAsia" w:ascii="仿宋" w:hAnsi="仿宋" w:eastAsia="仿宋"/>
                <w:color w:val="auto"/>
                <w:lang w:val="en-US" w:eastAsia="zh-CN"/>
              </w:rPr>
              <w:t>最高限价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jc w:val="center"/>
        </w:trPr>
        <w:tc>
          <w:tcPr>
            <w:tcW w:w="696" w:type="dxa"/>
            <w:vAlign w:val="center"/>
          </w:tcPr>
          <w:p>
            <w:pPr>
              <w:jc w:val="center"/>
              <w:outlineLvl w:val="9"/>
              <w:rPr>
                <w:rFonts w:ascii="仿宋" w:hAnsi="仿宋" w:eastAsia="仿宋"/>
                <w:color w:val="auto"/>
              </w:rPr>
            </w:pPr>
            <w:r>
              <w:rPr>
                <w:rFonts w:hint="eastAsia" w:ascii="仿宋" w:hAnsi="仿宋" w:eastAsia="仿宋"/>
                <w:color w:val="auto"/>
              </w:rPr>
              <w:t>1</w:t>
            </w:r>
          </w:p>
        </w:tc>
        <w:tc>
          <w:tcPr>
            <w:tcW w:w="2841" w:type="dxa"/>
            <w:vAlign w:val="center"/>
          </w:tcPr>
          <w:p>
            <w:pPr>
              <w:jc w:val="center"/>
              <w:outlineLvl w:val="9"/>
              <w:rPr>
                <w:rFonts w:hint="eastAsia" w:ascii="仿宋" w:hAnsi="仿宋" w:eastAsia="仿宋"/>
                <w:color w:val="auto"/>
                <w:lang w:val="en-US" w:eastAsia="zh-CN"/>
              </w:rPr>
            </w:pPr>
            <w:r>
              <w:rPr>
                <w:rFonts w:hint="eastAsia" w:ascii="仿宋" w:hAnsi="仿宋" w:eastAsia="仿宋"/>
                <w:color w:val="auto"/>
                <w:lang w:val="en-US" w:eastAsia="zh-CN"/>
              </w:rPr>
              <w:t>智慧胸痛平台运营服务</w:t>
            </w:r>
          </w:p>
        </w:tc>
        <w:tc>
          <w:tcPr>
            <w:tcW w:w="3086" w:type="dxa"/>
            <w:vAlign w:val="center"/>
          </w:tcPr>
          <w:p>
            <w:pPr>
              <w:jc w:val="center"/>
              <w:outlineLvl w:val="9"/>
              <w:rPr>
                <w:rFonts w:hint="eastAsia" w:ascii="仿宋" w:hAnsi="仿宋" w:eastAsia="仿宋"/>
                <w:color w:val="auto"/>
                <w:lang w:val="en-US" w:eastAsia="zh-CN"/>
              </w:rPr>
            </w:pPr>
            <w:r>
              <w:rPr>
                <w:rFonts w:hint="eastAsia" w:ascii="仿宋" w:hAnsi="仿宋" w:eastAsia="仿宋"/>
                <w:color w:val="auto"/>
                <w:lang w:val="en-US" w:eastAsia="zh-CN"/>
              </w:rPr>
              <w:t>5万元</w:t>
            </w:r>
          </w:p>
        </w:tc>
        <w:tc>
          <w:tcPr>
            <w:tcW w:w="2297" w:type="dxa"/>
            <w:vAlign w:val="center"/>
          </w:tcPr>
          <w:p>
            <w:pPr>
              <w:jc w:val="center"/>
              <w:outlineLvl w:val="9"/>
              <w:rPr>
                <w:rFonts w:hint="eastAsia" w:ascii="仿宋" w:hAnsi="仿宋" w:eastAsia="仿宋"/>
                <w:color w:val="auto"/>
                <w:lang w:val="en-US" w:eastAsia="zh-CN"/>
              </w:rPr>
            </w:pPr>
            <w:r>
              <w:rPr>
                <w:rFonts w:hint="eastAsia" w:ascii="仿宋" w:hAnsi="仿宋" w:eastAsia="仿宋"/>
                <w:color w:val="auto"/>
                <w:lang w:val="en-US" w:eastAsia="zh-CN"/>
              </w:rPr>
              <w:t>5万元</w:t>
            </w:r>
          </w:p>
        </w:tc>
      </w:tr>
    </w:tbl>
    <w:p>
      <w:pPr>
        <w:widowControl/>
        <w:spacing w:line="360" w:lineRule="auto"/>
        <w:ind w:firstLine="464" w:firstLineChars="200"/>
        <w:outlineLvl w:val="9"/>
        <w:rPr>
          <w:rFonts w:ascii="仿宋" w:hAnsi="仿宋" w:eastAsia="仿宋"/>
          <w:color w:val="auto"/>
          <w:spacing w:val="-4"/>
          <w:sz w:val="24"/>
        </w:rPr>
      </w:pPr>
      <w:r>
        <w:rPr>
          <w:rFonts w:hint="eastAsia" w:ascii="仿宋" w:hAnsi="仿宋" w:eastAsia="仿宋"/>
          <w:color w:val="auto"/>
          <w:spacing w:val="-4"/>
          <w:sz w:val="24"/>
        </w:rPr>
        <w:t>拟定供应商：</w:t>
      </w:r>
      <w:r>
        <w:rPr>
          <w:rFonts w:ascii="仿宋" w:hAnsi="仿宋" w:eastAsia="仿宋"/>
          <w:color w:val="auto"/>
          <w:spacing w:val="-4"/>
          <w:sz w:val="24"/>
        </w:rPr>
        <w:t xml:space="preserve"> </w:t>
      </w:r>
    </w:p>
    <w:tbl>
      <w:tblPr>
        <w:tblStyle w:val="33"/>
        <w:tblW w:w="890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5"/>
        <w:gridCol w:w="2366"/>
        <w:gridCol w:w="2538"/>
        <w:gridCol w:w="3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565" w:type="dxa"/>
            <w:noWrap/>
            <w:vAlign w:val="center"/>
          </w:tcPr>
          <w:p>
            <w:pPr>
              <w:jc w:val="center"/>
              <w:outlineLvl w:val="9"/>
              <w:rPr>
                <w:rFonts w:ascii="仿宋" w:hAnsi="仿宋" w:eastAsia="仿宋"/>
                <w:color w:val="auto"/>
              </w:rPr>
            </w:pPr>
            <w:r>
              <w:rPr>
                <w:rFonts w:hint="eastAsia" w:ascii="仿宋" w:hAnsi="仿宋" w:eastAsia="仿宋"/>
                <w:color w:val="auto"/>
              </w:rPr>
              <w:t>包号</w:t>
            </w:r>
          </w:p>
        </w:tc>
        <w:tc>
          <w:tcPr>
            <w:tcW w:w="2366" w:type="dxa"/>
            <w:noWrap/>
            <w:vAlign w:val="center"/>
          </w:tcPr>
          <w:p>
            <w:pPr>
              <w:jc w:val="center"/>
              <w:outlineLvl w:val="9"/>
              <w:rPr>
                <w:rFonts w:ascii="仿宋" w:hAnsi="仿宋" w:eastAsia="仿宋"/>
                <w:color w:val="auto"/>
              </w:rPr>
            </w:pPr>
            <w:r>
              <w:rPr>
                <w:rFonts w:hint="eastAsia" w:ascii="仿宋" w:hAnsi="仿宋" w:eastAsia="仿宋"/>
                <w:color w:val="auto"/>
                <w:lang w:eastAsia="zh-CN"/>
              </w:rPr>
              <w:t>采购</w:t>
            </w:r>
            <w:r>
              <w:rPr>
                <w:rFonts w:ascii="仿宋" w:hAnsi="仿宋" w:eastAsia="仿宋"/>
                <w:color w:val="auto"/>
              </w:rPr>
              <w:t>内容</w:t>
            </w:r>
          </w:p>
        </w:tc>
        <w:tc>
          <w:tcPr>
            <w:tcW w:w="2538" w:type="dxa"/>
            <w:vAlign w:val="center"/>
          </w:tcPr>
          <w:p>
            <w:pPr>
              <w:jc w:val="center"/>
              <w:outlineLvl w:val="9"/>
              <w:rPr>
                <w:rFonts w:ascii="仿宋" w:hAnsi="仿宋" w:eastAsia="仿宋"/>
                <w:color w:val="auto"/>
              </w:rPr>
            </w:pPr>
            <w:r>
              <w:rPr>
                <w:rFonts w:hint="eastAsia" w:ascii="仿宋" w:hAnsi="仿宋" w:eastAsia="仿宋"/>
                <w:color w:val="auto"/>
              </w:rPr>
              <w:t>拟定供应商</w:t>
            </w:r>
          </w:p>
        </w:tc>
        <w:tc>
          <w:tcPr>
            <w:tcW w:w="3439" w:type="dxa"/>
            <w:vAlign w:val="center"/>
          </w:tcPr>
          <w:p>
            <w:pPr>
              <w:jc w:val="center"/>
              <w:outlineLvl w:val="9"/>
              <w:rPr>
                <w:rFonts w:ascii="仿宋" w:hAnsi="仿宋" w:eastAsia="仿宋"/>
                <w:color w:val="auto"/>
              </w:rPr>
            </w:pPr>
            <w:r>
              <w:rPr>
                <w:rFonts w:hint="eastAsia" w:ascii="仿宋" w:hAnsi="仿宋" w:eastAsia="仿宋"/>
                <w:color w:val="auto"/>
              </w:rPr>
              <w:t>供应商地址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6" w:hRule="atLeast"/>
          <w:jc w:val="center"/>
        </w:trPr>
        <w:tc>
          <w:tcPr>
            <w:tcW w:w="565" w:type="dxa"/>
            <w:noWrap/>
            <w:vAlign w:val="center"/>
          </w:tcPr>
          <w:p>
            <w:pPr>
              <w:jc w:val="center"/>
              <w:outlineLvl w:val="9"/>
              <w:rPr>
                <w:rFonts w:ascii="仿宋" w:hAnsi="仿宋" w:eastAsia="仿宋"/>
                <w:color w:val="auto"/>
              </w:rPr>
            </w:pPr>
            <w:r>
              <w:rPr>
                <w:rFonts w:hint="eastAsia" w:ascii="仿宋" w:hAnsi="仿宋" w:eastAsia="仿宋"/>
                <w:color w:val="auto"/>
              </w:rPr>
              <w:t>1</w:t>
            </w:r>
          </w:p>
        </w:tc>
        <w:tc>
          <w:tcPr>
            <w:tcW w:w="2366" w:type="dxa"/>
            <w:noWrap/>
            <w:vAlign w:val="center"/>
          </w:tcPr>
          <w:p>
            <w:pPr>
              <w:jc w:val="center"/>
              <w:outlineLvl w:val="9"/>
              <w:rPr>
                <w:rFonts w:hint="eastAsia" w:ascii="仿宋" w:hAnsi="仿宋" w:eastAsia="仿宋"/>
                <w:color w:val="auto"/>
                <w:szCs w:val="22"/>
              </w:rPr>
            </w:pPr>
            <w:r>
              <w:rPr>
                <w:rFonts w:hint="eastAsia" w:ascii="仿宋" w:hAnsi="仿宋" w:eastAsia="仿宋"/>
                <w:color w:val="auto"/>
                <w:lang w:val="en-US" w:eastAsia="zh-CN"/>
              </w:rPr>
              <w:t>智慧胸痛平台运营服务</w:t>
            </w:r>
          </w:p>
        </w:tc>
        <w:tc>
          <w:tcPr>
            <w:tcW w:w="2538" w:type="dxa"/>
            <w:noWrap/>
            <w:vAlign w:val="center"/>
          </w:tcPr>
          <w:p>
            <w:pPr>
              <w:ind w:firstLine="0" w:firstLineChars="0"/>
              <w:jc w:val="center"/>
              <w:outlineLvl w:val="9"/>
              <w:rPr>
                <w:rFonts w:hint="eastAsia" w:ascii="仿宋" w:hAnsi="仿宋" w:eastAsia="仿宋" w:cs="Times New Roman"/>
                <w:color w:val="auto"/>
                <w:szCs w:val="22"/>
                <w:lang w:val="en-US" w:eastAsia="zh-CN"/>
              </w:rPr>
            </w:pPr>
            <w:r>
              <w:rPr>
                <w:rFonts w:hint="eastAsia" w:ascii="仿宋" w:hAnsi="仿宋" w:eastAsia="仿宋" w:cs="Times New Roman"/>
                <w:color w:val="auto"/>
                <w:szCs w:val="22"/>
                <w:lang w:eastAsia="zh-CN"/>
              </w:rPr>
              <w:t xml:space="preserve"> </w:t>
            </w:r>
            <w:r>
              <w:rPr>
                <w:rFonts w:hint="eastAsia" w:ascii="仿宋" w:hAnsi="仿宋" w:eastAsia="仿宋" w:cs="Times New Roman"/>
                <w:snapToGrid/>
                <w:color w:val="auto"/>
                <w:kern w:val="2"/>
                <w:sz w:val="21"/>
                <w:szCs w:val="22"/>
                <w:lang w:val="en-US" w:eastAsia="zh-CN" w:bidi="ar-SA"/>
              </w:rPr>
              <w:t>鲲仑医疗科技（苏州）有限公司</w:t>
            </w:r>
          </w:p>
        </w:tc>
        <w:tc>
          <w:tcPr>
            <w:tcW w:w="3439" w:type="dxa"/>
            <w:vAlign w:val="center"/>
          </w:tcPr>
          <w:p>
            <w:pPr>
              <w:ind w:firstLine="0" w:firstLineChars="0"/>
              <w:jc w:val="center"/>
              <w:outlineLvl w:val="9"/>
              <w:rPr>
                <w:rFonts w:hint="eastAsia" w:ascii="仿宋" w:hAnsi="仿宋" w:eastAsia="仿宋" w:cs="Times New Roman"/>
                <w:color w:val="auto"/>
                <w:szCs w:val="22"/>
                <w:lang w:val="en-US" w:eastAsia="zh-CN"/>
              </w:rPr>
            </w:pPr>
            <w:r>
              <w:rPr>
                <w:rFonts w:hint="eastAsia" w:ascii="仿宋" w:hAnsi="仿宋" w:eastAsia="仿宋"/>
                <w:color w:val="auto"/>
                <w:sz w:val="21"/>
                <w:szCs w:val="22"/>
                <w:lang w:val="en-US" w:eastAsia="zh-CN"/>
              </w:rPr>
              <w:t>苏州工业园区中新大道东999号奥体服务楼1818室</w:t>
            </w:r>
          </w:p>
        </w:tc>
      </w:tr>
      <w:bookmarkEnd w:id="3"/>
    </w:tbl>
    <w:p>
      <w:pPr>
        <w:widowControl/>
        <w:spacing w:line="360" w:lineRule="auto"/>
        <w:ind w:firstLine="482" w:firstLineChars="200"/>
        <w:outlineLvl w:val="9"/>
        <w:rPr>
          <w:rFonts w:ascii="仿宋" w:hAnsi="仿宋" w:eastAsia="仿宋"/>
          <w:b/>
          <w:bCs/>
          <w:color w:val="auto"/>
          <w:sz w:val="24"/>
          <w:szCs w:val="24"/>
        </w:rPr>
      </w:pPr>
      <w:r>
        <w:rPr>
          <w:rFonts w:ascii="仿宋" w:hAnsi="仿宋" w:eastAsia="仿宋"/>
          <w:b/>
          <w:color w:val="auto"/>
          <w:sz w:val="24"/>
          <w:szCs w:val="24"/>
        </w:rPr>
        <w:t>四、</w:t>
      </w:r>
      <w:r>
        <w:rPr>
          <w:rFonts w:hint="eastAsia" w:ascii="仿宋" w:hAnsi="仿宋" w:eastAsia="仿宋"/>
          <w:b/>
          <w:bCs/>
          <w:color w:val="auto"/>
          <w:sz w:val="24"/>
          <w:szCs w:val="24"/>
        </w:rPr>
        <w:t>供应商资格要求：</w:t>
      </w:r>
    </w:p>
    <w:p>
      <w:pPr>
        <w:pStyle w:val="68"/>
        <w:spacing w:line="440" w:lineRule="exact"/>
        <w:ind w:firstLine="600" w:firstLineChars="250"/>
        <w:outlineLvl w:val="9"/>
        <w:rPr>
          <w:rFonts w:ascii="仿宋" w:hAnsi="仿宋" w:eastAsia="仿宋"/>
          <w:color w:val="auto"/>
          <w:sz w:val="24"/>
        </w:rPr>
      </w:pPr>
      <w:bookmarkStart w:id="4" w:name="PO_供应商资格条件_1"/>
      <w:r>
        <w:rPr>
          <w:rFonts w:hint="eastAsia" w:ascii="仿宋" w:hAnsi="仿宋" w:eastAsia="仿宋"/>
          <w:color w:val="auto"/>
          <w:sz w:val="24"/>
        </w:rPr>
        <w:t>1.具有独立承担民事责任的能力；</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2.具有良好的商业信誉和健全的财务会计制度；</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3.具有履行合同所必须的设备和专业技术能力；</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4.具有依法缴纳税收和社会保障资金的良好记录；</w:t>
      </w:r>
    </w:p>
    <w:p>
      <w:pPr>
        <w:tabs>
          <w:tab w:val="left" w:pos="7665"/>
        </w:tabs>
        <w:spacing w:line="440" w:lineRule="exact"/>
        <w:ind w:firstLine="600" w:firstLineChars="250"/>
        <w:outlineLvl w:val="9"/>
        <w:rPr>
          <w:rFonts w:ascii="仿宋" w:hAnsi="仿宋" w:eastAsia="仿宋"/>
          <w:color w:val="auto"/>
          <w:sz w:val="24"/>
        </w:rPr>
      </w:pPr>
      <w:r>
        <w:rPr>
          <w:rFonts w:hint="eastAsia" w:ascii="仿宋" w:hAnsi="仿宋" w:eastAsia="仿宋"/>
          <w:color w:val="auto"/>
          <w:sz w:val="24"/>
        </w:rPr>
        <w:t>5.参加本次采购活动前三年内，在经营活动中没有重大违法记录；</w:t>
      </w:r>
    </w:p>
    <w:p>
      <w:pPr>
        <w:pStyle w:val="68"/>
        <w:spacing w:line="440" w:lineRule="exact"/>
        <w:ind w:firstLine="600" w:firstLineChars="250"/>
        <w:outlineLvl w:val="9"/>
        <w:rPr>
          <w:rFonts w:hint="eastAsia" w:ascii="仿宋" w:hAnsi="仿宋" w:eastAsia="仿宋"/>
          <w:color w:val="auto"/>
          <w:sz w:val="24"/>
        </w:rPr>
      </w:pPr>
      <w:r>
        <w:rPr>
          <w:rFonts w:hint="eastAsia" w:ascii="仿宋" w:hAnsi="仿宋" w:eastAsia="仿宋"/>
          <w:color w:val="auto"/>
          <w:sz w:val="24"/>
        </w:rPr>
        <w:t>6.法律、行政法规规定的其他条件；</w:t>
      </w:r>
    </w:p>
    <w:p>
      <w:pPr>
        <w:spacing w:line="400" w:lineRule="exact"/>
        <w:ind w:firstLine="482" w:firstLineChars="200"/>
        <w:rPr>
          <w:rFonts w:ascii="仿宋" w:hAnsi="仿宋" w:eastAsia="仿宋"/>
          <w:b/>
          <w:bCs/>
          <w:color w:val="auto"/>
          <w:sz w:val="24"/>
          <w:szCs w:val="24"/>
        </w:rPr>
      </w:pPr>
      <w:r>
        <w:rPr>
          <w:rFonts w:hint="eastAsia" w:ascii="仿宋" w:hAnsi="仿宋" w:eastAsia="仿宋"/>
          <w:b/>
          <w:bCs/>
          <w:color w:val="auto"/>
          <w:sz w:val="24"/>
          <w:szCs w:val="24"/>
          <w:lang w:val="en-US" w:eastAsia="zh-CN"/>
        </w:rPr>
        <w:t>五</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响应文件</w:t>
      </w:r>
      <w:r>
        <w:rPr>
          <w:rFonts w:hint="eastAsia" w:ascii="仿宋" w:hAnsi="仿宋" w:eastAsia="仿宋"/>
          <w:b/>
          <w:bCs/>
          <w:color w:val="auto"/>
          <w:sz w:val="24"/>
          <w:szCs w:val="24"/>
        </w:rPr>
        <w:t>有效期：</w:t>
      </w:r>
      <w:r>
        <w:rPr>
          <w:rFonts w:hint="eastAsia" w:ascii="仿宋" w:hAnsi="仿宋" w:eastAsia="仿宋"/>
          <w:b/>
          <w:bCs/>
          <w:color w:val="auto"/>
          <w:sz w:val="24"/>
          <w:szCs w:val="24"/>
          <w:lang w:val="en-US" w:eastAsia="zh-CN"/>
        </w:rPr>
        <w:t>120</w:t>
      </w:r>
      <w:r>
        <w:rPr>
          <w:rFonts w:hint="eastAsia" w:ascii="仿宋" w:hAnsi="仿宋" w:eastAsia="仿宋"/>
          <w:b/>
          <w:bCs/>
          <w:color w:val="auto"/>
          <w:sz w:val="24"/>
          <w:szCs w:val="24"/>
        </w:rPr>
        <w:t>天。</w:t>
      </w:r>
    </w:p>
    <w:p>
      <w:pPr>
        <w:spacing w:line="400" w:lineRule="exact"/>
        <w:ind w:firstLine="482" w:firstLineChars="200"/>
        <w:rPr>
          <w:rFonts w:hint="eastAsia" w:ascii="仿宋" w:hAnsi="仿宋" w:eastAsia="仿宋" w:cs="Times New Roman"/>
          <w:b/>
          <w:bCs/>
          <w:color w:val="auto"/>
          <w:sz w:val="24"/>
          <w:szCs w:val="24"/>
        </w:rPr>
      </w:pPr>
      <w:r>
        <w:rPr>
          <w:rFonts w:hint="eastAsia" w:ascii="仿宋" w:hAnsi="仿宋" w:eastAsia="仿宋"/>
          <w:b/>
          <w:bCs/>
          <w:color w:val="auto"/>
          <w:sz w:val="24"/>
          <w:szCs w:val="24"/>
          <w:lang w:val="en-US" w:eastAsia="zh-CN"/>
        </w:rPr>
        <w:t>六</w:t>
      </w:r>
      <w:r>
        <w:rPr>
          <w:rFonts w:hint="eastAsia" w:ascii="仿宋" w:hAnsi="仿宋" w:eastAsia="仿宋"/>
          <w:b/>
          <w:bCs/>
          <w:color w:val="auto"/>
          <w:sz w:val="24"/>
          <w:szCs w:val="24"/>
        </w:rPr>
        <w:t>、</w:t>
      </w:r>
      <w:r>
        <w:rPr>
          <w:rFonts w:hint="eastAsia" w:ascii="仿宋" w:hAnsi="仿宋" w:eastAsia="仿宋"/>
          <w:b/>
          <w:bCs/>
          <w:color w:val="auto"/>
          <w:sz w:val="24"/>
          <w:szCs w:val="24"/>
          <w:lang w:val="en-US" w:eastAsia="zh-CN"/>
        </w:rPr>
        <w:t>响应</w:t>
      </w:r>
      <w:r>
        <w:rPr>
          <w:rFonts w:hint="eastAsia" w:ascii="仿宋" w:hAnsi="仿宋" w:eastAsia="仿宋"/>
          <w:b/>
          <w:bCs/>
          <w:color w:val="auto"/>
          <w:sz w:val="24"/>
          <w:szCs w:val="24"/>
        </w:rPr>
        <w:t>文件</w:t>
      </w:r>
      <w:r>
        <w:rPr>
          <w:rFonts w:hint="eastAsia" w:ascii="仿宋" w:hAnsi="仿宋" w:eastAsia="仿宋" w:cs="Times New Roman"/>
          <w:b/>
          <w:bCs/>
          <w:color w:val="auto"/>
          <w:sz w:val="24"/>
          <w:szCs w:val="24"/>
        </w:rPr>
        <w:t>胶装方式装订成册</w:t>
      </w:r>
      <w:r>
        <w:rPr>
          <w:rFonts w:hint="eastAsia" w:ascii="仿宋" w:hAnsi="仿宋" w:eastAsia="仿宋" w:cs="Times New Roman"/>
          <w:b/>
          <w:bCs/>
          <w:color w:val="auto"/>
          <w:sz w:val="24"/>
          <w:szCs w:val="24"/>
          <w:lang w:eastAsia="zh-CN"/>
        </w:rPr>
        <w:t>，</w:t>
      </w:r>
      <w:r>
        <w:rPr>
          <w:rFonts w:hint="eastAsia" w:ascii="仿宋" w:hAnsi="仿宋" w:eastAsia="仿宋"/>
          <w:b/>
          <w:bCs/>
          <w:color w:val="auto"/>
          <w:sz w:val="24"/>
          <w:szCs w:val="24"/>
        </w:rPr>
        <w:t>正本一份，副本</w:t>
      </w:r>
      <w:r>
        <w:rPr>
          <w:rFonts w:hint="eastAsia" w:ascii="仿宋" w:hAnsi="仿宋" w:eastAsia="仿宋"/>
          <w:b/>
          <w:bCs/>
          <w:color w:val="auto"/>
          <w:sz w:val="24"/>
          <w:szCs w:val="24"/>
          <w:lang w:val="en-US" w:eastAsia="zh-CN"/>
        </w:rPr>
        <w:t>一</w:t>
      </w:r>
      <w:r>
        <w:rPr>
          <w:rFonts w:hint="eastAsia" w:ascii="仿宋" w:hAnsi="仿宋" w:eastAsia="仿宋"/>
          <w:b/>
          <w:bCs/>
          <w:color w:val="auto"/>
          <w:sz w:val="24"/>
          <w:szCs w:val="24"/>
        </w:rPr>
        <w:t>份</w:t>
      </w:r>
      <w:r>
        <w:rPr>
          <w:rFonts w:hint="eastAsia" w:ascii="仿宋" w:hAnsi="仿宋" w:eastAsia="仿宋"/>
          <w:b/>
          <w:bCs/>
          <w:color w:val="auto"/>
          <w:sz w:val="24"/>
          <w:szCs w:val="24"/>
          <w:lang w:eastAsia="zh-CN"/>
        </w:rPr>
        <w:t>，</w:t>
      </w:r>
      <w:r>
        <w:rPr>
          <w:rFonts w:hint="eastAsia" w:ascii="仿宋" w:hAnsi="仿宋" w:eastAsia="仿宋"/>
          <w:b/>
          <w:bCs/>
          <w:color w:val="auto"/>
          <w:sz w:val="24"/>
          <w:szCs w:val="24"/>
          <w:lang w:val="en-US" w:eastAsia="zh-CN"/>
        </w:rPr>
        <w:t>电子文档</w:t>
      </w:r>
      <w:r>
        <w:rPr>
          <w:rFonts w:hint="eastAsia" w:ascii="仿宋" w:hAnsi="仿宋" w:eastAsia="仿宋" w:cs="Times New Roman"/>
          <w:b/>
          <w:bCs/>
          <w:color w:val="auto"/>
          <w:sz w:val="24"/>
          <w:szCs w:val="24"/>
          <w:lang w:val="en-US" w:eastAsia="zh-CN"/>
        </w:rPr>
        <w:t>一份（电子文档应是响应</w:t>
      </w:r>
      <w:r>
        <w:rPr>
          <w:rFonts w:hint="eastAsia" w:ascii="仿宋" w:hAnsi="仿宋" w:eastAsia="仿宋" w:cs="Times New Roman"/>
          <w:b/>
          <w:bCs/>
          <w:color w:val="auto"/>
          <w:sz w:val="24"/>
          <w:szCs w:val="24"/>
        </w:rPr>
        <w:t>文件</w:t>
      </w:r>
      <w:r>
        <w:rPr>
          <w:rFonts w:hint="eastAsia" w:ascii="仿宋" w:hAnsi="仿宋" w:eastAsia="仿宋" w:cs="Times New Roman"/>
          <w:b/>
          <w:bCs/>
          <w:color w:val="auto"/>
          <w:sz w:val="24"/>
          <w:szCs w:val="24"/>
          <w:lang w:val="en-US" w:eastAsia="zh-CN"/>
        </w:rPr>
        <w:t>正本的扫描件）</w:t>
      </w:r>
      <w:r>
        <w:rPr>
          <w:rFonts w:hint="eastAsia" w:ascii="仿宋" w:hAnsi="仿宋" w:eastAsia="仿宋" w:cs="Times New Roman"/>
          <w:b/>
          <w:bCs/>
          <w:color w:val="auto"/>
          <w:sz w:val="24"/>
          <w:szCs w:val="24"/>
          <w:lang w:eastAsia="zh-CN"/>
        </w:rPr>
        <w:t>。</w:t>
      </w:r>
      <w:r>
        <w:rPr>
          <w:rFonts w:hint="eastAsia" w:ascii="仿宋" w:hAnsi="仿宋" w:eastAsia="仿宋" w:cs="Times New Roman"/>
          <w:b/>
          <w:bCs/>
          <w:color w:val="auto"/>
          <w:sz w:val="24"/>
          <w:szCs w:val="24"/>
        </w:rPr>
        <w:t xml:space="preserve">正副本可单独密封，也可一并密封。 电子文档 (U 盘) </w:t>
      </w:r>
      <w:r>
        <w:rPr>
          <w:rFonts w:hint="eastAsia" w:ascii="仿宋" w:hAnsi="仿宋" w:eastAsia="仿宋" w:cs="Times New Roman"/>
          <w:b/>
          <w:bCs/>
          <w:color w:val="auto"/>
          <w:sz w:val="24"/>
          <w:szCs w:val="24"/>
          <w:lang w:val="en-US" w:eastAsia="zh-CN"/>
        </w:rPr>
        <w:t>单独</w:t>
      </w:r>
      <w:r>
        <w:rPr>
          <w:rFonts w:hint="eastAsia" w:ascii="仿宋" w:hAnsi="仿宋" w:eastAsia="仿宋" w:cs="Times New Roman"/>
          <w:b/>
          <w:bCs/>
          <w:color w:val="auto"/>
          <w:sz w:val="24"/>
          <w:szCs w:val="24"/>
        </w:rPr>
        <w:t>密封。</w:t>
      </w:r>
      <w:bookmarkEnd w:id="4"/>
      <w:bookmarkStart w:id="5" w:name="PO_默认文件内容_2"/>
    </w:p>
    <w:p>
      <w:pPr>
        <w:spacing w:line="400" w:lineRule="exact"/>
        <w:ind w:firstLine="482" w:firstLineChars="200"/>
        <w:rPr>
          <w:rFonts w:ascii="宋体" w:hAnsi="宋体" w:eastAsia="宋体"/>
          <w:b/>
          <w:color w:val="auto"/>
          <w:sz w:val="24"/>
          <w:szCs w:val="24"/>
        </w:rPr>
      </w:pPr>
      <w:r>
        <w:rPr>
          <w:rFonts w:hint="eastAsia" w:ascii="仿宋" w:hAnsi="仿宋" w:eastAsia="仿宋"/>
          <w:b/>
          <w:bCs/>
          <w:color w:val="auto"/>
          <w:sz w:val="24"/>
          <w:szCs w:val="24"/>
          <w:lang w:val="en-US" w:eastAsia="zh-CN"/>
        </w:rPr>
        <w:t>七</w:t>
      </w:r>
      <w:r>
        <w:rPr>
          <w:rFonts w:hint="eastAsia" w:ascii="仿宋" w:hAnsi="仿宋" w:eastAsia="仿宋"/>
          <w:b/>
          <w:bCs/>
          <w:color w:val="auto"/>
          <w:sz w:val="24"/>
          <w:szCs w:val="24"/>
        </w:rPr>
        <w:t>、报名方式</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凡有意参加本项目者，请于2026年10月20日8时至2026年10月22日17时（北京时间，法定节假日除外）将报名资料以PDF扫描件的形式发送到指定邮箱（邮箱号：931845265@qq.com），（报名邮件列明公司名称+项目名称+联系人+联系电话）。</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注：1.供应商报名时应附：报名表（附件2）、单位介绍信或法人授权书原件、被授权代表身份证复印件、营业执照扫描件、盖投标单位鲜章。</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lang w:val="en-US" w:eastAsia="zh-CN"/>
        </w:rPr>
        <w:t>2.该项目采购文件（附件1）在医院官网与公告同时进行发布，不单独售卖或发送比选文件，一切以官网公告内容为准。</w:t>
      </w:r>
    </w:p>
    <w:p>
      <w:pPr>
        <w:spacing w:line="400" w:lineRule="exact"/>
        <w:ind w:firstLine="482" w:firstLineChars="200"/>
        <w:outlineLvl w:val="9"/>
        <w:rPr>
          <w:rFonts w:ascii="仿宋" w:hAnsi="仿宋" w:eastAsia="仿宋"/>
          <w:b/>
          <w:bCs/>
          <w:color w:val="auto"/>
          <w:sz w:val="24"/>
          <w:szCs w:val="24"/>
        </w:rPr>
      </w:pPr>
      <w:r>
        <w:rPr>
          <w:rFonts w:hint="eastAsia" w:ascii="仿宋" w:hAnsi="仿宋" w:eastAsia="仿宋"/>
          <w:b/>
          <w:bCs/>
          <w:color w:val="auto"/>
          <w:sz w:val="24"/>
          <w:szCs w:val="24"/>
          <w:lang w:val="en-US" w:eastAsia="zh-CN"/>
        </w:rPr>
        <w:t>八</w:t>
      </w:r>
      <w:r>
        <w:rPr>
          <w:rFonts w:hint="eastAsia" w:ascii="仿宋" w:hAnsi="仿宋" w:eastAsia="仿宋"/>
          <w:b/>
          <w:bCs/>
          <w:color w:val="auto"/>
          <w:sz w:val="24"/>
          <w:szCs w:val="24"/>
        </w:rPr>
        <w:t>、递交</w:t>
      </w:r>
      <w:r>
        <w:rPr>
          <w:rFonts w:hint="eastAsia" w:ascii="仿宋" w:hAnsi="仿宋" w:eastAsia="仿宋"/>
          <w:b/>
          <w:bCs/>
          <w:color w:val="auto"/>
          <w:sz w:val="24"/>
          <w:szCs w:val="24"/>
          <w:lang w:val="en-US" w:eastAsia="zh-CN"/>
        </w:rPr>
        <w:t>响应</w:t>
      </w:r>
      <w:r>
        <w:rPr>
          <w:rFonts w:hint="eastAsia" w:ascii="仿宋" w:hAnsi="仿宋" w:eastAsia="仿宋"/>
          <w:b/>
          <w:bCs/>
          <w:color w:val="auto"/>
          <w:sz w:val="24"/>
          <w:szCs w:val="24"/>
        </w:rPr>
        <w:t>文件截止时间地点：</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时间：</w:t>
      </w:r>
      <w:r>
        <w:rPr>
          <w:rFonts w:hint="eastAsia" w:ascii="仿宋" w:hAnsi="仿宋" w:eastAsia="仿宋"/>
          <w:color w:val="auto"/>
          <w:sz w:val="24"/>
          <w:szCs w:val="24"/>
          <w:lang w:eastAsia="zh-CN"/>
        </w:rPr>
        <w:t>2026年</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23</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下午</w:t>
      </w:r>
      <w:r>
        <w:rPr>
          <w:rFonts w:hint="eastAsia" w:ascii="仿宋" w:hAnsi="仿宋" w:eastAsia="仿宋"/>
          <w:color w:val="auto"/>
          <w:sz w:val="24"/>
          <w:szCs w:val="24"/>
        </w:rPr>
        <w:t>午</w:t>
      </w:r>
      <w:r>
        <w:rPr>
          <w:rFonts w:hint="eastAsia" w:ascii="仿宋" w:hAnsi="仿宋" w:eastAsia="仿宋"/>
          <w:color w:val="auto"/>
          <w:sz w:val="24"/>
          <w:szCs w:val="24"/>
          <w:lang w:val="en-US" w:eastAsia="zh-CN"/>
        </w:rPr>
        <w:t>14：30（</w:t>
      </w:r>
      <w:r>
        <w:rPr>
          <w:rFonts w:hint="eastAsia" w:ascii="仿宋" w:hAnsi="仿宋" w:eastAsia="仿宋"/>
          <w:color w:val="auto"/>
          <w:sz w:val="24"/>
          <w:szCs w:val="24"/>
        </w:rPr>
        <w:t>北京时间）</w:t>
      </w:r>
    </w:p>
    <w:p>
      <w:pPr>
        <w:spacing w:line="400" w:lineRule="exact"/>
        <w:ind w:firstLine="480" w:firstLineChars="200"/>
        <w:outlineLvl w:val="9"/>
        <w:rPr>
          <w:rFonts w:hint="default" w:ascii="仿宋" w:hAnsi="仿宋" w:eastAsia="仿宋"/>
          <w:color w:val="auto"/>
          <w:sz w:val="24"/>
          <w:szCs w:val="24"/>
          <w:lang w:val="en-US" w:eastAsia="zh-CN"/>
        </w:rPr>
      </w:pPr>
      <w:r>
        <w:rPr>
          <w:rFonts w:hint="eastAsia" w:ascii="仿宋" w:hAnsi="仿宋" w:eastAsia="仿宋"/>
          <w:color w:val="auto"/>
          <w:sz w:val="24"/>
          <w:szCs w:val="24"/>
        </w:rPr>
        <w:t>地点</w:t>
      </w:r>
      <w:r>
        <w:rPr>
          <w:rFonts w:hint="eastAsia" w:ascii="仿宋" w:hAnsi="仿宋" w:eastAsia="仿宋"/>
          <w:color w:val="auto"/>
          <w:sz w:val="24"/>
          <w:szCs w:val="24"/>
          <w:lang w:eastAsia="zh-CN"/>
        </w:rPr>
        <w:t>：</w:t>
      </w:r>
      <w:r>
        <w:rPr>
          <w:rFonts w:hint="eastAsia" w:ascii="仿宋" w:hAnsi="仿宋" w:eastAsia="仿宋"/>
          <w:color w:val="auto"/>
          <w:sz w:val="24"/>
          <w:szCs w:val="24"/>
        </w:rPr>
        <w:t xml:space="preserve"> </w:t>
      </w:r>
      <w:r>
        <w:rPr>
          <w:rFonts w:hint="eastAsia" w:ascii="仿宋" w:hAnsi="仿宋" w:eastAsia="仿宋"/>
          <w:color w:val="auto"/>
          <w:sz w:val="24"/>
          <w:szCs w:val="24"/>
          <w:lang w:val="en-US" w:eastAsia="zh-CN"/>
        </w:rPr>
        <w:t>金堂县第一人民医院行政四楼447会议室</w:t>
      </w:r>
    </w:p>
    <w:p>
      <w:pPr>
        <w:spacing w:line="400" w:lineRule="exact"/>
        <w:ind w:firstLine="482" w:firstLineChars="200"/>
        <w:outlineLvl w:val="9"/>
        <w:rPr>
          <w:rFonts w:ascii="仿宋" w:hAnsi="仿宋" w:eastAsia="仿宋"/>
          <w:b/>
          <w:bCs/>
          <w:color w:val="auto"/>
          <w:sz w:val="24"/>
          <w:szCs w:val="24"/>
        </w:rPr>
      </w:pPr>
      <w:r>
        <w:rPr>
          <w:rFonts w:hint="eastAsia" w:ascii="仿宋" w:hAnsi="仿宋" w:eastAsia="仿宋" w:cs="Times New Roman"/>
          <w:b/>
          <w:bCs/>
          <w:color w:val="auto"/>
          <w:kern w:val="2"/>
          <w:sz w:val="24"/>
          <w:szCs w:val="24"/>
          <w:lang w:val="en-US" w:eastAsia="zh-CN" w:bidi="ar-SA"/>
        </w:rPr>
        <w:t>九、</w:t>
      </w:r>
      <w:r>
        <w:rPr>
          <w:rFonts w:hint="eastAsia" w:ascii="仿宋" w:hAnsi="仿宋" w:eastAsia="仿宋"/>
          <w:b/>
          <w:bCs/>
          <w:color w:val="auto"/>
          <w:sz w:val="24"/>
          <w:szCs w:val="24"/>
          <w:lang w:val="en-US" w:eastAsia="zh-CN"/>
        </w:rPr>
        <w:t>协商</w:t>
      </w:r>
      <w:r>
        <w:rPr>
          <w:rFonts w:hint="eastAsia" w:ascii="仿宋" w:hAnsi="仿宋" w:eastAsia="仿宋"/>
          <w:b/>
          <w:bCs/>
          <w:color w:val="auto"/>
          <w:sz w:val="24"/>
          <w:szCs w:val="24"/>
        </w:rPr>
        <w:t>时间及地点：</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时间：</w:t>
      </w:r>
      <w:r>
        <w:rPr>
          <w:rFonts w:hint="eastAsia" w:ascii="仿宋" w:hAnsi="仿宋" w:eastAsia="仿宋"/>
          <w:color w:val="auto"/>
          <w:sz w:val="24"/>
          <w:szCs w:val="24"/>
          <w:lang w:eastAsia="zh-CN"/>
        </w:rPr>
        <w:t>2026年</w:t>
      </w:r>
      <w:r>
        <w:rPr>
          <w:rFonts w:hint="eastAsia" w:ascii="仿宋" w:hAnsi="仿宋" w:eastAsia="仿宋"/>
          <w:color w:val="auto"/>
          <w:sz w:val="24"/>
          <w:szCs w:val="24"/>
          <w:lang w:val="en-US" w:eastAsia="zh-CN"/>
        </w:rPr>
        <w:t>10</w:t>
      </w:r>
      <w:r>
        <w:rPr>
          <w:rFonts w:hint="eastAsia" w:ascii="仿宋" w:hAnsi="仿宋" w:eastAsia="仿宋"/>
          <w:color w:val="auto"/>
          <w:sz w:val="24"/>
          <w:szCs w:val="24"/>
        </w:rPr>
        <w:t>月</w:t>
      </w:r>
      <w:r>
        <w:rPr>
          <w:rFonts w:hint="eastAsia" w:ascii="仿宋" w:hAnsi="仿宋" w:eastAsia="仿宋"/>
          <w:color w:val="auto"/>
          <w:sz w:val="24"/>
          <w:szCs w:val="24"/>
          <w:lang w:val="en-US" w:eastAsia="zh-CN"/>
        </w:rPr>
        <w:t>23</w:t>
      </w:r>
      <w:r>
        <w:rPr>
          <w:rFonts w:hint="eastAsia" w:ascii="仿宋" w:hAnsi="仿宋" w:eastAsia="仿宋"/>
          <w:color w:val="auto"/>
          <w:sz w:val="24"/>
          <w:szCs w:val="24"/>
        </w:rPr>
        <w:t>日</w:t>
      </w:r>
      <w:r>
        <w:rPr>
          <w:rFonts w:hint="eastAsia" w:ascii="仿宋" w:hAnsi="仿宋" w:eastAsia="仿宋"/>
          <w:color w:val="auto"/>
          <w:sz w:val="24"/>
          <w:szCs w:val="24"/>
          <w:lang w:val="en-US" w:eastAsia="zh-CN"/>
        </w:rPr>
        <w:t>下午</w:t>
      </w:r>
      <w:r>
        <w:rPr>
          <w:rFonts w:hint="eastAsia" w:ascii="仿宋" w:hAnsi="仿宋" w:eastAsia="仿宋"/>
          <w:color w:val="auto"/>
          <w:sz w:val="24"/>
          <w:szCs w:val="24"/>
        </w:rPr>
        <w:t>午</w:t>
      </w:r>
      <w:r>
        <w:rPr>
          <w:rFonts w:hint="eastAsia" w:ascii="仿宋" w:hAnsi="仿宋" w:eastAsia="仿宋"/>
          <w:color w:val="auto"/>
          <w:sz w:val="24"/>
          <w:szCs w:val="24"/>
          <w:lang w:val="en-US" w:eastAsia="zh-CN"/>
        </w:rPr>
        <w:t>14：30</w:t>
      </w:r>
      <w:r>
        <w:rPr>
          <w:rFonts w:hint="eastAsia" w:ascii="仿宋" w:hAnsi="仿宋" w:eastAsia="仿宋"/>
          <w:color w:val="auto"/>
          <w:sz w:val="24"/>
          <w:szCs w:val="24"/>
        </w:rPr>
        <w:t>（北京时间）</w:t>
      </w:r>
    </w:p>
    <w:p>
      <w:pPr>
        <w:spacing w:line="400" w:lineRule="exact"/>
        <w:ind w:firstLine="480" w:firstLineChars="20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rPr>
        <w:t>地点</w:t>
      </w:r>
      <w:r>
        <w:rPr>
          <w:rFonts w:hint="eastAsia" w:ascii="仿宋" w:hAnsi="仿宋" w:eastAsia="仿宋"/>
          <w:color w:val="auto"/>
          <w:sz w:val="24"/>
          <w:szCs w:val="24"/>
          <w:lang w:eastAsia="zh-CN"/>
        </w:rPr>
        <w:t>：</w:t>
      </w:r>
      <w:r>
        <w:rPr>
          <w:rFonts w:hint="eastAsia" w:ascii="仿宋" w:hAnsi="仿宋" w:eastAsia="仿宋"/>
          <w:color w:val="auto"/>
          <w:sz w:val="24"/>
          <w:szCs w:val="24"/>
        </w:rPr>
        <w:t xml:space="preserve"> </w:t>
      </w:r>
      <w:r>
        <w:rPr>
          <w:rFonts w:hint="eastAsia" w:ascii="仿宋" w:hAnsi="仿宋" w:eastAsia="仿宋"/>
          <w:color w:val="auto"/>
          <w:sz w:val="24"/>
          <w:szCs w:val="24"/>
          <w:lang w:val="en-US" w:eastAsia="zh-CN"/>
        </w:rPr>
        <w:t>金堂县第一人民医院行政四楼447会议室</w:t>
      </w:r>
    </w:p>
    <w:bookmarkEnd w:id="5"/>
    <w:p>
      <w:pPr>
        <w:spacing w:line="400" w:lineRule="exact"/>
        <w:ind w:firstLine="482" w:firstLineChars="200"/>
        <w:outlineLvl w:val="9"/>
        <w:rPr>
          <w:rFonts w:hint="default" w:ascii="仿宋" w:hAnsi="仿宋" w:eastAsia="仿宋"/>
          <w:color w:val="auto"/>
          <w:sz w:val="24"/>
          <w:szCs w:val="24"/>
          <w:lang w:val="en-US" w:eastAsia="zh-CN"/>
        </w:rPr>
      </w:pPr>
      <w:r>
        <w:rPr>
          <w:rFonts w:hint="eastAsia" w:ascii="仿宋" w:hAnsi="仿宋" w:eastAsia="仿宋"/>
          <w:b/>
          <w:bCs/>
          <w:color w:val="auto"/>
          <w:sz w:val="24"/>
          <w:szCs w:val="24"/>
          <w:lang w:val="en-US" w:eastAsia="zh-CN"/>
        </w:rPr>
        <w:t xml:space="preserve">十 </w:t>
      </w:r>
      <w:r>
        <w:rPr>
          <w:rFonts w:hint="eastAsia" w:ascii="仿宋" w:hAnsi="仿宋" w:eastAsia="仿宋"/>
          <w:b/>
          <w:bCs/>
          <w:color w:val="auto"/>
          <w:sz w:val="24"/>
          <w:szCs w:val="24"/>
        </w:rPr>
        <w:t>、</w:t>
      </w:r>
      <w:r>
        <w:rPr>
          <w:rFonts w:hint="eastAsia" w:ascii="仿宋" w:hAnsi="仿宋" w:eastAsia="仿宋" w:cs="Times New Roman"/>
          <w:b/>
          <w:bCs/>
          <w:color w:val="auto"/>
          <w:kern w:val="2"/>
          <w:sz w:val="24"/>
          <w:szCs w:val="24"/>
          <w:lang w:val="en-US" w:eastAsia="zh-CN" w:bidi="ar-SA"/>
        </w:rPr>
        <w:t>本项目协商邀请将在《金堂县第一人民医院官方网站》上发布。</w:t>
      </w:r>
    </w:p>
    <w:p>
      <w:pPr>
        <w:widowControl/>
        <w:spacing w:line="360" w:lineRule="auto"/>
        <w:ind w:firstLine="482" w:firstLineChars="200"/>
        <w:outlineLvl w:val="9"/>
        <w:rPr>
          <w:rFonts w:ascii="仿宋" w:hAnsi="仿宋" w:eastAsia="仿宋"/>
          <w:b/>
          <w:color w:val="auto"/>
          <w:sz w:val="24"/>
          <w:szCs w:val="24"/>
        </w:rPr>
      </w:pPr>
      <w:r>
        <w:rPr>
          <w:rFonts w:hint="eastAsia" w:ascii="仿宋" w:hAnsi="仿宋" w:eastAsia="仿宋"/>
          <w:b/>
          <w:color w:val="auto"/>
          <w:sz w:val="24"/>
          <w:szCs w:val="24"/>
          <w:lang w:val="en-US" w:eastAsia="zh-CN"/>
        </w:rPr>
        <w:t>十一、</w:t>
      </w:r>
      <w:r>
        <w:rPr>
          <w:rFonts w:ascii="仿宋" w:hAnsi="仿宋" w:eastAsia="仿宋"/>
          <w:b/>
          <w:color w:val="auto"/>
          <w:sz w:val="24"/>
          <w:szCs w:val="24"/>
        </w:rPr>
        <w:t>联系人及联系电话</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采 购 人：金堂县第一人民医院</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地    址：成都市金堂县金广路886号</w:t>
      </w:r>
    </w:p>
    <w:p>
      <w:pPr>
        <w:spacing w:line="400" w:lineRule="exact"/>
        <w:ind w:firstLine="480" w:firstLineChars="200"/>
        <w:outlineLvl w:val="9"/>
        <w:rPr>
          <w:rFonts w:ascii="仿宋" w:hAnsi="仿宋" w:eastAsia="仿宋"/>
          <w:color w:val="auto"/>
          <w:sz w:val="24"/>
          <w:szCs w:val="24"/>
        </w:rPr>
      </w:pPr>
      <w:r>
        <w:rPr>
          <w:rFonts w:hint="eastAsia" w:ascii="仿宋" w:hAnsi="仿宋" w:eastAsia="仿宋"/>
          <w:color w:val="auto"/>
          <w:sz w:val="24"/>
          <w:szCs w:val="24"/>
        </w:rPr>
        <w:t>联 系 人：</w:t>
      </w:r>
      <w:r>
        <w:rPr>
          <w:rFonts w:hint="eastAsia" w:ascii="仿宋" w:hAnsi="仿宋" w:eastAsia="仿宋"/>
          <w:color w:val="auto"/>
          <w:sz w:val="24"/>
          <w:szCs w:val="24"/>
          <w:lang w:val="en-US" w:eastAsia="zh-CN"/>
        </w:rPr>
        <w:t>廖老师</w:t>
      </w:r>
    </w:p>
    <w:p>
      <w:pPr>
        <w:spacing w:line="400" w:lineRule="exact"/>
        <w:ind w:firstLine="480" w:firstLineChars="200"/>
        <w:outlineLvl w:val="9"/>
        <w:rPr>
          <w:rFonts w:hint="default" w:ascii="仿宋" w:hAnsi="仿宋" w:eastAsia="仿宋"/>
          <w:color w:val="auto"/>
          <w:sz w:val="24"/>
          <w:szCs w:val="24"/>
          <w:lang w:val="en-US" w:eastAsia="zh-CN"/>
        </w:rPr>
      </w:pPr>
      <w:r>
        <w:rPr>
          <w:rFonts w:hint="eastAsia" w:ascii="仿宋" w:hAnsi="仿宋" w:eastAsia="仿宋"/>
          <w:color w:val="auto"/>
          <w:sz w:val="24"/>
          <w:szCs w:val="24"/>
        </w:rPr>
        <w:t>联系电话：</w:t>
      </w:r>
      <w:r>
        <w:rPr>
          <w:rFonts w:hint="eastAsia" w:ascii="仿宋" w:hAnsi="仿宋" w:eastAsia="仿宋"/>
          <w:color w:val="auto"/>
          <w:sz w:val="24"/>
          <w:szCs w:val="24"/>
          <w:lang w:val="en-US" w:eastAsia="zh-CN"/>
        </w:rPr>
        <w:t>028-61568611</w:t>
      </w:r>
    </w:p>
    <w:p>
      <w:pPr>
        <w:spacing w:line="400" w:lineRule="exact"/>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pStyle w:val="16"/>
        <w:outlineLvl w:val="9"/>
        <w:rPr>
          <w:rFonts w:hint="default" w:ascii="仿宋" w:hAnsi="仿宋" w:eastAsia="仿宋"/>
          <w:color w:val="auto"/>
          <w:sz w:val="24"/>
          <w:szCs w:val="24"/>
          <w:lang w:val="en-US" w:eastAsia="zh-CN"/>
        </w:rPr>
      </w:pPr>
    </w:p>
    <w:p>
      <w:pPr>
        <w:spacing w:before="0" w:beforeLines="0" w:after="0" w:afterLines="0" w:line="240" w:lineRule="auto"/>
        <w:ind w:left="0" w:leftChars="0" w:right="0" w:rightChars="0" w:firstLine="0" w:firstLineChars="0"/>
        <w:jc w:val="center"/>
        <w:outlineLvl w:val="0"/>
        <w:rPr>
          <w:rFonts w:hint="eastAsia" w:asciiTheme="minorHAnsi" w:hAnsiTheme="minorHAnsi" w:eastAsiaTheme="minorEastAsia" w:cstheme="minorBidi"/>
          <w:b/>
          <w:color w:val="auto"/>
          <w:kern w:val="0"/>
          <w:sz w:val="36"/>
          <w:lang w:val="en-US" w:eastAsia="zh-CN"/>
        </w:rPr>
      </w:pPr>
      <w:bookmarkStart w:id="6" w:name="_Toc23624"/>
      <w:r>
        <w:rPr>
          <w:rFonts w:hint="eastAsia" w:asciiTheme="minorHAnsi" w:hAnsiTheme="minorHAnsi" w:eastAsiaTheme="minorEastAsia" w:cstheme="minorBidi"/>
          <w:b/>
          <w:color w:val="auto"/>
          <w:kern w:val="0"/>
          <w:sz w:val="36"/>
          <w:lang w:val="en-US" w:eastAsia="zh-CN"/>
        </w:rPr>
        <w:t>第二章 资质证明</w:t>
      </w:r>
      <w:bookmarkEnd w:id="6"/>
      <w:r>
        <w:rPr>
          <w:rFonts w:hint="eastAsia" w:asciiTheme="minorHAnsi" w:hAnsiTheme="minorHAnsi" w:eastAsiaTheme="minorEastAsia" w:cstheme="minorBidi"/>
          <w:b/>
          <w:color w:val="auto"/>
          <w:kern w:val="0"/>
          <w:sz w:val="36"/>
          <w:lang w:val="en-US" w:eastAsia="zh-CN"/>
        </w:rPr>
        <w:t>材料</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（一）具有独立承担民事责任的能力：</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（1）供应商若为企业法人：提供三证合一或五证合一的“统一社会信用代码营业执照”；未换证的提供“营业执照、税务登记证、组织机构代码证”；</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（2）若为事业法人：提供“统一社会信用代码法人登记证书”；未换证的提交“事业法人登记证书、组织机构代码证”；</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（3）若为其他组织：提供“对应主管部门颁发的准许执业证明文件或营业执照”；</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（4）若为自然人：提供“身份证明材料”。</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（二）具有良好的商业信誉和健全的财务会计制度：</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（1）具有健全的财务会计制度：</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供应商提供以下证明材料中任意一项均可：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①2023年度经第三方会计师事务所审计的财务报告（包括报告及报告中所附的完整内容，并由注册会计师签名、盖章以及会计师事务所盖章）；</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②2023年度内部的财务报表（</w:t>
      </w:r>
      <w:r>
        <w:rPr>
          <w:rFonts w:hint="eastAsia" w:ascii="仿宋" w:hAnsi="仿宋" w:eastAsia="仿宋" w:cs="Times New Roman"/>
          <w:color w:val="auto"/>
          <w:sz w:val="24"/>
          <w:szCs w:val="24"/>
          <w:lang w:val="en-US" w:eastAsia="zh-CN"/>
        </w:rPr>
        <w:t>至少</w:t>
      </w:r>
      <w:r>
        <w:rPr>
          <w:rFonts w:hint="eastAsia" w:ascii="仿宋" w:hAnsi="仿宋" w:eastAsia="仿宋" w:cs="Times New Roman"/>
          <w:color w:val="auto"/>
          <w:sz w:val="24"/>
          <w:szCs w:val="24"/>
        </w:rPr>
        <w:t>包含资产负债表）；</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③响应文件递交截止日前一年内开户银行出具的资信证明；</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④供应商注册时间至文件递交截止日不足一年的，也可提供在工商备案的公司章程；</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⑤提供承诺函原件（承诺函格式自拟）。</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注：事业单位及其他组织因经费来源不一样，此处不做统一要求，供应商根据单位实际情况，提供完整的财务状况证明即可。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（2）具有良好的商业信誉：</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①提供承诺函原件（承诺函格式自拟）。</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（三）具有履行合同所必需的设备和专业技术能力：</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供应商自行提供证明材料或提供承诺函原件。（承诺函格式自拟）</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（四）具有依法缴纳税收和社会保障资金的良好记录：</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（1）社保证明材料：</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供应商提供以下证明材料中任意一项均可：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①供应商提供响应文件递交截止日前一年内任意一个月缴纳社保的银行电子回单或社保部门或税务部门出具的社保缴纳证明材料或有效票据。</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②提供承诺函原件（承诺函格式自拟）。</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（2）纳税证明材料：</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供应商提供以下证明材料中任意一项均可：</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①供应商提供响应文件递交截止日前一年内任意一个月缴纳税收的银行电子回单或者税务部门出具的纳税证明或完税证明或有效票据。</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②提供承诺函原件（承诺函格式自拟）。</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注：依法免税的供应商，应提供相应文件证明其依法免税。</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（五）参加采购活动前三年内，在经营活动中没有重大违法记录：</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供应商参加采购活动前三年内，在经营活动中没有重大违法记录的书面声明原件。（承诺函格式自拟）</w:t>
      </w:r>
    </w:p>
    <w:p>
      <w:pPr>
        <w:tabs>
          <w:tab w:val="left" w:pos="709"/>
        </w:tabs>
        <w:adjustRightInd w:val="0"/>
        <w:snapToGrid w:val="0"/>
        <w:spacing w:line="360" w:lineRule="auto"/>
        <w:ind w:firstLine="361" w:firstLineChars="150"/>
        <w:outlineLvl w:val="9"/>
        <w:rPr>
          <w:rFonts w:hint="eastAsia" w:ascii="宋体" w:hAnsi="宋体" w:cs="仿宋"/>
          <w:b/>
          <w:color w:val="auto"/>
          <w:sz w:val="24"/>
        </w:rPr>
      </w:pPr>
      <w:r>
        <w:rPr>
          <w:rFonts w:hint="eastAsia" w:ascii="宋体" w:hAnsi="宋体" w:cs="仿宋"/>
          <w:b/>
          <w:color w:val="auto"/>
          <w:sz w:val="24"/>
        </w:rPr>
        <w:t>（</w:t>
      </w:r>
      <w:r>
        <w:rPr>
          <w:rFonts w:hint="eastAsia" w:ascii="宋体" w:hAnsi="宋体" w:cs="仿宋"/>
          <w:b/>
          <w:color w:val="auto"/>
          <w:sz w:val="24"/>
          <w:lang w:val="en-US" w:eastAsia="zh-CN"/>
        </w:rPr>
        <w:t>六</w:t>
      </w:r>
      <w:r>
        <w:rPr>
          <w:rFonts w:hint="eastAsia" w:ascii="宋体" w:hAnsi="宋体" w:cs="仿宋"/>
          <w:b/>
          <w:color w:val="auto"/>
          <w:sz w:val="24"/>
        </w:rPr>
        <w:t>）法律、行政法规规定的其他条件：</w:t>
      </w:r>
    </w:p>
    <w:p>
      <w:pPr>
        <w:spacing w:line="360" w:lineRule="auto"/>
        <w:ind w:firstLine="460" w:firstLineChars="192"/>
        <w:outlineLvl w:val="9"/>
        <w:rPr>
          <w:rFonts w:hint="eastAsia" w:ascii="仿宋" w:hAnsi="仿宋" w:eastAsia="仿宋" w:cs="Times New Roman"/>
          <w:color w:val="auto"/>
          <w:sz w:val="24"/>
          <w:szCs w:val="24"/>
        </w:rPr>
      </w:pPr>
      <w:r>
        <w:rPr>
          <w:rFonts w:hint="eastAsia" w:ascii="仿宋" w:hAnsi="仿宋" w:eastAsia="仿宋" w:cs="Times New Roman"/>
          <w:color w:val="auto"/>
          <w:sz w:val="24"/>
          <w:szCs w:val="24"/>
        </w:rPr>
        <w:t>供应商提供承诺函原件。（承诺函格式自拟）</w:t>
      </w:r>
    </w:p>
    <w:p>
      <w:pPr>
        <w:tabs>
          <w:tab w:val="left" w:pos="709"/>
        </w:tabs>
        <w:adjustRightInd w:val="0"/>
        <w:snapToGrid w:val="0"/>
        <w:spacing w:line="360" w:lineRule="auto"/>
        <w:ind w:firstLine="361" w:firstLineChars="150"/>
        <w:outlineLvl w:val="9"/>
        <w:rPr>
          <w:rFonts w:hint="eastAsia" w:ascii="宋体" w:hAnsi="宋体" w:cs="仿宋"/>
          <w:color w:val="auto"/>
          <w:sz w:val="24"/>
        </w:rPr>
      </w:pPr>
      <w:r>
        <w:rPr>
          <w:rFonts w:hint="eastAsia" w:ascii="宋体" w:hAnsi="宋体" w:cs="仿宋"/>
          <w:b/>
          <w:color w:val="auto"/>
          <w:sz w:val="24"/>
        </w:rPr>
        <w:t>（</w:t>
      </w:r>
      <w:r>
        <w:rPr>
          <w:rFonts w:hint="eastAsia" w:ascii="宋体" w:hAnsi="宋体" w:cs="仿宋"/>
          <w:b/>
          <w:color w:val="auto"/>
          <w:sz w:val="24"/>
          <w:lang w:val="en-US" w:eastAsia="zh-CN"/>
        </w:rPr>
        <w:t>七</w:t>
      </w:r>
      <w:r>
        <w:rPr>
          <w:rFonts w:hint="eastAsia" w:ascii="宋体" w:hAnsi="宋体" w:cs="仿宋"/>
          <w:b/>
          <w:color w:val="auto"/>
          <w:sz w:val="24"/>
        </w:rPr>
        <w:t>）其他证明资料：</w:t>
      </w:r>
    </w:p>
    <w:p>
      <w:pPr>
        <w:spacing w:line="360" w:lineRule="auto"/>
        <w:ind w:firstLine="460" w:firstLineChars="192"/>
        <w:outlineLvl w:val="9"/>
        <w:rPr>
          <w:rFonts w:ascii="仿宋" w:hAnsi="仿宋" w:eastAsia="仿宋"/>
          <w:color w:val="auto"/>
          <w:sz w:val="24"/>
          <w:szCs w:val="24"/>
        </w:rPr>
      </w:pPr>
      <w:r>
        <w:rPr>
          <w:rFonts w:hint="eastAsia" w:ascii="仿宋" w:hAnsi="仿宋" w:eastAsia="仿宋"/>
          <w:color w:val="auto"/>
          <w:sz w:val="24"/>
          <w:szCs w:val="24"/>
        </w:rPr>
        <w:t>（</w:t>
      </w:r>
      <w:r>
        <w:rPr>
          <w:rFonts w:hint="eastAsia" w:ascii="仿宋" w:hAnsi="仿宋" w:eastAsia="仿宋"/>
          <w:color w:val="auto"/>
          <w:sz w:val="24"/>
          <w:szCs w:val="24"/>
          <w:lang w:val="en-US" w:eastAsia="zh-CN"/>
        </w:rPr>
        <w:t>1</w:t>
      </w:r>
      <w:r>
        <w:rPr>
          <w:rFonts w:hint="eastAsia" w:ascii="仿宋" w:hAnsi="仿宋" w:eastAsia="仿宋"/>
          <w:color w:val="auto"/>
          <w:sz w:val="24"/>
          <w:szCs w:val="24"/>
        </w:rPr>
        <w:t>）法定代表人/单位负责人授权书原件（①附法定代表人/单位负责人身份证明材料复印件；②法定代表人/单位负责人参与谈判时不需要提供）；</w:t>
      </w:r>
    </w:p>
    <w:p>
      <w:pPr>
        <w:spacing w:line="360" w:lineRule="auto"/>
        <w:ind w:firstLine="460" w:firstLineChars="192"/>
        <w:outlineLvl w:val="9"/>
        <w:rPr>
          <w:rFonts w:hint="eastAsia" w:ascii="仿宋" w:hAnsi="仿宋" w:eastAsia="仿宋"/>
          <w:color w:val="auto"/>
          <w:sz w:val="24"/>
          <w:szCs w:val="24"/>
        </w:rPr>
      </w:pPr>
      <w:r>
        <w:rPr>
          <w:rFonts w:hint="eastAsia" w:ascii="仿宋" w:hAnsi="仿宋" w:eastAsia="仿宋"/>
          <w:color w:val="auto"/>
          <w:sz w:val="24"/>
          <w:szCs w:val="24"/>
        </w:rPr>
        <w:t>（</w:t>
      </w:r>
      <w:r>
        <w:rPr>
          <w:rFonts w:hint="eastAsia" w:ascii="仿宋" w:hAnsi="仿宋" w:eastAsia="仿宋"/>
          <w:color w:val="auto"/>
          <w:sz w:val="24"/>
          <w:szCs w:val="24"/>
          <w:lang w:val="en-US" w:eastAsia="zh-CN"/>
        </w:rPr>
        <w:t>2</w:t>
      </w:r>
      <w:r>
        <w:rPr>
          <w:rFonts w:hint="eastAsia" w:ascii="仿宋" w:hAnsi="仿宋" w:eastAsia="仿宋"/>
          <w:color w:val="auto"/>
          <w:sz w:val="24"/>
          <w:szCs w:val="24"/>
        </w:rPr>
        <w:t>）被授权代表的身份证明材料复印件；</w:t>
      </w:r>
    </w:p>
    <w:p>
      <w:pPr>
        <w:pStyle w:val="16"/>
        <w:outlineLvl w:val="9"/>
        <w:rPr>
          <w:rFonts w:hint="eastAsia" w:ascii="仿宋" w:hAnsi="仿宋" w:eastAsia="仿宋"/>
          <w:color w:val="auto"/>
          <w:sz w:val="24"/>
          <w:szCs w:val="24"/>
        </w:rPr>
      </w:pPr>
    </w:p>
    <w:p>
      <w:pPr>
        <w:spacing w:line="360" w:lineRule="auto"/>
        <w:outlineLvl w:val="9"/>
        <w:rPr>
          <w:rFonts w:ascii="仿宋" w:hAnsi="仿宋" w:eastAsia="仿宋"/>
          <w:b/>
          <w:bCs/>
          <w:color w:val="auto"/>
          <w:sz w:val="24"/>
        </w:rPr>
      </w:pPr>
      <w:r>
        <w:rPr>
          <w:rFonts w:hint="eastAsia" w:ascii="仿宋" w:hAnsi="仿宋" w:eastAsia="仿宋"/>
          <w:b/>
          <w:bCs/>
          <w:color w:val="auto"/>
          <w:sz w:val="24"/>
        </w:rPr>
        <w:t>注：1、以上要求的资料复印件均须加盖供应商单位的公章（鲜章）。</w:t>
      </w:r>
    </w:p>
    <w:p>
      <w:pPr>
        <w:pStyle w:val="16"/>
        <w:outlineLvl w:val="9"/>
        <w:rPr>
          <w:rFonts w:hint="eastAsia" w:ascii="仿宋" w:hAnsi="仿宋" w:eastAsia="仿宋"/>
          <w:color w:val="auto"/>
          <w:sz w:val="24"/>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outlineLvl w:val="9"/>
        <w:rPr>
          <w:rFonts w:hint="eastAsia" w:ascii="仿宋" w:hAnsi="仿宋" w:eastAsia="仿宋"/>
          <w:b/>
          <w:bCs/>
          <w:color w:val="auto"/>
          <w:sz w:val="28"/>
          <w:szCs w:val="24"/>
        </w:rPr>
      </w:pPr>
    </w:p>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bookmarkStart w:id="7" w:name="_Toc21990"/>
    </w:p>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r>
        <w:rPr>
          <w:rFonts w:hint="eastAsia" w:asciiTheme="minorHAnsi" w:hAnsiTheme="minorHAnsi" w:eastAsiaTheme="minorEastAsia" w:cstheme="minorBidi"/>
          <w:b/>
          <w:bCs w:val="0"/>
          <w:color w:val="auto"/>
          <w:kern w:val="0"/>
          <w:sz w:val="36"/>
          <w:szCs w:val="20"/>
          <w:lang w:val="en-US" w:eastAsia="zh-CN" w:bidi="ar-SA"/>
        </w:rPr>
        <w:t>第三章 采购要求</w:t>
      </w:r>
      <w:bookmarkEnd w:id="7"/>
    </w:p>
    <w:p>
      <w:pPr>
        <w:pStyle w:val="77"/>
        <w:ind w:firstLine="480"/>
        <w:outlineLvl w:val="9"/>
        <w:rPr>
          <w:rFonts w:hint="eastAsia" w:ascii="仿宋" w:hAnsi="仿宋" w:eastAsia="仿宋" w:cs="Times New Roman"/>
          <w:color w:val="auto"/>
          <w:kern w:val="2"/>
          <w:sz w:val="24"/>
          <w:szCs w:val="24"/>
          <w:lang w:val="en-US" w:eastAsia="zh-CN" w:bidi="ar-SA"/>
        </w:rPr>
      </w:pPr>
      <w:r>
        <w:rPr>
          <w:rFonts w:hint="eastAsia" w:ascii="仿宋" w:hAnsi="仿宋" w:eastAsia="仿宋" w:cs="Times New Roman"/>
          <w:color w:val="auto"/>
          <w:kern w:val="2"/>
          <w:sz w:val="24"/>
          <w:szCs w:val="24"/>
          <w:lang w:val="en-US" w:eastAsia="zh-CN" w:bidi="ar-SA"/>
        </w:rPr>
        <w:t xml:space="preserve"> （带“★”的需求为实质性要求，供应商必须响应并满足的参数需求）</w:t>
      </w:r>
    </w:p>
    <w:p>
      <w:pPr>
        <w:numPr>
          <w:ilvl w:val="0"/>
          <w:numId w:val="0"/>
        </w:numPr>
        <w:ind w:leftChars="0"/>
        <w:outlineLvl w:val="9"/>
        <w:rPr>
          <w:color w:val="auto"/>
        </w:rPr>
      </w:pPr>
    </w:p>
    <w:p>
      <w:pPr>
        <w:pStyle w:val="18"/>
        <w:snapToGrid w:val="0"/>
        <w:outlineLvl w:val="9"/>
        <w:rPr>
          <w:rFonts w:ascii="仿宋" w:hAnsi="仿宋" w:eastAsia="仿宋"/>
          <w:b/>
          <w:bCs/>
          <w:color w:val="auto"/>
          <w:szCs w:val="24"/>
        </w:rPr>
      </w:pPr>
      <w:bookmarkStart w:id="8" w:name="PO_默认文件内容_4"/>
      <w:r>
        <w:rPr>
          <w:rFonts w:hint="eastAsia" w:ascii="仿宋" w:hAnsi="仿宋" w:eastAsia="仿宋"/>
          <w:b/>
          <w:bCs/>
          <w:color w:val="auto"/>
          <w:szCs w:val="24"/>
          <w:lang w:val="en-US" w:eastAsia="zh-CN"/>
        </w:rPr>
        <w:t>一、</w:t>
      </w:r>
      <w:r>
        <w:rPr>
          <w:color w:val="auto"/>
        </w:rPr>
        <w:t>★</w:t>
      </w:r>
      <w:r>
        <w:rPr>
          <w:rFonts w:ascii="仿宋" w:hAnsi="仿宋" w:eastAsia="仿宋"/>
          <w:b/>
          <w:bCs/>
          <w:color w:val="auto"/>
          <w:szCs w:val="24"/>
        </w:rPr>
        <w:t>商务要求</w:t>
      </w:r>
    </w:p>
    <w:bookmarkEnd w:id="8"/>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bookmarkStart w:id="9" w:name="_Toc417906800"/>
      <w:bookmarkStart w:id="10" w:name="PO_默认文件内容_3"/>
      <w:r>
        <w:rPr>
          <w:rFonts w:hint="eastAsia" w:ascii="宋体" w:hAnsi="宋体" w:eastAsia="宋体" w:cs="宋体"/>
          <w:b w:val="0"/>
          <w:bCs w:val="0"/>
          <w:color w:val="auto"/>
          <w:sz w:val="24"/>
          <w:highlight w:val="none"/>
          <w:lang w:val="en-US" w:eastAsia="zh-CN"/>
        </w:rPr>
        <w:t>1、服务期限：</w:t>
      </w:r>
      <w:r>
        <w:rPr>
          <w:rFonts w:hint="eastAsia" w:ascii="宋体" w:hAnsi="宋体" w:cs="宋体"/>
          <w:b w:val="0"/>
          <w:bCs w:val="0"/>
          <w:color w:val="auto"/>
          <w:sz w:val="24"/>
          <w:highlight w:val="none"/>
          <w:lang w:val="en-US" w:eastAsia="zh-CN"/>
        </w:rPr>
        <w:t>3</w:t>
      </w:r>
      <w:r>
        <w:rPr>
          <w:rFonts w:hint="eastAsia" w:ascii="宋体" w:hAnsi="宋体" w:eastAsia="宋体" w:cs="宋体"/>
          <w:b w:val="0"/>
          <w:bCs w:val="0"/>
          <w:color w:val="auto"/>
          <w:sz w:val="24"/>
          <w:highlight w:val="none"/>
          <w:lang w:val="en-US" w:eastAsia="zh-CN"/>
        </w:rPr>
        <w:t>年</w:t>
      </w:r>
      <w:r>
        <w:rPr>
          <w:rFonts w:hint="eastAsia" w:ascii="宋体" w:hAnsi="宋体" w:cs="宋体"/>
          <w:b w:val="0"/>
          <w:bCs w:val="0"/>
          <w:color w:val="auto"/>
          <w:sz w:val="24"/>
          <w:highlight w:val="none"/>
          <w:lang w:val="en-US" w:eastAsia="zh-CN"/>
        </w:rPr>
        <w:t>，合同一年一签，第一年起止时间为合同签订后一年</w:t>
      </w:r>
      <w:r>
        <w:rPr>
          <w:rFonts w:hint="eastAsia" w:ascii="宋体" w:hAnsi="宋体" w:eastAsia="宋体" w:cs="宋体"/>
          <w:b w:val="0"/>
          <w:bCs w:val="0"/>
          <w:color w:val="auto"/>
          <w:sz w:val="24"/>
          <w:highlight w:val="none"/>
          <w:lang w:val="en-US" w:eastAsia="zh-CN"/>
        </w:rPr>
        <w:t>。</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2、服务地点：金堂县第一人民医院。</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3、付款方法和条件：合同签订后采购人接到供应商出具的合法有效完整的完税票据后30个工作日内支付含税合同金额100%。</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4、验收：参照政府采购相关法律法规、《财政部关于进一步加强政府采购需求和履约验收管理的指导意见》（财库〔2016〕205号）以及《政府采购需求管理办法》（财库〔2021〕22号）的要求进行验收。</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5、违约责任与争议解决的办法：</w:t>
      </w:r>
    </w:p>
    <w:p>
      <w:pPr>
        <w:adjustRightInd w:val="0"/>
        <w:snapToGrid w:val="0"/>
        <w:spacing w:line="440" w:lineRule="exact"/>
        <w:ind w:firstLine="480" w:firstLineChars="200"/>
        <w:outlineLvl w:val="9"/>
        <w:rPr>
          <w:rFonts w:hint="eastAsia" w:ascii="宋体" w:hAnsi="宋体" w:eastAsia="宋体" w:cs="宋体"/>
          <w:b w:val="0"/>
          <w:bCs w:val="0"/>
          <w:color w:val="auto"/>
          <w:sz w:val="24"/>
          <w:highlight w:val="none"/>
          <w:lang w:val="en-US" w:eastAsia="zh-CN"/>
        </w:rPr>
      </w:pPr>
      <w:r>
        <w:rPr>
          <w:rFonts w:hint="eastAsia" w:ascii="宋体" w:hAnsi="宋体" w:eastAsia="宋体" w:cs="宋体"/>
          <w:b w:val="0"/>
          <w:bCs w:val="0"/>
          <w:color w:val="auto"/>
          <w:sz w:val="24"/>
          <w:highlight w:val="none"/>
          <w:lang w:val="en-US" w:eastAsia="zh-CN"/>
        </w:rPr>
        <w:t>5.1违约责任：</w:t>
      </w:r>
    </w:p>
    <w:p>
      <w:pPr>
        <w:adjustRightInd w:val="0"/>
        <w:snapToGrid w:val="0"/>
        <w:spacing w:line="440" w:lineRule="exact"/>
        <w:ind w:firstLine="480" w:firstLineChars="200"/>
        <w:outlineLvl w:val="9"/>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1</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采购人和供应商</w:t>
      </w:r>
      <w:r>
        <w:rPr>
          <w:rFonts w:hint="eastAsia" w:ascii="宋体" w:hAnsi="宋体" w:eastAsia="宋体" w:cs="宋体"/>
          <w:color w:val="auto"/>
          <w:sz w:val="24"/>
          <w:szCs w:val="22"/>
          <w:highlight w:val="none"/>
        </w:rPr>
        <w:t>双方必须遵守本合同并执行合同中的各项规定，保证本合同的正常履行。</w:t>
      </w:r>
    </w:p>
    <w:p>
      <w:pPr>
        <w:adjustRightInd w:val="0"/>
        <w:snapToGrid w:val="0"/>
        <w:spacing w:line="440" w:lineRule="exact"/>
        <w:ind w:firstLine="480" w:firstLineChars="200"/>
        <w:outlineLvl w:val="9"/>
        <w:rPr>
          <w:rFonts w:hint="eastAsia" w:ascii="宋体" w:hAnsi="宋体" w:eastAsia="宋体" w:cs="宋体"/>
          <w:color w:val="auto"/>
          <w:sz w:val="24"/>
          <w:szCs w:val="22"/>
          <w:highlight w:val="none"/>
          <w:lang w:eastAsia="zh-CN"/>
        </w:rPr>
      </w:pP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2</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rPr>
        <w:t>若</w:t>
      </w:r>
      <w:r>
        <w:rPr>
          <w:rFonts w:hint="eastAsia" w:ascii="宋体" w:hAnsi="宋体" w:eastAsia="宋体" w:cs="宋体"/>
          <w:color w:val="auto"/>
          <w:sz w:val="24"/>
          <w:szCs w:val="22"/>
          <w:highlight w:val="none"/>
          <w:lang w:val="en-US" w:eastAsia="zh-CN"/>
        </w:rPr>
        <w:t>供应商</w:t>
      </w:r>
      <w:r>
        <w:rPr>
          <w:rFonts w:hint="eastAsia" w:ascii="宋体" w:hAnsi="宋体" w:eastAsia="宋体" w:cs="宋体"/>
          <w:color w:val="auto"/>
          <w:sz w:val="24"/>
          <w:szCs w:val="22"/>
          <w:highlight w:val="none"/>
        </w:rPr>
        <w:t>方未按期完成服务工作，每逾期一天，向</w:t>
      </w:r>
      <w:r>
        <w:rPr>
          <w:rFonts w:hint="eastAsia" w:ascii="宋体" w:hAnsi="宋体" w:eastAsia="宋体" w:cs="宋体"/>
          <w:color w:val="auto"/>
          <w:sz w:val="24"/>
          <w:szCs w:val="22"/>
          <w:highlight w:val="none"/>
          <w:lang w:val="en-US" w:eastAsia="zh-CN"/>
        </w:rPr>
        <w:t>采购人</w:t>
      </w:r>
      <w:r>
        <w:rPr>
          <w:rFonts w:hint="eastAsia" w:ascii="宋体" w:hAnsi="宋体" w:eastAsia="宋体" w:cs="宋体"/>
          <w:color w:val="auto"/>
          <w:sz w:val="24"/>
          <w:szCs w:val="22"/>
          <w:highlight w:val="none"/>
        </w:rPr>
        <w:t>支付合同总价5%的违约金。逾期超过7个工作日，经</w:t>
      </w:r>
      <w:r>
        <w:rPr>
          <w:rFonts w:hint="eastAsia" w:ascii="宋体" w:hAnsi="宋体" w:eastAsia="宋体" w:cs="宋体"/>
          <w:color w:val="auto"/>
          <w:sz w:val="24"/>
          <w:szCs w:val="22"/>
          <w:highlight w:val="none"/>
          <w:lang w:val="en-US" w:eastAsia="zh-CN"/>
        </w:rPr>
        <w:t>采购人</w:t>
      </w:r>
      <w:r>
        <w:rPr>
          <w:rFonts w:hint="eastAsia" w:ascii="宋体" w:hAnsi="宋体" w:eastAsia="宋体" w:cs="宋体"/>
          <w:color w:val="auto"/>
          <w:sz w:val="24"/>
          <w:szCs w:val="22"/>
          <w:highlight w:val="none"/>
        </w:rPr>
        <w:t>催告后</w:t>
      </w:r>
      <w:r>
        <w:rPr>
          <w:rFonts w:hint="eastAsia" w:ascii="宋体" w:hAnsi="宋体" w:eastAsia="宋体" w:cs="宋体"/>
          <w:color w:val="auto"/>
          <w:sz w:val="24"/>
          <w:szCs w:val="22"/>
          <w:highlight w:val="none"/>
          <w:lang w:eastAsia="zh-CN"/>
        </w:rPr>
        <w:t>供应商</w:t>
      </w:r>
      <w:r>
        <w:rPr>
          <w:rFonts w:hint="eastAsia" w:ascii="宋体" w:hAnsi="宋体" w:eastAsia="宋体" w:cs="宋体"/>
          <w:color w:val="auto"/>
          <w:sz w:val="24"/>
          <w:szCs w:val="22"/>
          <w:highlight w:val="none"/>
        </w:rPr>
        <w:t>仍不能按照</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要求提交的，</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有权单方面解除合同并要求</w:t>
      </w:r>
      <w:r>
        <w:rPr>
          <w:rFonts w:hint="eastAsia" w:ascii="宋体" w:hAnsi="宋体" w:eastAsia="宋体" w:cs="宋体"/>
          <w:color w:val="auto"/>
          <w:sz w:val="24"/>
          <w:szCs w:val="22"/>
          <w:highlight w:val="none"/>
          <w:lang w:eastAsia="zh-CN"/>
        </w:rPr>
        <w:t>供应商</w:t>
      </w:r>
      <w:r>
        <w:rPr>
          <w:rFonts w:hint="eastAsia" w:ascii="宋体" w:hAnsi="宋体" w:eastAsia="宋体" w:cs="宋体"/>
          <w:color w:val="auto"/>
          <w:sz w:val="24"/>
          <w:szCs w:val="22"/>
          <w:highlight w:val="none"/>
        </w:rPr>
        <w:t>按合同总金额的10%向</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支付违约金并承担</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所有相关损失。</w:t>
      </w:r>
    </w:p>
    <w:p>
      <w:pPr>
        <w:adjustRightInd w:val="0"/>
        <w:snapToGrid w:val="0"/>
        <w:spacing w:line="440" w:lineRule="exact"/>
        <w:ind w:firstLine="480" w:firstLineChars="200"/>
        <w:outlineLvl w:val="9"/>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lang w:val="en-US" w:eastAsia="zh-CN"/>
        </w:rPr>
        <w:t>3</w:t>
      </w:r>
      <w:r>
        <w:rPr>
          <w:rFonts w:hint="eastAsia" w:ascii="宋体" w:hAnsi="宋体" w:eastAsia="宋体" w:cs="宋体"/>
          <w:color w:val="auto"/>
          <w:sz w:val="24"/>
          <w:szCs w:val="22"/>
          <w:highlight w:val="none"/>
          <w:lang w:eastAsia="zh-CN"/>
        </w:rPr>
        <w:t>）</w:t>
      </w:r>
      <w:r>
        <w:rPr>
          <w:rFonts w:hint="eastAsia" w:ascii="宋体" w:hAnsi="宋体" w:eastAsia="宋体" w:cs="宋体"/>
          <w:color w:val="auto"/>
          <w:sz w:val="24"/>
          <w:szCs w:val="22"/>
          <w:highlight w:val="none"/>
        </w:rPr>
        <w:t>如因</w:t>
      </w:r>
      <w:r>
        <w:rPr>
          <w:rFonts w:hint="eastAsia" w:ascii="宋体" w:hAnsi="宋体" w:eastAsia="宋体" w:cs="宋体"/>
          <w:color w:val="auto"/>
          <w:sz w:val="24"/>
          <w:szCs w:val="22"/>
          <w:highlight w:val="none"/>
          <w:lang w:eastAsia="zh-CN"/>
        </w:rPr>
        <w:t>供应商</w:t>
      </w:r>
      <w:r>
        <w:rPr>
          <w:rFonts w:hint="eastAsia" w:ascii="宋体" w:hAnsi="宋体" w:eastAsia="宋体" w:cs="宋体"/>
          <w:color w:val="auto"/>
          <w:sz w:val="24"/>
          <w:szCs w:val="22"/>
          <w:highlight w:val="none"/>
        </w:rPr>
        <w:t>工作人员在履行职务过程中的的疏忽、失职、过错等故意或者过失原因给</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造成损失或侵害，包括但不限于</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本身的财产损失、由此而导致的</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对任何第三方的法律责任等，</w:t>
      </w:r>
      <w:r>
        <w:rPr>
          <w:rFonts w:hint="eastAsia" w:ascii="宋体" w:hAnsi="宋体" w:eastAsia="宋体" w:cs="宋体"/>
          <w:color w:val="auto"/>
          <w:sz w:val="24"/>
          <w:szCs w:val="22"/>
          <w:highlight w:val="none"/>
          <w:lang w:eastAsia="zh-CN"/>
        </w:rPr>
        <w:t>供应商</w:t>
      </w:r>
      <w:r>
        <w:rPr>
          <w:rFonts w:hint="eastAsia" w:ascii="宋体" w:hAnsi="宋体" w:eastAsia="宋体" w:cs="宋体"/>
          <w:color w:val="auto"/>
          <w:sz w:val="24"/>
          <w:szCs w:val="22"/>
          <w:highlight w:val="none"/>
        </w:rPr>
        <w:t>对此均应承担全部的赔偿责任。</w:t>
      </w:r>
    </w:p>
    <w:p>
      <w:pPr>
        <w:adjustRightInd w:val="0"/>
        <w:snapToGrid w:val="0"/>
        <w:spacing w:line="440" w:lineRule="exact"/>
        <w:ind w:firstLine="480" w:firstLineChars="200"/>
        <w:outlineLvl w:val="9"/>
        <w:rPr>
          <w:rFonts w:hint="eastAsia" w:ascii="宋体" w:hAnsi="宋体" w:eastAsia="宋体" w:cs="宋体"/>
          <w:b w:val="0"/>
          <w:bCs w:val="0"/>
          <w:color w:val="auto"/>
          <w:sz w:val="24"/>
          <w:szCs w:val="22"/>
          <w:highlight w:val="none"/>
          <w:lang w:val="en-US" w:eastAsia="zh-CN"/>
        </w:rPr>
      </w:pPr>
      <w:r>
        <w:rPr>
          <w:rFonts w:hint="eastAsia" w:ascii="宋体" w:hAnsi="宋体" w:eastAsia="宋体" w:cs="宋体"/>
          <w:b w:val="0"/>
          <w:bCs w:val="0"/>
          <w:color w:val="auto"/>
          <w:sz w:val="24"/>
          <w:szCs w:val="22"/>
          <w:highlight w:val="none"/>
          <w:lang w:val="en-US" w:eastAsia="zh-CN"/>
        </w:rPr>
        <w:t>5.2争议解决办法</w:t>
      </w:r>
    </w:p>
    <w:p>
      <w:pPr>
        <w:adjustRightInd w:val="0"/>
        <w:snapToGrid w:val="0"/>
        <w:spacing w:line="440" w:lineRule="exact"/>
        <w:ind w:firstLine="480" w:firstLineChars="200"/>
        <w:outlineLvl w:val="9"/>
        <w:rPr>
          <w:rFonts w:hint="eastAsia" w:ascii="宋体" w:hAnsi="宋体" w:eastAsia="宋体" w:cs="宋体"/>
          <w:color w:val="auto"/>
          <w:sz w:val="24"/>
          <w:szCs w:val="22"/>
          <w:highlight w:val="none"/>
        </w:rPr>
      </w:pPr>
      <w:r>
        <w:rPr>
          <w:rFonts w:hint="eastAsia" w:ascii="宋体" w:hAnsi="宋体" w:eastAsia="宋体" w:cs="宋体"/>
          <w:b w:val="0"/>
          <w:bCs w:val="0"/>
          <w:color w:val="auto"/>
          <w:sz w:val="24"/>
          <w:szCs w:val="22"/>
          <w:highlight w:val="none"/>
          <w:lang w:val="en-US" w:eastAsia="zh-CN"/>
        </w:rPr>
        <w:t>（1）</w:t>
      </w:r>
      <w:r>
        <w:rPr>
          <w:rFonts w:hint="eastAsia" w:ascii="宋体" w:hAnsi="宋体" w:eastAsia="宋体" w:cs="宋体"/>
          <w:color w:val="auto"/>
          <w:sz w:val="24"/>
          <w:szCs w:val="22"/>
          <w:highlight w:val="none"/>
        </w:rPr>
        <w:t>在执行本合同中发生的或与本合同有关的争端，双方应通过友好协商解决。经协商在60天内不能达成协议时，应向</w:t>
      </w:r>
      <w:r>
        <w:rPr>
          <w:rFonts w:hint="eastAsia" w:ascii="宋体" w:hAnsi="宋体" w:eastAsia="宋体" w:cs="宋体"/>
          <w:color w:val="auto"/>
          <w:sz w:val="24"/>
          <w:szCs w:val="22"/>
          <w:highlight w:val="none"/>
          <w:lang w:eastAsia="zh-CN"/>
        </w:rPr>
        <w:t>采购人</w:t>
      </w:r>
      <w:r>
        <w:rPr>
          <w:rFonts w:hint="eastAsia" w:ascii="宋体" w:hAnsi="宋体" w:eastAsia="宋体" w:cs="宋体"/>
          <w:color w:val="auto"/>
          <w:sz w:val="24"/>
          <w:szCs w:val="22"/>
          <w:highlight w:val="none"/>
        </w:rPr>
        <w:t xml:space="preserve">所在地人民法院提起诉讼。  </w:t>
      </w:r>
    </w:p>
    <w:p>
      <w:pPr>
        <w:adjustRightInd w:val="0"/>
        <w:snapToGrid w:val="0"/>
        <w:ind w:firstLine="482" w:firstLineChars="200"/>
        <w:rPr>
          <w:rFonts w:hint="default" w:ascii="仿宋" w:hAnsi="仿宋" w:eastAsia="仿宋" w:cs="Times New Roman"/>
          <w:b/>
          <w:bCs/>
          <w:color w:val="auto"/>
          <w:kern w:val="2"/>
          <w:sz w:val="24"/>
          <w:szCs w:val="24"/>
          <w:lang w:val="en-US" w:eastAsia="zh-CN" w:bidi="ar-SA"/>
        </w:rPr>
      </w:pPr>
      <w:r>
        <w:rPr>
          <w:rFonts w:hint="eastAsia" w:ascii="仿宋" w:hAnsi="仿宋" w:eastAsia="仿宋" w:cs="Times New Roman"/>
          <w:b/>
          <w:bCs/>
          <w:color w:val="auto"/>
          <w:kern w:val="2"/>
          <w:sz w:val="24"/>
          <w:szCs w:val="24"/>
          <w:lang w:val="en-US" w:eastAsia="zh-CN" w:bidi="ar-SA"/>
        </w:rPr>
        <w:t>二、</w:t>
      </w:r>
      <w:r>
        <w:rPr>
          <w:color w:val="auto"/>
        </w:rPr>
        <w:t>★</w:t>
      </w:r>
      <w:r>
        <w:rPr>
          <w:rFonts w:hint="eastAsia" w:ascii="仿宋" w:hAnsi="仿宋" w:eastAsia="仿宋" w:cs="Times New Roman"/>
          <w:b/>
          <w:bCs/>
          <w:color w:val="auto"/>
          <w:kern w:val="2"/>
          <w:sz w:val="24"/>
          <w:szCs w:val="24"/>
          <w:lang w:val="en-US" w:eastAsia="zh-CN" w:bidi="ar-SA"/>
        </w:rPr>
        <w:t>技术、服务要求</w:t>
      </w:r>
    </w:p>
    <w:p>
      <w:pPr>
        <w:pStyle w:val="6"/>
        <w:adjustRightInd w:val="0"/>
        <w:snapToGrid w:val="0"/>
        <w:spacing w:line="440" w:lineRule="exact"/>
        <w:ind w:firstLine="480"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一</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系统服务内容</w:t>
      </w:r>
    </w:p>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AI人工智能</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82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96" w:hRule="atLeast"/>
        </w:trPr>
        <w:tc>
          <w:tcPr>
            <w:tcW w:w="1608" w:type="dxa"/>
            <w:noWrap w:val="0"/>
            <w:vAlign w:val="center"/>
          </w:tcPr>
          <w:p>
            <w:pPr>
              <w:widowControl/>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246"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0" w:hRule="atLeast"/>
        </w:trPr>
        <w:tc>
          <w:tcPr>
            <w:tcW w:w="1608" w:type="dxa"/>
            <w:noWrap w:val="0"/>
            <w:vAlign w:val="center"/>
          </w:tcPr>
          <w:p>
            <w:pPr>
              <w:widowControl/>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语音录入填报</w:t>
            </w:r>
          </w:p>
        </w:tc>
        <w:tc>
          <w:tcPr>
            <w:tcW w:w="8246"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支持AI语音识别录入，自动提取关键信息回填至系统字段。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4" w:hRule="atLeast"/>
        </w:trPr>
        <w:tc>
          <w:tcPr>
            <w:tcW w:w="1608" w:type="dxa"/>
            <w:noWrap w:val="0"/>
            <w:vAlign w:val="center"/>
          </w:tcPr>
          <w:p>
            <w:pPr>
              <w:widowControl/>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智能拍照识别</w:t>
            </w:r>
          </w:p>
        </w:tc>
        <w:tc>
          <w:tcPr>
            <w:tcW w:w="8246"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支持AI拍照</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册上传识别心电图、门急诊</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院病历、护理记录及检验报告关键数据自动结构化提取填写。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trPr>
        <w:tc>
          <w:tcPr>
            <w:tcW w:w="1608" w:type="dxa"/>
            <w:noWrap w:val="0"/>
            <w:vAlign w:val="center"/>
          </w:tcPr>
          <w:p>
            <w:pPr>
              <w:widowControl/>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远程心电辅助诊断</w:t>
            </w:r>
          </w:p>
        </w:tc>
        <w:tc>
          <w:tcPr>
            <w:tcW w:w="8246"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支持已开通“智慧胸痛远程心电管理云平台”的医院通过心电图拍照完成AI诊断，并与上级医院建立远程会诊通道。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8" w:hRule="atLeast"/>
        </w:trPr>
        <w:tc>
          <w:tcPr>
            <w:tcW w:w="1608" w:type="dxa"/>
            <w:noWrap w:val="0"/>
            <w:vAlign w:val="center"/>
          </w:tcPr>
          <w:p>
            <w:pPr>
              <w:widowControl/>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模拟专家认证评分</w:t>
            </w:r>
          </w:p>
        </w:tc>
        <w:tc>
          <w:tcPr>
            <w:tcW w:w="8246"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支持AI模拟认证专家预估医院认证</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认证评分，并提供改进意见。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6" w:hRule="atLeast"/>
        </w:trPr>
        <w:tc>
          <w:tcPr>
            <w:tcW w:w="1608" w:type="dxa"/>
            <w:noWrap w:val="0"/>
            <w:vAlign w:val="center"/>
          </w:tcPr>
          <w:p>
            <w:pPr>
              <w:widowControl/>
              <w:spacing w:line="360" w:lineRule="auto"/>
              <w:jc w:val="both"/>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认证帮扶问答咨询</w:t>
            </w:r>
          </w:p>
        </w:tc>
        <w:tc>
          <w:tcPr>
            <w:tcW w:w="8246"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内置最新规范化胸痛中心建设与认证标准及临床医学知识库，AI助手辅助解答填报、认证、质控、临床诊疗等相关问题。</w:t>
            </w:r>
          </w:p>
        </w:tc>
      </w:tr>
    </w:tbl>
    <w:p>
      <w:pPr>
        <w:spacing w:line="360" w:lineRule="auto"/>
        <w:rPr>
          <w:rFonts w:hint="eastAsia" w:ascii="宋体" w:hAnsi="宋体" w:eastAsia="宋体" w:cs="宋体"/>
          <w:color w:val="auto"/>
          <w:sz w:val="24"/>
          <w:szCs w:val="24"/>
          <w:highlight w:val="none"/>
        </w:rPr>
      </w:pPr>
    </w:p>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数据直报</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82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229"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04" w:hRule="atLeast"/>
        </w:trPr>
        <w:tc>
          <w:tcPr>
            <w:tcW w:w="1625"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智能填报</w:t>
            </w:r>
          </w:p>
        </w:tc>
        <w:tc>
          <w:tcPr>
            <w:tcW w:w="8229"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支持AI语音识别录入，自动提取关键信息回填至系统字段；</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支持医疗文书AI拍照</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册上传识别，关键数据自动结构化提取填写。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86" w:hRule="atLeast"/>
        </w:trPr>
        <w:tc>
          <w:tcPr>
            <w:tcW w:w="1625"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基本信息</w:t>
            </w:r>
          </w:p>
        </w:tc>
        <w:tc>
          <w:tcPr>
            <w:tcW w:w="8229"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支持登记患者的基本信息，包含：患者姓名、来院方式、首次医疗接触时间、性别、证件类型、证件号、出生日期、年龄、发病地址、医保类型、医保编号</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支持快速扫描，能够从患者身份证、医保卡中快速读取患者基本资料；</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支持发病地址的定位；</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支持AI语音</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照识别录入或修改患者信息；</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支持与中国胸痛中心填报平台同步。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7" w:hRule="atLeast"/>
        </w:trPr>
        <w:tc>
          <w:tcPr>
            <w:tcW w:w="1625"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院前急救</w:t>
            </w:r>
          </w:p>
        </w:tc>
        <w:tc>
          <w:tcPr>
            <w:tcW w:w="8229" w:type="dxa"/>
            <w:noWrap w:val="0"/>
            <w:vAlign w:val="center"/>
          </w:tcPr>
          <w:p>
            <w:pPr>
              <w:widowControl/>
              <w:spacing w:line="360" w:lineRule="auto"/>
              <w:ind w:leftChars="-10" w:hanging="24" w:hangingChars="1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支持记录院前接诊：</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1）发病时间。</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2）呼救时间。</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3）出车单位。</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4）医护人员。</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5）是否转送上级单位。</w:t>
            </w:r>
            <w:r>
              <w:rPr>
                <w:rFonts w:hint="eastAsia" w:ascii="宋体" w:hAnsi="宋体" w:eastAsia="宋体" w:cs="宋体"/>
                <w:color w:val="auto"/>
                <w:kern w:val="0"/>
                <w:sz w:val="24"/>
                <w:szCs w:val="24"/>
                <w:highlight w:val="none"/>
              </w:rPr>
              <w:br w:type="textWrapping"/>
            </w:r>
            <w:r>
              <w:rPr>
                <w:rFonts w:hint="eastAsia" w:ascii="宋体" w:hAnsi="宋体" w:eastAsia="宋体" w:cs="宋体"/>
                <w:color w:val="auto"/>
                <w:kern w:val="0"/>
                <w:sz w:val="24"/>
                <w:szCs w:val="24"/>
                <w:highlight w:val="none"/>
              </w:rPr>
              <w:t>支持记录院前体征，包括：意识、呼吸、脉搏、心率、血压、体温</w:t>
            </w:r>
            <w:r>
              <w:rPr>
                <w:rFonts w:hint="eastAsia" w:ascii="宋体" w:hAnsi="宋体" w:cs="宋体"/>
                <w:color w:val="auto"/>
                <w:kern w:val="0"/>
                <w:sz w:val="24"/>
                <w:szCs w:val="24"/>
                <w:highlight w:val="none"/>
                <w:lang w:eastAsia="zh-CN"/>
              </w:rPr>
              <w:t>；</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支持院前心电图的上传，支持登记远程心电图的传输时间和传输方式；</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支持记录是否远程会诊和双绕；</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支持记录院前初步诊断；</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支持记录双抗治疗；</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支持记录院前溶栓治疗；</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支持记录到达医院大门时间；</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拍照识别录入填报，手工</w:t>
            </w:r>
            <w:r>
              <w:rPr>
                <w:rFonts w:hint="eastAsia" w:ascii="宋体" w:hAnsi="宋体" w:cs="宋体"/>
                <w:color w:val="auto"/>
                <w:kern w:val="0"/>
                <w:sz w:val="24"/>
                <w:szCs w:val="24"/>
                <w:highlight w:val="none"/>
                <w:lang w:val="en-US" w:eastAsia="zh-CN"/>
              </w:rPr>
              <w:t>录入和</w:t>
            </w:r>
            <w:r>
              <w:rPr>
                <w:rFonts w:hint="eastAsia" w:ascii="宋体" w:hAnsi="宋体" w:eastAsia="宋体" w:cs="宋体"/>
                <w:color w:val="auto"/>
                <w:kern w:val="0"/>
                <w:sz w:val="24"/>
                <w:szCs w:val="24"/>
                <w:highlight w:val="none"/>
              </w:rPr>
              <w:t>修改患者信息；</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支持与中国胸痛中心填报平台同步。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52" w:hRule="atLeast"/>
        </w:trPr>
        <w:tc>
          <w:tcPr>
            <w:tcW w:w="1625"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急诊分诊</w:t>
            </w:r>
          </w:p>
        </w:tc>
        <w:tc>
          <w:tcPr>
            <w:tcW w:w="8229" w:type="dxa"/>
            <w:noWrap w:val="0"/>
            <w:vAlign w:val="center"/>
          </w:tcPr>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支持登记患者接诊信息，包括：门诊号、主诉、病情评估、评估明细、院内首诊医师接诊时间</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支持记录院内生命体征，包括：意识、呼吸、脉搏、心率、血压、体温等信息；</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支持记录分诊结果和患者去向；</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照识别录入填报，手工录入</w:t>
            </w:r>
            <w:r>
              <w:rPr>
                <w:rFonts w:hint="eastAsia" w:ascii="宋体" w:hAnsi="宋体" w:cs="宋体"/>
                <w:color w:val="auto"/>
                <w:kern w:val="0"/>
                <w:sz w:val="24"/>
                <w:szCs w:val="24"/>
                <w:highlight w:val="none"/>
                <w:lang w:val="en-US" w:eastAsia="zh-CN"/>
              </w:rPr>
              <w:t>和修</w:t>
            </w:r>
            <w:r>
              <w:rPr>
                <w:rFonts w:hint="eastAsia" w:ascii="宋体" w:hAnsi="宋体" w:eastAsia="宋体" w:cs="宋体"/>
                <w:color w:val="auto"/>
                <w:kern w:val="0"/>
                <w:sz w:val="24"/>
                <w:szCs w:val="24"/>
                <w:highlight w:val="none"/>
              </w:rPr>
              <w:t>改患者信息；</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支持中国胸痛中心填报平台同步。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52" w:hRule="atLeast"/>
        </w:trPr>
        <w:tc>
          <w:tcPr>
            <w:tcW w:w="1625"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检验检查</w:t>
            </w:r>
          </w:p>
        </w:tc>
        <w:tc>
          <w:tcPr>
            <w:tcW w:w="8229" w:type="dxa"/>
            <w:noWrap w:val="0"/>
            <w:vAlign w:val="top"/>
          </w:tcPr>
          <w:p>
            <w:pPr>
              <w:widowControl/>
              <w:spacing w:line="360" w:lineRule="auto"/>
              <w:ind w:leftChars="-10" w:hanging="24" w:hangingChars="1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支持院内心电图的拍照上传，支持登记远程心电图的接收时间和传输方式，是否远程会诊和双绕由院前急救同步信息</w:t>
            </w:r>
            <w:r>
              <w:rPr>
                <w:rFonts w:hint="eastAsia" w:ascii="宋体" w:hAnsi="宋体" w:eastAsia="宋体" w:cs="宋体"/>
                <w:color w:val="auto"/>
                <w:kern w:val="0"/>
                <w:sz w:val="24"/>
                <w:szCs w:val="24"/>
                <w:highlight w:val="none"/>
                <w:lang w:eastAsia="zh-CN"/>
              </w:rPr>
              <w:t>；</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支持记录检查，包括：肌钙蛋白和实验室检查；</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支持记录是否远程会诊和双绕；</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支持记录院前初步诊断，对患者进行心功能分级；</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照识别录入填报，手工录入</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改患者信息；</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支持与中国胸痛中心填报平台同步。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3"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院内诊疗</w:t>
            </w:r>
          </w:p>
        </w:tc>
        <w:tc>
          <w:tcPr>
            <w:tcW w:w="8229" w:type="dxa"/>
            <w:noWrap w:val="0"/>
            <w:vAlign w:val="top"/>
          </w:tcPr>
          <w:p>
            <w:pPr>
              <w:widowControl/>
              <w:spacing w:line="360" w:lineRule="auto"/>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rPr>
              <w:t>支持记录用药情况，包括：双抗给药、术前抗凝、他汀治疗、β受体阻滞剂</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用情况，双抗情况可由院前急救同步</w:t>
            </w:r>
            <w:r>
              <w:rPr>
                <w:rFonts w:hint="eastAsia" w:ascii="宋体" w:hAnsi="宋体" w:eastAsia="宋体" w:cs="宋体"/>
                <w:color w:val="auto"/>
                <w:kern w:val="0"/>
                <w:sz w:val="24"/>
                <w:szCs w:val="24"/>
                <w:highlight w:val="none"/>
                <w:lang w:eastAsia="zh-CN"/>
              </w:rPr>
              <w:t>；</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支持选择再灌注策略；</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拍照识别录入填报，手工录入</w:t>
            </w:r>
            <w:r>
              <w:rPr>
                <w:rFonts w:hint="eastAsia" w:ascii="宋体" w:hAnsi="宋体" w:cs="宋体"/>
                <w:color w:val="auto"/>
                <w:kern w:val="0"/>
                <w:sz w:val="24"/>
                <w:szCs w:val="24"/>
                <w:highlight w:val="none"/>
                <w:lang w:val="en-US" w:eastAsia="zh-CN"/>
              </w:rPr>
              <w:t>和修</w:t>
            </w:r>
            <w:r>
              <w:rPr>
                <w:rFonts w:hint="eastAsia" w:ascii="宋体" w:hAnsi="宋体" w:eastAsia="宋体" w:cs="宋体"/>
                <w:color w:val="auto"/>
                <w:kern w:val="0"/>
                <w:sz w:val="24"/>
                <w:szCs w:val="24"/>
                <w:highlight w:val="none"/>
              </w:rPr>
              <w:t>改患者信息；</w:t>
            </w:r>
          </w:p>
          <w:p>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支持与中国胸痛中心填报平台同步。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7"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介入手术</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支持记录介入手术的情况，包括：导管室激活时间、穿刺时间、造影时间、TIMI血流等级、抗凝药物、D2W</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支持记录冠脉造影情况；</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支持记录手术器械使用情况；</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和拍</w:t>
            </w:r>
            <w:r>
              <w:rPr>
                <w:rFonts w:hint="eastAsia" w:ascii="宋体" w:hAnsi="宋体" w:eastAsia="宋体" w:cs="宋体"/>
                <w:color w:val="auto"/>
                <w:kern w:val="0"/>
                <w:sz w:val="24"/>
                <w:szCs w:val="24"/>
                <w:highlight w:val="none"/>
              </w:rPr>
              <w:t>照识别录入填报，手工录入</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修改患者信息；</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7"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患者转归</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支持登记患者的出院诊断，包括：住院号、出院诊断</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支持记录患者住院期间的用药情况；</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支持登记患者的出院信息，包括住院天数、总费用、出院或30天转归情况，记录患者在本院治疗后的情况；</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和拍</w:t>
            </w:r>
            <w:r>
              <w:rPr>
                <w:rFonts w:hint="eastAsia" w:ascii="宋体" w:hAnsi="宋体" w:eastAsia="宋体" w:cs="宋体"/>
                <w:color w:val="auto"/>
                <w:kern w:val="0"/>
                <w:sz w:val="24"/>
                <w:szCs w:val="24"/>
                <w:highlight w:val="none"/>
              </w:rPr>
              <w:t>照识别录入填报，手工录入</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修改患者信息；</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17"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患者列表</w:t>
            </w:r>
          </w:p>
        </w:tc>
        <w:tc>
          <w:tcPr>
            <w:tcW w:w="8229" w:type="dxa"/>
            <w:noWrap w:val="0"/>
            <w:vAlign w:val="top"/>
          </w:tcPr>
          <w:p>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提供患者列表包含基本信息、建档时间、来院方式、诊断</w:t>
            </w:r>
            <w:r>
              <w:rPr>
                <w:rFonts w:hint="eastAsia" w:ascii="宋体" w:hAnsi="宋体" w:cs="宋体"/>
                <w:color w:val="auto"/>
                <w:sz w:val="24"/>
                <w:szCs w:val="24"/>
                <w:highlight w:val="none"/>
                <w:lang w:eastAsia="zh-CN"/>
              </w:rPr>
              <w:t>；</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支持筛选查找；</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按照填报中、待审核、待存档、已归档分类；</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支持病例的保存、提交、审核、归档、通过和驳回；</w:t>
            </w:r>
          </w:p>
          <w:p>
            <w:pPr>
              <w:widowControl/>
              <w:spacing w:line="360" w:lineRule="auto"/>
              <w:ind w:leftChars="-10" w:hanging="24" w:hangingChars="1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支持AI语音</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拍照识别录入填报，手工录入</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修改患者信息；</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支持中国胸痛中心填报平台同步。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默认模板</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可设置默认模板：支持双抗、住院期间用药、抗凝药物、出院带药、检查检验、网络医院和医护列表默认模板，支持快速模板填报。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病例建档和删除</w:t>
            </w:r>
          </w:p>
        </w:tc>
        <w:tc>
          <w:tcPr>
            <w:tcW w:w="8229"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APP端新增建档病例，中国胸痛中心填报平台也会同步新增病例。</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APP端删除病例，中国胸痛中心填报平台也会同步删除病例。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83"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分场景填报</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进行分场景填报，设置不同角色，如院前急救、急诊接诊、心内科、导管室，包括内容：患者基本信息、地址定位、院前急救-呼救120、院前急救-转院、急诊分诊、检验检查、院内诊疗、介入手术、患者转归、院前院内信息同步、心电图、肌钙蛋白、Grace评分自动分层、入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4"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时间采集</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根据账户权限和角色，显示时间采集模块；</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快速点选采集当前时间，可AI语音</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拍照识别录入填报，可修改时间，修改后可同步至病例编辑模块和中国胸痛中心填报平台。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48"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时间轴</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呈现单病例全流程救治流程的时间轴，显示核心指标时间如S2FMC、FMC2ECG、D2W、FMC2W和D2N时间；</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支持时间轴中时间差值计算，时间轴中更改时间值，同步至病例编辑模块、时间采集模块和中国胸痛中心填报平台。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90"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单病例分析</w:t>
            </w:r>
          </w:p>
        </w:tc>
        <w:tc>
          <w:tcPr>
            <w:tcW w:w="8229"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显示各项认证指标的具体要求，如入选条件和质控要求，显示病例是否达标。</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（1）若该病例不符合入选条件，显示灰色和不满足的字段。 </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（2）若该病例字段填报缺失但符合入选条件，显示灰色并提醒漏填字段。</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（3）若该病例符合单项指标的算法，显示蓝色，时间型指标反应反应用时情况，趋势型指标反应趋势情况。</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若该病例符合单项指标入选条件，但不满足质控要求，显示红色，时间型指标分析指标算法中要求的字段填报内容如时间等，并且反应用时情况；趋势型指标分析指标算法中要求的字段填报内容如“是否”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4" w:hRule="atLeast"/>
        </w:trPr>
        <w:tc>
          <w:tcPr>
            <w:tcW w:w="1625"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低危胸痛患者管理</w:t>
            </w:r>
          </w:p>
        </w:tc>
        <w:tc>
          <w:tcPr>
            <w:tcW w:w="8229" w:type="dxa"/>
            <w:noWrap w:val="0"/>
            <w:vAlign w:val="top"/>
          </w:tcPr>
          <w:p>
            <w:pPr>
              <w:spacing w:line="360" w:lineRule="auto"/>
              <w:jc w:val="left"/>
              <w:rPr>
                <w:rFonts w:hint="eastAsia" w:ascii="宋体" w:hAnsi="宋体" w:eastAsia="宋体" w:cs="宋体"/>
                <w:color w:val="auto"/>
                <w:sz w:val="24"/>
                <w:szCs w:val="24"/>
                <w:highlight w:val="none"/>
              </w:rPr>
            </w:pPr>
          </w:p>
          <w:p>
            <w:pPr>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支持低危胸痛及胸痛待查患者建档留存，根据病情选择上报与否。</w:t>
            </w:r>
          </w:p>
        </w:tc>
      </w:tr>
    </w:tbl>
    <w:p>
      <w:pPr>
        <w:spacing w:line="360" w:lineRule="auto"/>
        <w:rPr>
          <w:rFonts w:hint="eastAsia" w:ascii="宋体" w:hAnsi="宋体" w:eastAsia="宋体" w:cs="宋体"/>
          <w:color w:val="auto"/>
          <w:sz w:val="24"/>
          <w:szCs w:val="24"/>
          <w:highlight w:val="none"/>
        </w:rPr>
      </w:pPr>
    </w:p>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数据分析</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3"/>
        <w:gridCol w:w="82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603"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251"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603" w:type="dxa"/>
            <w:vMerge w:val="restart"/>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数据概览</w:t>
            </w: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显示累计填报量：</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支持时间过滤：3个月、近6个月、近一年或者自定义。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高危胸痛患者填报趋势：</w:t>
            </w:r>
            <w:r>
              <w:rPr>
                <w:rFonts w:hint="eastAsia" w:ascii="宋体" w:hAnsi="宋体" w:eastAsia="宋体" w:cs="宋体"/>
                <w:color w:val="auto"/>
                <w:kern w:val="0"/>
                <w:sz w:val="24"/>
                <w:szCs w:val="24"/>
                <w:highlight w:val="none"/>
              </w:rPr>
              <w:tab/>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柱状图：显示STEMI、NSTEMI、UA、主动脉夹层和肺动脉栓塞的病例数量。</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折线图:显示每个月患者总量的变化趋势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病因分析：</w:t>
            </w:r>
            <w:r>
              <w:rPr>
                <w:rFonts w:hint="eastAsia" w:ascii="宋体" w:hAnsi="宋体" w:eastAsia="宋体" w:cs="宋体"/>
                <w:color w:val="auto"/>
                <w:kern w:val="0"/>
                <w:sz w:val="24"/>
                <w:szCs w:val="24"/>
                <w:highlight w:val="none"/>
              </w:rPr>
              <w:tab/>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饼状图：显示诊断中、STEMI、NSTEMI、UA、主动脉夹层、肺动脉栓塞、非ACS心源性胸痛、其它非心源性胸痛和其它的病例数。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发病12h以内STEMI患者再灌注策略：</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柱状图;根据填报的患者再灌注策略，统计出选择急诊PCI、溶栓、转运PCI、补救PCI、其他这五个策略的STEMI患者数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网络医院统计：</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统计网络医院的转诊患者数和STEMI患者的再灌注策略。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数据填报管理执行情况：</w:t>
            </w:r>
          </w:p>
          <w:p>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饼状图：统计完成填报、完成审核、完成归档和超期归档的病例比例。</w:t>
            </w:r>
          </w:p>
          <w:p>
            <w:pPr>
              <w:widowControl/>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提醒即将锁定的病例和已经被锁定的病例</w:t>
            </w:r>
            <w:r>
              <w:rPr>
                <w:rFonts w:hint="eastAsia" w:ascii="宋体" w:hAnsi="宋体" w:eastAsia="宋体" w:cs="宋体"/>
                <w:color w:val="auto"/>
                <w:sz w:val="24"/>
                <w:szCs w:val="24"/>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胸痛患者随访统计：</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折线图：显示1月随访、3月随访、6月随访和12月随访的比例。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6" w:hRule="atLeast"/>
        </w:trPr>
        <w:tc>
          <w:tcPr>
            <w:tcW w:w="1603" w:type="dxa"/>
            <w:vMerge w:val="restart"/>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智能分析</w:t>
            </w:r>
          </w:p>
        </w:tc>
        <w:tc>
          <w:tcPr>
            <w:tcW w:w="8251"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整体意见：</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根据不同时间段，分析不同时间段内医院胸痛中心数据填报及指标改善情况，对临床流程、数据管理、人员培训等方面给出总体意见。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3"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指标概览：</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显示各项认证指标的具体情况达标的显示，分析不同时间段的指标详情，包括：是否达标、不达标的月份、入选条件、参考标准、病例总数、有效数据、无效数据</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 xml:space="preserve"> </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(1)若该时间段不符合指标入选条件，显示灰色。 </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(2)若该时间段符合指标的算法，显示绿色，并且反应该时间段内的填报情况。</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(3)若该时间段符合指标入选条件，但不满足质控要求，显示红色，同时显示不达标的月份，并且反应该时间段内的填报情况。</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支持筛选关键指标；</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支持给予各单项指标的整改意见。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63"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指标汇总分析：</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显示入选条件、时间范围、平均时间、病例总数、有效数据例数、达标数量、未达标数量、达标率、无效数据例数、填报异常例数；</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显示纳入指标算法的病例数，包括达标病例数、未达标病例数和达标率；</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显示填报异常的病例。</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支持查看填报异常的患者列表，给出具体意见，并且可以跳转到具体病例进行查看和填报。</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显示该指标算法下的具体病例情况，如编号、姓名、所用时间，同时显示指标算法中要求的字段填报内容如时间等；支持具体病例的定位跳转。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7" w:hRule="atLeast"/>
        </w:trPr>
        <w:tc>
          <w:tcPr>
            <w:tcW w:w="1603" w:type="dxa"/>
            <w:vMerge w:val="continue"/>
            <w:noWrap w:val="0"/>
            <w:vAlign w:val="center"/>
          </w:tcPr>
          <w:p>
            <w:pPr>
              <w:widowControl/>
              <w:spacing w:line="360" w:lineRule="auto"/>
              <w:rPr>
                <w:rFonts w:hint="eastAsia" w:ascii="宋体" w:hAnsi="宋体" w:eastAsia="宋体" w:cs="宋体"/>
                <w:b/>
                <w:bCs/>
                <w:color w:val="auto"/>
                <w:kern w:val="0"/>
                <w:sz w:val="24"/>
                <w:szCs w:val="24"/>
                <w:highlight w:val="none"/>
              </w:rPr>
            </w:pPr>
          </w:p>
        </w:tc>
        <w:tc>
          <w:tcPr>
            <w:tcW w:w="8251"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指标明细分析：</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统计该时间段内每个月份的平均时间、达标量</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病例总数、达标率。</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显示该指标算法下的每月的填报情况，包括月份、平均时间、达标病例</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有效病例和达标率；</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点击月份，显示总病例、有效病例、达标病例、未达标病例和无效病例的数量；</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显示该指标算法下的具体病例情况，如编号、姓名和时间差值，同时分析指标算法中要求的字段填报内容；</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支持具体病例定位跳转。</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统计该时间段内每个月份的平均时间、有效数据例数/病例总数、百分比。</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显示该指标算法下的每月的填报情况，包括月份、有效病例/病例总数和达标率；点击月份，显示总病例、有效病例、达标病例、未达标病例和无效病例的数量；</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显示该指标算法下的具体病例情况，如编号、姓名，同时指标算法中要求的字段填报内容；</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支持具体病例定位跳转。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5" w:hRule="atLeast"/>
        </w:trPr>
        <w:tc>
          <w:tcPr>
            <w:tcW w:w="1603"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质控指标</w:t>
            </w:r>
          </w:p>
        </w:tc>
        <w:tc>
          <w:tcPr>
            <w:tcW w:w="8251" w:type="dxa"/>
            <w:noWrap w:val="0"/>
            <w:vAlign w:val="center"/>
          </w:tcPr>
          <w:p>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通过胸痛联盟认证后支持质控指标分析查看：</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指标考核病例需满足条件：</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支持进行该指标的满足条件说明</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指标详情图：</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在病例考核范围内，统计平均时间、最大差值、最小差值和统计病例总数</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指标统计患者详细说明图：</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提供患者具体情况，包括：编号、差值。同时显示指标算法中要求的字段填报内容如时间。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2" w:hRule="atLeast"/>
        </w:trPr>
        <w:tc>
          <w:tcPr>
            <w:tcW w:w="1603"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认证/再认证自评</w:t>
            </w:r>
          </w:p>
        </w:tc>
        <w:tc>
          <w:tcPr>
            <w:tcW w:w="8251" w:type="dxa"/>
            <w:noWrap w:val="0"/>
            <w:vAlign w:val="center"/>
          </w:tcPr>
          <w:p>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支持AI模拟认证专家预估医院认证</w:t>
            </w:r>
            <w:r>
              <w:rPr>
                <w:rFonts w:hint="eastAsia" w:ascii="宋体" w:hAnsi="宋体" w:cs="宋体"/>
                <w:color w:val="auto"/>
                <w:sz w:val="24"/>
                <w:szCs w:val="24"/>
                <w:highlight w:val="none"/>
                <w:lang w:val="en-US" w:eastAsia="zh-CN"/>
              </w:rPr>
              <w:t>和</w:t>
            </w:r>
            <w:r>
              <w:rPr>
                <w:rFonts w:hint="eastAsia" w:ascii="宋体" w:hAnsi="宋体" w:eastAsia="宋体" w:cs="宋体"/>
                <w:color w:val="auto"/>
                <w:sz w:val="24"/>
                <w:szCs w:val="24"/>
                <w:highlight w:val="none"/>
              </w:rPr>
              <w:t>再认证评分，并提供改进意见。</w:t>
            </w:r>
          </w:p>
        </w:tc>
      </w:tr>
    </w:tbl>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救治单元管理</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8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266"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44" w:hRule="atLeast"/>
        </w:trPr>
        <w:tc>
          <w:tcPr>
            <w:tcW w:w="1588" w:type="dxa"/>
            <w:noWrap w:val="0"/>
            <w:vAlign w:val="center"/>
          </w:tcPr>
          <w:p>
            <w:pPr>
              <w:widowControl/>
              <w:spacing w:line="360" w:lineRule="auto"/>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基本信息</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支持登记患者的基本信息，包含：患者姓名、来院方式、首次医疗接触时间、性别、证件类型、证件号、出生日期、年龄、发病地址、医保类型、医保编号；</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支持快速扫描，能够从患者身份证、医保卡中快速读取患者基本资料；</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支持发病地址的定位；</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支持记录发病时间；</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支持直接手工录入、修改患者信息；</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支持与中国胸痛中心填报平台对接，支持接收下级救治单元的填报数据；</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下级救治单元账号自动生成。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病情评估</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支持对病情进行评估，并选择评估明细。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诊断</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支持记录诊断结果和诊断时间。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来院方式</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支持记录来院方式、首次医疗接触时间和到达医院大门时间。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基础生命体征</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支持记录院前体征，包括：意识、呼吸、脉搏、心率、血压、体温等信息。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心电图</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支持上传心电图。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实验室</w:t>
            </w:r>
          </w:p>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检查</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支持记录检查，包括：肌钙蛋白和实验室检查。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初始药物</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支持记录双抗药物使用情况。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治疗策略</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支持治疗策略的选择，包括：溶栓、转运和保守治疗。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院内溶栓治疗</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支持记录院内溶栓时间和溶栓药物使用情况。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5"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出院信息</w:t>
            </w:r>
          </w:p>
        </w:tc>
        <w:tc>
          <w:tcPr>
            <w:tcW w:w="8266"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支持记录出院诊断、出院转归和离开本院大门时间。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43" w:hRule="atLeast"/>
        </w:trPr>
        <w:tc>
          <w:tcPr>
            <w:tcW w:w="1588"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患者列表</w:t>
            </w:r>
          </w:p>
        </w:tc>
        <w:tc>
          <w:tcPr>
            <w:tcW w:w="8266" w:type="dxa"/>
            <w:noWrap w:val="0"/>
            <w:vAlign w:val="top"/>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提供患者列表包含基本信息、建档时间、来院方式、诊断；</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支持筛选查找；</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按照填报中、待审核、待存档、已归档分类；</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支持病例的保存、提交、审核、归档；</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支持直接手工录入、修改患者信息；</w:t>
            </w:r>
          </w:p>
          <w:p>
            <w:pPr>
              <w:widowControl/>
              <w:spacing w:line="360" w:lineRule="auto"/>
              <w:ind w:leftChars="-10" w:hanging="24" w:hangingChars="1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救治单元单位用户填报信息，可同步至胸痛中心单位账户</w:t>
            </w:r>
          </w:p>
        </w:tc>
      </w:tr>
    </w:tbl>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随访管理</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8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494"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36"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随访列表</w:t>
            </w:r>
          </w:p>
        </w:tc>
        <w:tc>
          <w:tcPr>
            <w:tcW w:w="8494" w:type="dxa"/>
            <w:noWrap w:val="0"/>
            <w:vAlign w:val="center"/>
          </w:tcPr>
          <w:p>
            <w:pPr>
              <w:widowControl/>
              <w:spacing w:line="360" w:lineRule="auto"/>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val="en-US" w:eastAsia="zh-CN"/>
              </w:rPr>
              <w:t>具有</w:t>
            </w:r>
            <w:r>
              <w:rPr>
                <w:rFonts w:hint="eastAsia" w:ascii="宋体" w:hAnsi="宋体" w:eastAsia="宋体" w:cs="宋体"/>
                <w:color w:val="auto"/>
                <w:kern w:val="0"/>
                <w:sz w:val="24"/>
                <w:szCs w:val="24"/>
                <w:highlight w:val="none"/>
              </w:rPr>
              <w:t>患者列表，包含姓名、诊断、计划随访日期、随访有效期，随访进度；</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支持筛选查找；</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按照未随访、已随访、已过期的分类；</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支持随访提醒；</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支持短信</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电话</w:t>
            </w:r>
            <w:r>
              <w:rPr>
                <w:rFonts w:hint="eastAsia" w:ascii="宋体" w:hAnsi="宋体" w:cs="宋体"/>
                <w:color w:val="auto"/>
                <w:kern w:val="0"/>
                <w:sz w:val="24"/>
                <w:szCs w:val="24"/>
                <w:highlight w:val="none"/>
                <w:lang w:val="en-US" w:eastAsia="zh-CN"/>
              </w:rPr>
              <w:t>和</w:t>
            </w:r>
            <w:r>
              <w:rPr>
                <w:rFonts w:hint="eastAsia" w:ascii="宋体" w:hAnsi="宋体" w:eastAsia="宋体" w:cs="宋体"/>
                <w:color w:val="auto"/>
                <w:kern w:val="0"/>
                <w:sz w:val="24"/>
                <w:szCs w:val="24"/>
                <w:highlight w:val="none"/>
              </w:rPr>
              <w:t>语音一键通知患者随访；</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撤销随访时，弹出对话框提示是否确定撤销随访，如果用户确认，则删除患者随访信息，恢复患者病例的出院或30天转归、出院时间字段的编辑功能；</w:t>
            </w:r>
          </w:p>
          <w:p>
            <w:pPr>
              <w:widowControl/>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支持保存和新增随访。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93" w:hRule="atLeast"/>
        </w:trPr>
        <w:tc>
          <w:tcPr>
            <w:tcW w:w="1360" w:type="dxa"/>
            <w:vMerge w:val="restart"/>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随访详情</w:t>
            </w: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基本信息：</w:t>
            </w:r>
          </w:p>
          <w:p>
            <w:pPr>
              <w:pStyle w:val="31"/>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支持1月、3月、6月、12月分别记录随访信息，包括：是否随访、随访信息获取途径、实际评估日期、随访状态、目前情况、是否加入心脏康复计划、是否加入心脏关爱计划、出院后主要心血管不良事件。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1" w:hRule="atLeast"/>
        </w:trPr>
        <w:tc>
          <w:tcPr>
            <w:tcW w:w="1360" w:type="dxa"/>
            <w:vMerge w:val="continue"/>
            <w:noWrap w:val="0"/>
            <w:vAlign w:val="center"/>
          </w:tcPr>
          <w:p>
            <w:pPr>
              <w:widowControl/>
              <w:spacing w:line="360" w:lineRule="auto"/>
              <w:jc w:val="center"/>
              <w:rPr>
                <w:rFonts w:hint="eastAsia" w:ascii="宋体" w:hAnsi="宋体" w:eastAsia="宋体" w:cs="宋体"/>
                <w:b/>
                <w:bCs/>
                <w:color w:val="auto"/>
                <w:kern w:val="0"/>
                <w:sz w:val="24"/>
                <w:szCs w:val="24"/>
                <w:highlight w:val="none"/>
              </w:rPr>
            </w:pPr>
          </w:p>
        </w:tc>
        <w:tc>
          <w:tcPr>
            <w:tcW w:w="8494" w:type="dxa"/>
            <w:noWrap w:val="0"/>
            <w:vAlign w:val="center"/>
          </w:tcPr>
          <w:p>
            <w:pPr>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危险因素控制：包括：血压监测、血脂四项、脂蛋白a、空腹血糖、糖化血红蛋白、是否吸烟、是否饮酒</w:t>
            </w:r>
            <w:r>
              <w:rPr>
                <w:rFonts w:hint="eastAsia" w:ascii="宋体" w:hAnsi="宋体" w:cs="宋体"/>
                <w:color w:val="auto"/>
                <w:sz w:val="24"/>
                <w:szCs w:val="24"/>
                <w:highlight w:val="none"/>
                <w:lang w:eastAsia="zh-CN"/>
              </w:rPr>
              <w:t>。</w:t>
            </w:r>
          </w:p>
        </w:tc>
      </w:tr>
    </w:tbl>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智慧三会模板</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8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8"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494"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典型病例分析会</w:t>
            </w:r>
          </w:p>
        </w:tc>
        <w:tc>
          <w:tcPr>
            <w:tcW w:w="8494" w:type="dxa"/>
            <w:noWrap w:val="0"/>
            <w:vAlign w:val="center"/>
          </w:tcPr>
          <w:p>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根据填报情况，大数据分析智能遴选典型病例，一键生成PPT，提供医院参考。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0"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质量分析会</w:t>
            </w: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根据填报情况，筛选出不达标的病例，分析不达标的原因，并且给出具体建议，生成PPT，供医院进行会议讲解。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1"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联合例会</w:t>
            </w:r>
          </w:p>
        </w:tc>
        <w:tc>
          <w:tcPr>
            <w:tcW w:w="8494" w:type="dxa"/>
            <w:noWrap w:val="0"/>
            <w:vAlign w:val="center"/>
          </w:tcPr>
          <w:p>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汇总院内外相关部门的病历数据及指标达标情况，生成联合例会PPT。</w:t>
            </w:r>
          </w:p>
        </w:tc>
      </w:tr>
    </w:tbl>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胸痛学院</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8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1"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494"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3"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胸痛学院</w:t>
            </w:r>
          </w:p>
        </w:tc>
        <w:tc>
          <w:tcPr>
            <w:tcW w:w="8494" w:type="dxa"/>
            <w:noWrap w:val="0"/>
            <w:vAlign w:val="center"/>
          </w:tcPr>
          <w:p>
            <w:pPr>
              <w:spacing w:line="360" w:lineRule="auto"/>
              <w:rPr>
                <w:rFonts w:hint="eastAsia" w:ascii="宋体" w:hAnsi="宋体" w:eastAsia="宋体" w:cs="宋体"/>
                <w:color w:val="auto"/>
                <w:kern w:val="0"/>
                <w:sz w:val="24"/>
                <w:szCs w:val="24"/>
                <w:highlight w:val="none"/>
              </w:rPr>
            </w:pPr>
            <w:r>
              <w:rPr>
                <w:rFonts w:hint="eastAsia" w:ascii="宋体" w:hAnsi="宋体" w:cs="宋体"/>
                <w:color w:val="auto"/>
                <w:sz w:val="24"/>
                <w:szCs w:val="24"/>
                <w:highlight w:val="none"/>
                <w:lang w:val="en-US" w:eastAsia="zh-CN"/>
              </w:rPr>
              <w:t>具有</w:t>
            </w:r>
            <w:r>
              <w:rPr>
                <w:rFonts w:hint="eastAsia" w:ascii="宋体" w:hAnsi="宋体" w:eastAsia="宋体" w:cs="宋体"/>
                <w:color w:val="auto"/>
                <w:sz w:val="24"/>
                <w:szCs w:val="24"/>
                <w:highlight w:val="none"/>
              </w:rPr>
              <w:t>学习资料，如最新胸痛中心认证标准、相关培训课件、相关培训视频、视频会议、官方消息、指南、学术文章、各种文件解读，医院可以根据自己的需要选择资料进行学习。</w:t>
            </w:r>
          </w:p>
        </w:tc>
      </w:tr>
    </w:tbl>
    <w:p>
      <w:pPr>
        <w:pStyle w:val="4"/>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权限管理</w:t>
      </w:r>
    </w:p>
    <w:tbl>
      <w:tblPr>
        <w:tblStyle w:val="32"/>
        <w:tblW w:w="98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0"/>
        <w:gridCol w:w="8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6"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功能名称</w:t>
            </w:r>
          </w:p>
        </w:tc>
        <w:tc>
          <w:tcPr>
            <w:tcW w:w="8494"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技术和性能参数需求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5" w:hRule="atLeast"/>
        </w:trPr>
        <w:tc>
          <w:tcPr>
            <w:tcW w:w="1360" w:type="dxa"/>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用户管理</w:t>
            </w: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支持机构管理员查看，其他子账户无法查看；</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支持新增用户，新增账户同步至填报平台；</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支持删除账户，同步删除填报平台账户；</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支持绑定角色；</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支持编辑用户资料；</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支持同步用户资料至中国胸痛中心填报平台(姓名、手机号、邮箱)；</w:t>
            </w:r>
          </w:p>
          <w:p>
            <w:pPr>
              <w:spacing w:line="360" w:lineRule="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支持修改或重置密码，并和中国胸痛中心填报平台互通。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1" w:hRule="atLeast"/>
        </w:trPr>
        <w:tc>
          <w:tcPr>
            <w:tcW w:w="1360" w:type="dxa"/>
            <w:vMerge w:val="restart"/>
            <w:noWrap w:val="0"/>
            <w:vAlign w:val="center"/>
          </w:tcPr>
          <w:p>
            <w:pPr>
              <w:widowControl/>
              <w:spacing w:line="360"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角色管理</w:t>
            </w: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各场景填报员：</w:t>
            </w:r>
            <w:r>
              <w:rPr>
                <w:rFonts w:hint="eastAsia" w:ascii="宋体" w:hAnsi="宋体" w:eastAsia="宋体" w:cs="宋体"/>
                <w:color w:val="auto"/>
                <w:sz w:val="24"/>
                <w:szCs w:val="24"/>
                <w:highlight w:val="none"/>
              </w:rPr>
              <w:tab/>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支持登录、修改密码；</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默认开通各场景模块的数据填报、数据分析、救治单元管理、随访管理、智慧化三会模板和胸痛学院；</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支持进行保存和提交。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4" w:hRule="atLeast"/>
        </w:trPr>
        <w:tc>
          <w:tcPr>
            <w:tcW w:w="1360" w:type="dxa"/>
            <w:vMerge w:val="continue"/>
            <w:noWrap w:val="0"/>
            <w:vAlign w:val="center"/>
          </w:tcPr>
          <w:p>
            <w:pPr>
              <w:widowControl/>
              <w:spacing w:line="360" w:lineRule="auto"/>
              <w:jc w:val="center"/>
              <w:rPr>
                <w:rFonts w:hint="eastAsia" w:ascii="宋体" w:hAnsi="宋体" w:eastAsia="宋体" w:cs="宋体"/>
                <w:b/>
                <w:bCs/>
                <w:color w:val="auto"/>
                <w:kern w:val="0"/>
                <w:sz w:val="24"/>
                <w:szCs w:val="24"/>
                <w:highlight w:val="none"/>
              </w:rPr>
            </w:pP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随访员：</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支持登录、修改密码；</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默认开通随访管理和胸痛学院。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360" w:type="dxa"/>
            <w:vMerge w:val="continue"/>
            <w:noWrap w:val="0"/>
            <w:vAlign w:val="center"/>
          </w:tcPr>
          <w:p>
            <w:pPr>
              <w:widowControl/>
              <w:spacing w:line="360" w:lineRule="auto"/>
              <w:jc w:val="center"/>
              <w:rPr>
                <w:rFonts w:hint="eastAsia" w:ascii="宋体" w:hAnsi="宋体" w:eastAsia="宋体" w:cs="宋体"/>
                <w:b/>
                <w:bCs/>
                <w:color w:val="auto"/>
                <w:kern w:val="0"/>
                <w:sz w:val="24"/>
                <w:szCs w:val="24"/>
                <w:highlight w:val="none"/>
              </w:rPr>
            </w:pP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审核员：</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支持登录、修改密码；</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默认开通数据填报、数据分析、救治单元管理、随访管理、智慧化三会模板和胸痛学院；</w:t>
            </w:r>
          </w:p>
          <w:p>
            <w:pPr>
              <w:pStyle w:val="31"/>
              <w:spacing w:line="360" w:lineRule="auto"/>
              <w:ind w:left="0" w:leftChars="0"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支持进行审核和驳回。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1" w:hRule="atLeast"/>
        </w:trPr>
        <w:tc>
          <w:tcPr>
            <w:tcW w:w="1360" w:type="dxa"/>
            <w:vMerge w:val="continue"/>
            <w:noWrap w:val="0"/>
            <w:vAlign w:val="center"/>
          </w:tcPr>
          <w:p>
            <w:pPr>
              <w:widowControl/>
              <w:spacing w:line="360" w:lineRule="auto"/>
              <w:jc w:val="center"/>
              <w:rPr>
                <w:rFonts w:hint="eastAsia" w:ascii="宋体" w:hAnsi="宋体" w:eastAsia="宋体" w:cs="宋体"/>
                <w:b/>
                <w:bCs/>
                <w:color w:val="auto"/>
                <w:kern w:val="0"/>
                <w:sz w:val="24"/>
                <w:szCs w:val="24"/>
                <w:highlight w:val="none"/>
              </w:rPr>
            </w:pP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归档员：</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支持登录、修改密码；</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默认开通数据填报、数据分析、救治单元管理、随访管理、智慧化三会模板和胸痛学院；</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支持进行归档。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49" w:hRule="atLeast"/>
        </w:trPr>
        <w:tc>
          <w:tcPr>
            <w:tcW w:w="1360" w:type="dxa"/>
            <w:vMerge w:val="continue"/>
            <w:noWrap w:val="0"/>
            <w:vAlign w:val="center"/>
          </w:tcPr>
          <w:p>
            <w:pPr>
              <w:widowControl/>
              <w:spacing w:line="360" w:lineRule="auto"/>
              <w:jc w:val="center"/>
              <w:rPr>
                <w:rFonts w:hint="eastAsia" w:ascii="宋体" w:hAnsi="宋体" w:eastAsia="宋体" w:cs="宋体"/>
                <w:b/>
                <w:bCs/>
                <w:color w:val="auto"/>
                <w:kern w:val="0"/>
                <w:sz w:val="24"/>
                <w:szCs w:val="24"/>
                <w:highlight w:val="none"/>
              </w:rPr>
            </w:pPr>
          </w:p>
        </w:tc>
        <w:tc>
          <w:tcPr>
            <w:tcW w:w="8494" w:type="dxa"/>
            <w:noWrap w:val="0"/>
            <w:vAlign w:val="center"/>
          </w:tcPr>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机构管理员：</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支持登录、修改密码；</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默认开通数据填报、数据分析、救治单元管理、随访管理、智慧化三会模板和胸痛学院；</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支持进行保存、提交、审核、驳回和归档；</w:t>
            </w:r>
          </w:p>
          <w:p>
            <w:pPr>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可修改人员权限。</w:t>
            </w:r>
          </w:p>
        </w:tc>
      </w:tr>
    </w:tbl>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p>
      <w:pPr>
        <w:pStyle w:val="16"/>
        <w:outlineLvl w:val="9"/>
        <w:rPr>
          <w:rFonts w:ascii="仿宋" w:hAnsi="仿宋" w:eastAsia="仿宋" w:cs="Arial"/>
          <w:b/>
          <w:bCs/>
          <w:color w:val="auto"/>
          <w:sz w:val="32"/>
          <w:szCs w:val="32"/>
        </w:rPr>
      </w:pPr>
    </w:p>
    <w:bookmarkEnd w:id="9"/>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r>
        <w:rPr>
          <w:rFonts w:hint="eastAsia" w:asciiTheme="minorHAnsi" w:hAnsiTheme="minorHAnsi" w:eastAsiaTheme="minorEastAsia" w:cstheme="minorBidi"/>
          <w:b/>
          <w:bCs w:val="0"/>
          <w:color w:val="auto"/>
          <w:kern w:val="0"/>
          <w:sz w:val="36"/>
          <w:szCs w:val="20"/>
          <w:lang w:val="en-US" w:eastAsia="zh-CN" w:bidi="ar-SA"/>
        </w:rPr>
        <w:t xml:space="preserve"> </w:t>
      </w:r>
      <w:bookmarkStart w:id="11" w:name="_Toc25021"/>
      <w:r>
        <w:rPr>
          <w:rFonts w:hint="eastAsia" w:asciiTheme="minorHAnsi" w:hAnsiTheme="minorHAnsi" w:eastAsiaTheme="minorEastAsia" w:cstheme="minorBidi"/>
          <w:b/>
          <w:bCs w:val="0"/>
          <w:color w:val="auto"/>
          <w:kern w:val="0"/>
          <w:sz w:val="36"/>
          <w:szCs w:val="20"/>
          <w:lang w:val="en-US" w:eastAsia="zh-CN" w:bidi="ar-SA"/>
        </w:rPr>
        <w:t>第四章 响应文件格式</w:t>
      </w:r>
      <w:bookmarkEnd w:id="11"/>
    </w:p>
    <w:p>
      <w:pPr>
        <w:autoSpaceDE w:val="0"/>
        <w:autoSpaceDN w:val="0"/>
        <w:snapToGrid w:val="0"/>
        <w:spacing w:line="500" w:lineRule="exact"/>
        <w:outlineLvl w:val="9"/>
        <w:rPr>
          <w:rFonts w:hint="eastAsia" w:ascii="宋体" w:hAnsi="宋体"/>
          <w:color w:val="auto"/>
          <w:sz w:val="28"/>
          <w:szCs w:val="28"/>
        </w:rPr>
      </w:pPr>
      <w:bookmarkStart w:id="12" w:name="_Toc476736016"/>
      <w:bookmarkStart w:id="13" w:name="_Toc325028467"/>
      <w:bookmarkStart w:id="14" w:name="_Toc453578485"/>
      <w:bookmarkStart w:id="15" w:name="_Toc22070"/>
      <w:bookmarkStart w:id="16" w:name="_Toc31891"/>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-1.</w:t>
      </w:r>
    </w:p>
    <w:p>
      <w:pPr>
        <w:pStyle w:val="2"/>
        <w:numPr>
          <w:ilvl w:val="1"/>
          <w:numId w:val="0"/>
        </w:numPr>
        <w:ind w:left="142" w:leftChars="0"/>
        <w:jc w:val="center"/>
        <w:rPr>
          <w:rFonts w:ascii="宋体" w:hAnsi="宋体"/>
          <w:color w:val="auto"/>
          <w:sz w:val="28"/>
          <w:szCs w:val="28"/>
        </w:rPr>
      </w:pPr>
      <w:r>
        <w:rPr>
          <w:rFonts w:hint="eastAsia" w:ascii="宋体" w:hAnsi="宋体"/>
          <w:color w:val="auto"/>
          <w:sz w:val="28"/>
          <w:szCs w:val="28"/>
        </w:rPr>
        <w:t>申请函</w:t>
      </w:r>
      <w:bookmarkEnd w:id="12"/>
      <w:bookmarkEnd w:id="13"/>
      <w:bookmarkEnd w:id="14"/>
    </w:p>
    <w:p>
      <w:pPr>
        <w:spacing w:line="360" w:lineRule="auto"/>
        <w:rPr>
          <w:rFonts w:ascii="宋体" w:hAnsi="宋体"/>
          <w:color w:val="auto"/>
          <w:sz w:val="24"/>
        </w:rPr>
      </w:pPr>
      <w:r>
        <w:rPr>
          <w:rFonts w:hint="eastAsia" w:ascii="宋体" w:hAnsi="宋体"/>
          <w:color w:val="auto"/>
          <w:sz w:val="24"/>
        </w:rPr>
        <w:t>金堂县第一人民医院：</w:t>
      </w:r>
    </w:p>
    <w:p>
      <w:pPr>
        <w:spacing w:line="480" w:lineRule="auto"/>
        <w:ind w:firstLine="454"/>
        <w:rPr>
          <w:rFonts w:ascii="宋体" w:hAnsi="宋体"/>
          <w:color w:val="auto"/>
          <w:sz w:val="24"/>
          <w:u w:val="single"/>
        </w:rPr>
      </w:pPr>
      <w:r>
        <w:rPr>
          <w:rFonts w:ascii="宋体" w:hAnsi="宋体" w:cs="Arial"/>
          <w:color w:val="auto"/>
          <w:sz w:val="24"/>
        </w:rPr>
        <w:t>1</w:t>
      </w:r>
      <w:r>
        <w:rPr>
          <w:rFonts w:hint="eastAsia" w:ascii="宋体" w:hAnsi="宋体" w:cs="Arial"/>
          <w:color w:val="auto"/>
          <w:sz w:val="24"/>
        </w:rPr>
        <w:t>、</w:t>
      </w:r>
      <w:r>
        <w:rPr>
          <w:rFonts w:hint="eastAsia" w:ascii="宋体" w:hAnsi="宋体"/>
          <w:color w:val="auto"/>
          <w:sz w:val="24"/>
        </w:rPr>
        <w:t>我单位全面研究了</w:t>
      </w:r>
      <w:r>
        <w:rPr>
          <w:rFonts w:hint="eastAsia" w:ascii="宋体" w:hAnsi="宋体"/>
          <w:color w:val="auto"/>
          <w:sz w:val="24"/>
          <w:u w:val="single"/>
        </w:rPr>
        <w:t xml:space="preserve">    （项目名称）（项目编号：</w:t>
      </w:r>
      <w:r>
        <w:rPr>
          <w:rFonts w:hint="eastAsia" w:ascii="宋体" w:hAnsi="宋体"/>
          <w:b/>
          <w:color w:val="auto"/>
          <w:sz w:val="24"/>
          <w:u w:val="single"/>
        </w:rPr>
        <w:t xml:space="preserve">  ）</w:t>
      </w:r>
      <w:r>
        <w:rPr>
          <w:rFonts w:hint="eastAsia" w:ascii="宋体" w:hAnsi="宋体"/>
          <w:color w:val="auto"/>
          <w:sz w:val="24"/>
        </w:rPr>
        <w:t>的</w:t>
      </w:r>
      <w:r>
        <w:rPr>
          <w:rFonts w:hint="eastAsia" w:ascii="宋体" w:hAnsi="宋体"/>
          <w:color w:val="auto"/>
          <w:sz w:val="24"/>
          <w:lang w:val="en-US" w:eastAsia="zh-CN"/>
        </w:rPr>
        <w:t>采购</w:t>
      </w:r>
      <w:r>
        <w:rPr>
          <w:rFonts w:hint="eastAsia" w:ascii="宋体" w:hAnsi="宋体"/>
          <w:color w:val="auto"/>
          <w:sz w:val="24"/>
        </w:rPr>
        <w:t>文件及补充文件（如涉及）后，我单位承诺将遵照</w:t>
      </w:r>
      <w:r>
        <w:rPr>
          <w:rFonts w:hint="eastAsia" w:ascii="宋体" w:hAnsi="宋体"/>
          <w:color w:val="auto"/>
          <w:sz w:val="24"/>
          <w:lang w:val="en-US" w:eastAsia="zh-CN"/>
        </w:rPr>
        <w:t>采购</w:t>
      </w:r>
      <w:r>
        <w:rPr>
          <w:rFonts w:hint="eastAsia" w:ascii="宋体" w:hAnsi="宋体"/>
          <w:color w:val="auto"/>
          <w:sz w:val="24"/>
        </w:rPr>
        <w:t>文件的要求，完成本项目的全部责任和义务。</w:t>
      </w:r>
    </w:p>
    <w:p>
      <w:pPr>
        <w:spacing w:line="480" w:lineRule="auto"/>
        <w:ind w:firstLine="454"/>
        <w:rPr>
          <w:rFonts w:ascii="宋体" w:hAnsi="宋体" w:cs="Arial"/>
          <w:color w:val="auto"/>
          <w:sz w:val="24"/>
        </w:rPr>
      </w:pPr>
      <w:r>
        <w:rPr>
          <w:rFonts w:ascii="宋体" w:hAnsi="宋体" w:cs="Arial"/>
          <w:color w:val="auto"/>
          <w:sz w:val="24"/>
        </w:rPr>
        <w:t>2.我方已详细</w:t>
      </w:r>
      <w:r>
        <w:rPr>
          <w:rFonts w:hint="eastAsia" w:ascii="宋体" w:hAnsi="宋体" w:cs="Arial"/>
          <w:color w:val="auto"/>
          <w:sz w:val="24"/>
        </w:rPr>
        <w:t>阅读</w:t>
      </w:r>
      <w:r>
        <w:rPr>
          <w:rFonts w:ascii="宋体" w:hAnsi="宋体" w:cs="Arial"/>
          <w:color w:val="auto"/>
          <w:sz w:val="24"/>
        </w:rPr>
        <w:t>并</w:t>
      </w:r>
      <w:r>
        <w:rPr>
          <w:rFonts w:hint="eastAsia" w:ascii="宋体" w:hAnsi="宋体" w:cs="Arial"/>
          <w:color w:val="auto"/>
          <w:sz w:val="24"/>
        </w:rPr>
        <w:t>完全理解</w:t>
      </w:r>
      <w:r>
        <w:rPr>
          <w:rFonts w:hint="eastAsia" w:ascii="宋体" w:hAnsi="宋体"/>
          <w:color w:val="auto"/>
          <w:sz w:val="24"/>
          <w:lang w:val="en-US" w:eastAsia="zh-CN"/>
        </w:rPr>
        <w:t>采购</w:t>
      </w:r>
      <w:r>
        <w:rPr>
          <w:rFonts w:hint="eastAsia" w:ascii="宋体" w:hAnsi="宋体" w:cs="Arial"/>
          <w:color w:val="auto"/>
          <w:sz w:val="24"/>
        </w:rPr>
        <w:t>文件的全部内容</w:t>
      </w:r>
      <w:r>
        <w:rPr>
          <w:rFonts w:ascii="宋体" w:hAnsi="宋体" w:cs="Arial"/>
          <w:color w:val="auto"/>
          <w:sz w:val="24"/>
        </w:rPr>
        <w:t>，包括补充文件（如</w:t>
      </w:r>
      <w:r>
        <w:rPr>
          <w:rFonts w:hint="eastAsia" w:ascii="宋体" w:hAnsi="宋体" w:cs="Arial"/>
          <w:color w:val="auto"/>
          <w:sz w:val="24"/>
        </w:rPr>
        <w:t>涉及</w:t>
      </w:r>
      <w:r>
        <w:rPr>
          <w:rFonts w:ascii="宋体" w:hAnsi="宋体" w:cs="Arial"/>
          <w:color w:val="auto"/>
          <w:sz w:val="24"/>
        </w:rPr>
        <w:t>）。</w:t>
      </w:r>
    </w:p>
    <w:p>
      <w:pPr>
        <w:spacing w:line="480" w:lineRule="auto"/>
        <w:ind w:firstLine="454"/>
        <w:rPr>
          <w:rFonts w:ascii="宋体" w:hAnsi="宋体" w:cs="Arial"/>
          <w:color w:val="auto"/>
          <w:sz w:val="24"/>
        </w:rPr>
      </w:pPr>
      <w:r>
        <w:rPr>
          <w:rFonts w:ascii="宋体" w:hAnsi="宋体" w:cs="Arial"/>
          <w:color w:val="auto"/>
          <w:sz w:val="24"/>
        </w:rPr>
        <w:t>3.我方保证按</w:t>
      </w:r>
      <w:r>
        <w:rPr>
          <w:rFonts w:hint="eastAsia" w:ascii="宋体" w:hAnsi="宋体"/>
          <w:color w:val="auto"/>
          <w:sz w:val="24"/>
          <w:lang w:val="en-US" w:eastAsia="zh-CN"/>
        </w:rPr>
        <w:t>采购</w:t>
      </w:r>
      <w:r>
        <w:rPr>
          <w:rFonts w:hint="eastAsia" w:ascii="宋体" w:hAnsi="宋体" w:cs="Arial"/>
          <w:color w:val="auto"/>
          <w:sz w:val="24"/>
        </w:rPr>
        <w:t>文件和我方</w:t>
      </w:r>
      <w:r>
        <w:rPr>
          <w:rFonts w:hint="eastAsia" w:ascii="宋体" w:hAnsi="宋体" w:cs="Arial"/>
          <w:color w:val="auto"/>
          <w:sz w:val="24"/>
          <w:lang w:val="en-US" w:eastAsia="zh-CN"/>
        </w:rPr>
        <w:t>响应</w:t>
      </w:r>
      <w:r>
        <w:rPr>
          <w:rFonts w:hint="eastAsia" w:ascii="宋体" w:hAnsi="宋体" w:cs="Arial"/>
          <w:color w:val="auto"/>
          <w:sz w:val="24"/>
        </w:rPr>
        <w:t>文件</w:t>
      </w:r>
      <w:r>
        <w:rPr>
          <w:rFonts w:ascii="宋体" w:hAnsi="宋体" w:cs="Arial"/>
          <w:color w:val="auto"/>
          <w:sz w:val="24"/>
        </w:rPr>
        <w:t>的</w:t>
      </w:r>
      <w:r>
        <w:rPr>
          <w:rFonts w:hint="eastAsia" w:ascii="宋体" w:hAnsi="宋体" w:cs="Arial"/>
          <w:color w:val="auto"/>
          <w:sz w:val="24"/>
        </w:rPr>
        <w:t>承诺开展</w:t>
      </w:r>
      <w:r>
        <w:rPr>
          <w:rFonts w:ascii="宋体" w:hAnsi="宋体" w:cs="Arial"/>
          <w:color w:val="auto"/>
          <w:sz w:val="24"/>
        </w:rPr>
        <w:t>工作</w:t>
      </w:r>
      <w:r>
        <w:rPr>
          <w:rFonts w:hint="eastAsia" w:ascii="宋体" w:hAnsi="宋体" w:cs="Arial"/>
          <w:color w:val="auto"/>
          <w:sz w:val="24"/>
        </w:rPr>
        <w:t>。</w:t>
      </w:r>
    </w:p>
    <w:p>
      <w:pPr>
        <w:spacing w:line="480" w:lineRule="auto"/>
        <w:ind w:firstLine="454"/>
        <w:rPr>
          <w:rFonts w:ascii="宋体" w:hAnsi="宋体" w:cs="Arial"/>
          <w:color w:val="auto"/>
          <w:sz w:val="24"/>
        </w:rPr>
      </w:pPr>
      <w:r>
        <w:rPr>
          <w:rFonts w:hint="eastAsia" w:ascii="宋体" w:hAnsi="宋体" w:cs="Arial"/>
          <w:color w:val="auto"/>
          <w:sz w:val="24"/>
        </w:rPr>
        <w:t>4</w:t>
      </w:r>
      <w:r>
        <w:rPr>
          <w:rFonts w:ascii="宋体" w:hAnsi="宋体" w:cs="Arial"/>
          <w:color w:val="auto"/>
          <w:sz w:val="24"/>
        </w:rPr>
        <w:t>.</w:t>
      </w:r>
      <w:r>
        <w:rPr>
          <w:rFonts w:hint="eastAsia" w:ascii="宋体" w:hAnsi="宋体" w:cs="Arial"/>
          <w:color w:val="auto"/>
          <w:sz w:val="24"/>
        </w:rPr>
        <w:t>我方同意并遵守本项目</w:t>
      </w:r>
      <w:r>
        <w:rPr>
          <w:rFonts w:hint="eastAsia" w:ascii="宋体" w:hAnsi="宋体"/>
          <w:color w:val="auto"/>
          <w:sz w:val="24"/>
          <w:lang w:val="en-US" w:eastAsia="zh-CN"/>
        </w:rPr>
        <w:t>采购</w:t>
      </w:r>
      <w:r>
        <w:rPr>
          <w:rFonts w:hint="eastAsia" w:ascii="宋体" w:hAnsi="宋体" w:cs="Arial"/>
          <w:color w:val="auto"/>
          <w:sz w:val="24"/>
        </w:rPr>
        <w:t>文件关于响应有效期的所有要求。我方响应的响应有效期为递交</w:t>
      </w:r>
      <w:r>
        <w:rPr>
          <w:rFonts w:hint="eastAsia" w:ascii="宋体" w:hAnsi="宋体" w:cs="Arial"/>
          <w:color w:val="auto"/>
          <w:sz w:val="24"/>
          <w:lang w:val="en-US" w:eastAsia="zh-CN"/>
        </w:rPr>
        <w:t>响应</w:t>
      </w:r>
      <w:r>
        <w:rPr>
          <w:rFonts w:hint="eastAsia" w:ascii="宋体" w:hAnsi="宋体" w:cs="Arial"/>
          <w:color w:val="auto"/>
          <w:sz w:val="24"/>
        </w:rPr>
        <w:t>文件截止时间起120日。</w:t>
      </w:r>
    </w:p>
    <w:p>
      <w:pPr>
        <w:spacing w:line="480" w:lineRule="auto"/>
        <w:ind w:firstLine="454"/>
        <w:rPr>
          <w:rFonts w:ascii="宋体" w:hAnsi="宋体" w:cs="Arial"/>
          <w:color w:val="auto"/>
          <w:sz w:val="24"/>
        </w:rPr>
      </w:pPr>
      <w:r>
        <w:rPr>
          <w:rFonts w:ascii="宋体" w:hAnsi="宋体" w:cs="Arial"/>
          <w:color w:val="auto"/>
          <w:sz w:val="24"/>
        </w:rPr>
        <w:t>5</w:t>
      </w:r>
      <w:r>
        <w:rPr>
          <w:rFonts w:hint="eastAsia" w:ascii="宋体" w:hAnsi="宋体" w:cs="Arial"/>
          <w:color w:val="auto"/>
          <w:sz w:val="24"/>
        </w:rPr>
        <w:t>.我方愿意提供贵单位可能另外要求的，与</w:t>
      </w:r>
      <w:r>
        <w:rPr>
          <w:rFonts w:hint="eastAsia" w:ascii="宋体" w:hAnsi="宋体"/>
          <w:color w:val="auto"/>
          <w:sz w:val="24"/>
          <w:lang w:val="en-US" w:eastAsia="zh-CN"/>
        </w:rPr>
        <w:t>采购</w:t>
      </w:r>
      <w:r>
        <w:rPr>
          <w:rFonts w:hint="eastAsia" w:ascii="宋体" w:hAnsi="宋体" w:cs="Arial"/>
          <w:color w:val="auto"/>
          <w:sz w:val="24"/>
        </w:rPr>
        <w:t>有关的文件资料，并保证我方已提供和将要提供的文件资料是真实、准确的。</w:t>
      </w:r>
    </w:p>
    <w:p>
      <w:pPr>
        <w:spacing w:line="480" w:lineRule="auto"/>
        <w:ind w:firstLine="454"/>
        <w:rPr>
          <w:rFonts w:ascii="宋体" w:hAnsi="宋体" w:cs="Arial"/>
          <w:color w:val="auto"/>
          <w:sz w:val="24"/>
        </w:rPr>
      </w:pPr>
      <w:r>
        <w:rPr>
          <w:rFonts w:ascii="宋体" w:hAnsi="宋体" w:cs="Arial"/>
          <w:color w:val="auto"/>
          <w:sz w:val="24"/>
        </w:rPr>
        <w:t>6</w:t>
      </w:r>
      <w:r>
        <w:rPr>
          <w:rFonts w:hint="eastAsia" w:ascii="宋体" w:hAnsi="宋体" w:cs="Arial"/>
          <w:color w:val="auto"/>
          <w:sz w:val="24"/>
        </w:rPr>
        <w:t>.我方将严格履行本项目合同规定的责任和义务。</w:t>
      </w:r>
    </w:p>
    <w:p>
      <w:pPr>
        <w:spacing w:line="360" w:lineRule="auto"/>
        <w:ind w:firstLine="454"/>
        <w:rPr>
          <w:rFonts w:ascii="宋体" w:hAnsi="宋体" w:cs="Arial"/>
          <w:color w:val="auto"/>
          <w:sz w:val="24"/>
        </w:rPr>
      </w:pPr>
    </w:p>
    <w:p>
      <w:pPr>
        <w:spacing w:line="360" w:lineRule="auto"/>
        <w:ind w:left="239"/>
        <w:rPr>
          <w:rFonts w:ascii="宋体" w:hAnsi="宋体" w:cs="Arial"/>
          <w:color w:val="auto"/>
          <w:sz w:val="24"/>
        </w:rPr>
      </w:pPr>
      <w:r>
        <w:rPr>
          <w:rFonts w:hint="eastAsia" w:ascii="宋体" w:hAnsi="宋体" w:cs="Arial"/>
          <w:color w:val="auto"/>
          <w:sz w:val="24"/>
          <w:lang w:val="en-US" w:eastAsia="zh-CN"/>
        </w:rPr>
        <w:t>供应商</w:t>
      </w:r>
      <w:r>
        <w:rPr>
          <w:rFonts w:ascii="宋体" w:hAnsi="宋体" w:cs="Arial"/>
          <w:color w:val="auto"/>
          <w:sz w:val="24"/>
        </w:rPr>
        <w:t>名称（全称、盖章）：</w:t>
      </w:r>
      <w:r>
        <w:rPr>
          <w:rFonts w:ascii="宋体" w:hAnsi="宋体" w:cs="Arial"/>
          <w:color w:val="auto"/>
          <w:sz w:val="24"/>
          <w:u w:val="single"/>
        </w:rPr>
        <w:t xml:space="preserve">                                          </w:t>
      </w:r>
    </w:p>
    <w:p>
      <w:pPr>
        <w:spacing w:line="360" w:lineRule="auto"/>
        <w:ind w:left="239"/>
        <w:rPr>
          <w:rFonts w:ascii="宋体" w:hAnsi="宋体" w:cs="Arial"/>
          <w:color w:val="auto"/>
          <w:sz w:val="24"/>
          <w:u w:val="single"/>
        </w:rPr>
      </w:pPr>
      <w:r>
        <w:rPr>
          <w:rFonts w:ascii="宋体" w:hAnsi="宋体" w:cs="Arial"/>
          <w:color w:val="auto"/>
          <w:sz w:val="24"/>
        </w:rPr>
        <w:t>法定代表人或授权代理人（签字）：</w:t>
      </w:r>
      <w:r>
        <w:rPr>
          <w:rFonts w:ascii="宋体" w:hAnsi="宋体" w:cs="Arial"/>
          <w:color w:val="auto"/>
          <w:sz w:val="24"/>
          <w:u w:val="single"/>
        </w:rPr>
        <w:t xml:space="preserve">                                    </w:t>
      </w:r>
    </w:p>
    <w:p>
      <w:pPr>
        <w:spacing w:line="360" w:lineRule="auto"/>
        <w:ind w:firstLine="240"/>
        <w:rPr>
          <w:rFonts w:ascii="宋体" w:hAnsi="宋体" w:cs="Arial"/>
          <w:color w:val="auto"/>
          <w:sz w:val="24"/>
        </w:rPr>
      </w:pPr>
      <w:r>
        <w:rPr>
          <w:rFonts w:ascii="宋体" w:hAnsi="宋体" w:cs="Arial"/>
          <w:color w:val="auto"/>
          <w:sz w:val="24"/>
        </w:rPr>
        <w:t>地址：</w:t>
      </w:r>
      <w:r>
        <w:rPr>
          <w:rFonts w:ascii="宋体" w:hAnsi="宋体" w:cs="Arial"/>
          <w:color w:val="auto"/>
          <w:sz w:val="24"/>
          <w:u w:val="single"/>
        </w:rPr>
        <w:t xml:space="preserve">                              </w:t>
      </w:r>
      <w:r>
        <w:rPr>
          <w:rFonts w:ascii="宋体" w:hAnsi="宋体" w:cs="Arial"/>
          <w:color w:val="auto"/>
          <w:sz w:val="24"/>
        </w:rPr>
        <w:t xml:space="preserve">    邮编 ：</w:t>
      </w:r>
      <w:r>
        <w:rPr>
          <w:rFonts w:ascii="宋体" w:hAnsi="宋体" w:cs="Arial"/>
          <w:color w:val="auto"/>
          <w:sz w:val="24"/>
          <w:u w:val="single"/>
        </w:rPr>
        <w:t xml:space="preserve">                    </w:t>
      </w:r>
    </w:p>
    <w:p>
      <w:pPr>
        <w:spacing w:line="360" w:lineRule="auto"/>
        <w:ind w:firstLine="240"/>
        <w:rPr>
          <w:rFonts w:ascii="宋体" w:hAnsi="宋体" w:cs="Arial"/>
          <w:color w:val="auto"/>
          <w:sz w:val="24"/>
        </w:rPr>
      </w:pPr>
      <w:r>
        <w:rPr>
          <w:rFonts w:ascii="宋体" w:hAnsi="宋体" w:cs="Arial"/>
          <w:color w:val="auto"/>
          <w:sz w:val="24"/>
        </w:rPr>
        <w:t>电话：</w:t>
      </w:r>
      <w:r>
        <w:rPr>
          <w:rFonts w:ascii="宋体" w:hAnsi="宋体" w:cs="Arial"/>
          <w:color w:val="auto"/>
          <w:sz w:val="24"/>
          <w:u w:val="single"/>
        </w:rPr>
        <w:t xml:space="preserve">                              </w:t>
      </w:r>
      <w:r>
        <w:rPr>
          <w:rFonts w:ascii="宋体" w:hAnsi="宋体" w:cs="Arial"/>
          <w:color w:val="auto"/>
          <w:sz w:val="24"/>
        </w:rPr>
        <w:t xml:space="preserve">    传真：</w:t>
      </w:r>
      <w:r>
        <w:rPr>
          <w:rFonts w:ascii="宋体" w:hAnsi="宋体" w:cs="Arial"/>
          <w:color w:val="auto"/>
          <w:sz w:val="24"/>
          <w:u w:val="single"/>
        </w:rPr>
        <w:t xml:space="preserve">                     </w:t>
      </w:r>
    </w:p>
    <w:p>
      <w:pPr>
        <w:spacing w:line="360" w:lineRule="auto"/>
        <w:ind w:firstLine="240"/>
        <w:rPr>
          <w:rFonts w:ascii="宋体" w:hAnsi="宋体"/>
          <w:color w:val="auto"/>
        </w:rPr>
      </w:pPr>
      <w:r>
        <w:rPr>
          <w:rFonts w:ascii="宋体" w:hAnsi="宋体" w:cs="Arial"/>
          <w:color w:val="auto"/>
          <w:sz w:val="24"/>
        </w:rPr>
        <w:t>日期：</w:t>
      </w:r>
      <w:r>
        <w:rPr>
          <w:rFonts w:ascii="宋体" w:hAnsi="宋体" w:cs="Arial"/>
          <w:color w:val="auto"/>
          <w:sz w:val="24"/>
          <w:u w:val="single"/>
        </w:rPr>
        <w:t xml:space="preserve">         </w:t>
      </w:r>
      <w:r>
        <w:rPr>
          <w:rFonts w:ascii="宋体" w:hAnsi="宋体" w:cs="Arial"/>
          <w:color w:val="auto"/>
          <w:sz w:val="24"/>
        </w:rPr>
        <w:t xml:space="preserve"> 年</w:t>
      </w:r>
      <w:r>
        <w:rPr>
          <w:rFonts w:ascii="宋体" w:hAnsi="宋体" w:cs="Arial"/>
          <w:color w:val="auto"/>
          <w:sz w:val="24"/>
          <w:u w:val="single"/>
        </w:rPr>
        <w:t xml:space="preserve">     </w:t>
      </w:r>
      <w:r>
        <w:rPr>
          <w:rFonts w:ascii="宋体" w:hAnsi="宋体" w:cs="Arial"/>
          <w:color w:val="auto"/>
          <w:sz w:val="24"/>
        </w:rPr>
        <w:t xml:space="preserve"> 月</w:t>
      </w:r>
      <w:r>
        <w:rPr>
          <w:rFonts w:ascii="宋体" w:hAnsi="宋体" w:cs="Arial"/>
          <w:color w:val="auto"/>
          <w:sz w:val="24"/>
          <w:u w:val="single"/>
        </w:rPr>
        <w:t xml:space="preserve">     </w:t>
      </w:r>
      <w:r>
        <w:rPr>
          <w:rFonts w:ascii="宋体" w:hAnsi="宋体" w:cs="Arial"/>
          <w:color w:val="auto"/>
          <w:sz w:val="24"/>
        </w:rPr>
        <w:t>日</w:t>
      </w: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p>
    <w:p>
      <w:pPr>
        <w:autoSpaceDE w:val="0"/>
        <w:autoSpaceDN w:val="0"/>
        <w:snapToGrid w:val="0"/>
        <w:spacing w:line="500" w:lineRule="exact"/>
        <w:outlineLvl w:val="9"/>
        <w:rPr>
          <w:rFonts w:hint="eastAsia" w:ascii="仿宋" w:hAnsi="仿宋" w:eastAsia="仿宋"/>
          <w:color w:val="auto"/>
          <w:sz w:val="24"/>
          <w:szCs w:val="24"/>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2</w:t>
      </w:r>
      <w:r>
        <w:rPr>
          <w:rFonts w:hint="eastAsia" w:ascii="仿宋" w:hAnsi="仿宋" w:eastAsia="仿宋"/>
          <w:color w:val="auto"/>
          <w:sz w:val="24"/>
          <w:szCs w:val="24"/>
        </w:rPr>
        <w:t>.</w:t>
      </w:r>
      <w:bookmarkEnd w:id="15"/>
      <w:bookmarkEnd w:id="16"/>
    </w:p>
    <w:p>
      <w:pPr>
        <w:pStyle w:val="2"/>
        <w:numPr>
          <w:ilvl w:val="1"/>
          <w:numId w:val="0"/>
        </w:numPr>
        <w:ind w:left="142" w:leftChars="0"/>
        <w:jc w:val="center"/>
        <w:rPr>
          <w:rFonts w:ascii="宋体" w:hAnsi="宋体"/>
          <w:color w:val="auto"/>
          <w:sz w:val="28"/>
          <w:szCs w:val="28"/>
        </w:rPr>
      </w:pPr>
      <w:r>
        <w:rPr>
          <w:rFonts w:hint="eastAsia" w:ascii="宋体" w:hAnsi="宋体"/>
          <w:color w:val="auto"/>
          <w:sz w:val="28"/>
          <w:szCs w:val="28"/>
        </w:rPr>
        <w:t>法定代表人证明书（如涉及）</w:t>
      </w:r>
    </w:p>
    <w:p>
      <w:pPr>
        <w:spacing w:line="360" w:lineRule="auto"/>
        <w:ind w:firstLine="420" w:firstLineChars="200"/>
        <w:rPr>
          <w:rFonts w:hAnsi="宋体"/>
          <w:color w:val="auto"/>
        </w:rPr>
      </w:pPr>
    </w:p>
    <w:p>
      <w:pPr>
        <w:spacing w:line="360" w:lineRule="auto"/>
        <w:ind w:firstLine="480" w:firstLineChars="200"/>
        <w:rPr>
          <w:rFonts w:hAnsi="宋体"/>
          <w:color w:val="auto"/>
          <w:sz w:val="24"/>
        </w:rPr>
      </w:pPr>
      <w:r>
        <w:rPr>
          <w:rFonts w:hint="eastAsia" w:hAnsi="宋体"/>
          <w:color w:val="auto"/>
          <w:sz w:val="24"/>
          <w:lang w:val="en-US" w:eastAsia="zh-CN"/>
        </w:rPr>
        <w:t>供应商</w:t>
      </w:r>
      <w:r>
        <w:rPr>
          <w:rFonts w:hint="eastAsia" w:hAnsi="宋体"/>
          <w:color w:val="auto"/>
          <w:sz w:val="24"/>
        </w:rPr>
        <w:t>名称：</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单位性质：</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成立时间：</w:t>
      </w:r>
      <w:r>
        <w:rPr>
          <w:rFonts w:hAnsi="宋体"/>
          <w:color w:val="auto"/>
          <w:sz w:val="24"/>
          <w:u w:val="single"/>
        </w:rPr>
        <w:t xml:space="preserve">      </w:t>
      </w:r>
      <w:r>
        <w:rPr>
          <w:rFonts w:hint="eastAsia" w:hAnsi="宋体"/>
          <w:color w:val="auto"/>
          <w:sz w:val="24"/>
        </w:rPr>
        <w:t>年</w:t>
      </w:r>
      <w:r>
        <w:rPr>
          <w:rFonts w:hAnsi="宋体"/>
          <w:color w:val="auto"/>
          <w:sz w:val="24"/>
          <w:u w:val="single"/>
        </w:rPr>
        <w:t xml:space="preserve">    </w:t>
      </w:r>
      <w:r>
        <w:rPr>
          <w:rFonts w:hint="eastAsia" w:hAnsi="宋体"/>
          <w:color w:val="auto"/>
          <w:sz w:val="24"/>
        </w:rPr>
        <w:t>月</w:t>
      </w:r>
      <w:r>
        <w:rPr>
          <w:rFonts w:hAnsi="宋体"/>
          <w:color w:val="auto"/>
          <w:sz w:val="24"/>
          <w:u w:val="single"/>
        </w:rPr>
        <w:t xml:space="preserve">    </w:t>
      </w:r>
      <w:r>
        <w:rPr>
          <w:rFonts w:hint="eastAsia" w:hAnsi="宋体"/>
          <w:color w:val="auto"/>
          <w:sz w:val="24"/>
        </w:rPr>
        <w:t>日</w:t>
      </w:r>
    </w:p>
    <w:p>
      <w:pPr>
        <w:spacing w:line="360" w:lineRule="auto"/>
        <w:ind w:firstLine="480" w:firstLineChars="200"/>
        <w:rPr>
          <w:rFonts w:hAnsi="宋体"/>
          <w:color w:val="auto"/>
          <w:sz w:val="24"/>
        </w:rPr>
      </w:pPr>
      <w:r>
        <w:rPr>
          <w:rFonts w:hint="eastAsia" w:hAnsi="宋体"/>
          <w:color w:val="auto"/>
          <w:sz w:val="24"/>
        </w:rPr>
        <w:t>经营期限：</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姓名：</w:t>
      </w:r>
      <w:r>
        <w:rPr>
          <w:rFonts w:hAnsi="宋体"/>
          <w:color w:val="auto"/>
          <w:sz w:val="24"/>
          <w:u w:val="single"/>
        </w:rPr>
        <w:t xml:space="preserve">            </w:t>
      </w:r>
      <w:r>
        <w:rPr>
          <w:rFonts w:hint="eastAsia" w:hAnsi="宋体"/>
          <w:color w:val="auto"/>
          <w:sz w:val="24"/>
        </w:rPr>
        <w:t>性别：</w:t>
      </w:r>
      <w:r>
        <w:rPr>
          <w:rFonts w:hAnsi="宋体"/>
          <w:color w:val="auto"/>
          <w:sz w:val="24"/>
          <w:u w:val="single"/>
        </w:rPr>
        <w:t xml:space="preserve">     </w:t>
      </w:r>
      <w:r>
        <w:rPr>
          <w:rFonts w:hint="eastAsia" w:hAnsi="宋体"/>
          <w:color w:val="auto"/>
          <w:sz w:val="24"/>
        </w:rPr>
        <w:t>年龄：</w:t>
      </w:r>
      <w:r>
        <w:rPr>
          <w:rFonts w:hAnsi="宋体"/>
          <w:color w:val="auto"/>
          <w:sz w:val="24"/>
          <w:u w:val="single"/>
        </w:rPr>
        <w:t xml:space="preserve">   </w:t>
      </w:r>
      <w:r>
        <w:rPr>
          <w:rFonts w:hint="eastAsia" w:hAnsi="宋体"/>
          <w:color w:val="auto"/>
          <w:sz w:val="24"/>
        </w:rPr>
        <w:t>职务：</w:t>
      </w:r>
      <w:r>
        <w:rPr>
          <w:rFonts w:hAnsi="宋体"/>
          <w:color w:val="auto"/>
          <w:sz w:val="24"/>
          <w:u w:val="single"/>
        </w:rPr>
        <w:t xml:space="preserve">               </w:t>
      </w:r>
    </w:p>
    <w:p>
      <w:pPr>
        <w:spacing w:line="360" w:lineRule="auto"/>
        <w:ind w:firstLine="480" w:firstLineChars="200"/>
        <w:rPr>
          <w:rFonts w:hAnsi="宋体"/>
          <w:color w:val="auto"/>
          <w:sz w:val="24"/>
        </w:rPr>
      </w:pPr>
      <w:r>
        <w:rPr>
          <w:rFonts w:hint="eastAsia" w:hAnsi="宋体"/>
          <w:color w:val="auto"/>
          <w:sz w:val="24"/>
        </w:rPr>
        <w:t>系</w:t>
      </w:r>
      <w:r>
        <w:rPr>
          <w:rFonts w:hAnsi="宋体"/>
          <w:color w:val="auto"/>
          <w:sz w:val="24"/>
          <w:u w:val="single"/>
        </w:rPr>
        <w:t xml:space="preserve">                           </w:t>
      </w:r>
      <w:r>
        <w:rPr>
          <w:rFonts w:hint="eastAsia" w:hAnsi="宋体"/>
          <w:color w:val="auto"/>
          <w:sz w:val="24"/>
        </w:rPr>
        <w:t>（申请人名称）的法定代表人。</w:t>
      </w:r>
      <w:r>
        <w:rPr>
          <w:rFonts w:hint="eastAsia" w:ascii="宋体" w:hAnsi="宋体"/>
          <w:color w:val="auto"/>
          <w:sz w:val="28"/>
          <w:szCs w:val="28"/>
        </w:rPr>
        <w:t>（如涉及）</w:t>
      </w:r>
    </w:p>
    <w:p>
      <w:pPr>
        <w:spacing w:line="360" w:lineRule="auto"/>
        <w:ind w:firstLine="960" w:firstLineChars="400"/>
        <w:rPr>
          <w:rFonts w:hAnsi="宋体"/>
          <w:color w:val="auto"/>
          <w:sz w:val="24"/>
        </w:rPr>
      </w:pPr>
      <w:r>
        <w:rPr>
          <w:rFonts w:hint="eastAsia" w:hAnsi="宋体"/>
          <w:color w:val="auto"/>
          <w:sz w:val="24"/>
        </w:rPr>
        <w:t>特此证明。</w:t>
      </w:r>
    </w:p>
    <w:p>
      <w:pPr>
        <w:spacing w:line="360" w:lineRule="auto"/>
        <w:ind w:firstLine="480" w:firstLineChars="200"/>
        <w:rPr>
          <w:rFonts w:hAnsi="宋体"/>
          <w:color w:val="auto"/>
          <w:sz w:val="24"/>
        </w:rPr>
      </w:pPr>
    </w:p>
    <w:p>
      <w:pPr>
        <w:spacing w:line="360" w:lineRule="auto"/>
        <w:ind w:firstLine="4920" w:firstLineChars="2050"/>
        <w:rPr>
          <w:rFonts w:hAnsi="宋体"/>
          <w:color w:val="auto"/>
          <w:sz w:val="24"/>
        </w:rPr>
      </w:pPr>
    </w:p>
    <w:p>
      <w:pPr>
        <w:spacing w:line="360" w:lineRule="auto"/>
        <w:ind w:firstLine="484" w:firstLineChars="202"/>
        <w:jc w:val="left"/>
        <w:rPr>
          <w:rFonts w:hAnsi="宋体"/>
          <w:color w:val="auto"/>
          <w:sz w:val="24"/>
          <w:u w:val="single"/>
        </w:rPr>
      </w:pPr>
      <w:r>
        <w:rPr>
          <w:rFonts w:hint="eastAsia" w:hAnsi="宋体"/>
          <w:color w:val="auto"/>
          <w:sz w:val="24"/>
          <w:lang w:val="en-US" w:eastAsia="zh-CN"/>
        </w:rPr>
        <w:t>供应商名称</w:t>
      </w:r>
      <w:r>
        <w:rPr>
          <w:rFonts w:hint="eastAsia" w:hAnsi="宋体"/>
          <w:color w:val="auto"/>
          <w:sz w:val="24"/>
        </w:rPr>
        <w:t>：</w:t>
      </w:r>
      <w:r>
        <w:rPr>
          <w:rFonts w:hAnsi="宋体"/>
          <w:color w:val="auto"/>
          <w:sz w:val="24"/>
          <w:u w:val="single"/>
        </w:rPr>
        <w:t xml:space="preserve">                           </w:t>
      </w:r>
      <w:r>
        <w:rPr>
          <w:rFonts w:hint="eastAsia" w:hAnsi="宋体"/>
          <w:color w:val="auto"/>
          <w:sz w:val="24"/>
          <w:u w:val="single"/>
        </w:rPr>
        <w:t>（加盖公章（鲜章））</w:t>
      </w:r>
    </w:p>
    <w:p>
      <w:pPr>
        <w:spacing w:line="360" w:lineRule="auto"/>
        <w:ind w:firstLine="484" w:firstLineChars="202"/>
        <w:jc w:val="left"/>
        <w:rPr>
          <w:rFonts w:hAnsi="宋体"/>
          <w:color w:val="auto"/>
          <w:sz w:val="24"/>
        </w:rPr>
      </w:pPr>
    </w:p>
    <w:p>
      <w:pPr>
        <w:spacing w:line="360" w:lineRule="auto"/>
        <w:ind w:firstLine="484" w:firstLineChars="202"/>
        <w:jc w:val="right"/>
        <w:rPr>
          <w:rFonts w:hAnsi="宋体"/>
          <w:color w:val="auto"/>
          <w:sz w:val="24"/>
        </w:rPr>
      </w:pPr>
      <w:r>
        <w:rPr>
          <w:rFonts w:hAnsi="宋体"/>
          <w:color w:val="auto"/>
          <w:sz w:val="24"/>
        </w:rPr>
        <w:t xml:space="preserve">     </w:t>
      </w:r>
      <w:r>
        <w:rPr>
          <w:rFonts w:hint="eastAsia" w:hAnsi="宋体"/>
          <w:color w:val="auto"/>
          <w:sz w:val="24"/>
        </w:rPr>
        <w:t>年</w:t>
      </w:r>
      <w:r>
        <w:rPr>
          <w:rFonts w:hAnsi="宋体"/>
          <w:color w:val="auto"/>
          <w:sz w:val="24"/>
        </w:rPr>
        <w:t xml:space="preserve">     </w:t>
      </w:r>
      <w:r>
        <w:rPr>
          <w:rFonts w:hint="eastAsia" w:hAnsi="宋体"/>
          <w:color w:val="auto"/>
          <w:sz w:val="24"/>
        </w:rPr>
        <w:t>月</w:t>
      </w:r>
      <w:r>
        <w:rPr>
          <w:rFonts w:hAnsi="宋体"/>
          <w:color w:val="auto"/>
          <w:sz w:val="24"/>
        </w:rPr>
        <w:t xml:space="preserve">     </w:t>
      </w:r>
      <w:r>
        <w:rPr>
          <w:rFonts w:hint="eastAsia" w:hAnsi="宋体"/>
          <w:color w:val="auto"/>
          <w:sz w:val="24"/>
        </w:rPr>
        <w:t>日</w:t>
      </w:r>
    </w:p>
    <w:p>
      <w:pPr>
        <w:spacing w:line="360" w:lineRule="auto"/>
        <w:ind w:firstLine="480" w:firstLineChars="200"/>
        <w:rPr>
          <w:rFonts w:hAnsi="宋体"/>
          <w:color w:val="auto"/>
          <w:sz w:val="24"/>
        </w:rPr>
      </w:pPr>
    </w:p>
    <w:p>
      <w:pPr>
        <w:spacing w:line="360" w:lineRule="auto"/>
        <w:ind w:firstLine="480" w:firstLineChars="200"/>
        <w:rPr>
          <w:rFonts w:hAnsi="宋体"/>
          <w:color w:val="auto"/>
          <w:sz w:val="24"/>
        </w:rPr>
      </w:pPr>
    </w:p>
    <w:p>
      <w:pPr>
        <w:spacing w:line="360" w:lineRule="auto"/>
        <w:ind w:firstLine="480" w:firstLineChars="200"/>
        <w:rPr>
          <w:rFonts w:hAnsi="宋体"/>
          <w:color w:val="auto"/>
          <w:sz w:val="24"/>
        </w:rPr>
      </w:pPr>
      <w:r>
        <w:rPr>
          <w:rFonts w:hint="eastAsia" w:hAnsi="宋体"/>
          <w:color w:val="auto"/>
          <w:sz w:val="24"/>
        </w:rPr>
        <w:t>注：</w:t>
      </w:r>
    </w:p>
    <w:p>
      <w:pPr>
        <w:spacing w:line="360" w:lineRule="auto"/>
        <w:ind w:firstLine="480" w:firstLineChars="200"/>
        <w:rPr>
          <w:rFonts w:hAnsi="宋体"/>
          <w:color w:val="auto"/>
          <w:sz w:val="24"/>
        </w:rPr>
      </w:pPr>
      <w:r>
        <w:rPr>
          <w:rFonts w:hint="eastAsia" w:hAnsi="宋体"/>
          <w:color w:val="auto"/>
          <w:sz w:val="24"/>
        </w:rPr>
        <w:t>1、须附法定代表人的身份证复印件（提供正反面）；</w:t>
      </w:r>
    </w:p>
    <w:p>
      <w:pPr>
        <w:spacing w:line="360" w:lineRule="auto"/>
        <w:ind w:firstLine="480" w:firstLineChars="200"/>
        <w:rPr>
          <w:rFonts w:hAnsi="宋体"/>
          <w:color w:val="auto"/>
          <w:sz w:val="24"/>
        </w:rPr>
        <w:sectPr>
          <w:pgSz w:w="11906" w:h="16838"/>
          <w:pgMar w:top="1418" w:right="1134" w:bottom="1418" w:left="1134" w:header="851" w:footer="992" w:gutter="0"/>
          <w:cols w:space="720" w:num="1"/>
          <w:docGrid w:type="lines" w:linePitch="312" w:charSpace="0"/>
        </w:sectPr>
      </w:pPr>
      <w:r>
        <w:rPr>
          <w:rFonts w:hint="eastAsia" w:hAnsi="宋体"/>
          <w:color w:val="auto"/>
          <w:sz w:val="24"/>
        </w:rPr>
        <w:t>2、法定代表人直接参与并签署</w:t>
      </w:r>
      <w:r>
        <w:rPr>
          <w:rFonts w:hint="eastAsia" w:hAnsi="宋体"/>
          <w:color w:val="auto"/>
          <w:sz w:val="24"/>
          <w:lang w:val="en-US" w:eastAsia="zh-CN"/>
        </w:rPr>
        <w:t>响应</w:t>
      </w:r>
      <w:r>
        <w:rPr>
          <w:rFonts w:hint="eastAsia" w:hAnsi="宋体"/>
          <w:color w:val="auto"/>
          <w:sz w:val="24"/>
        </w:rPr>
        <w:t>文件时提供。</w:t>
      </w:r>
    </w:p>
    <w:p>
      <w:pPr>
        <w:autoSpaceDE w:val="0"/>
        <w:autoSpaceDN w:val="0"/>
        <w:snapToGrid w:val="0"/>
        <w:spacing w:line="500" w:lineRule="exact"/>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3</w:t>
      </w:r>
      <w:r>
        <w:rPr>
          <w:rFonts w:hint="eastAsia" w:ascii="仿宋" w:hAnsi="仿宋" w:eastAsia="仿宋"/>
          <w:color w:val="auto"/>
          <w:sz w:val="24"/>
          <w:szCs w:val="24"/>
        </w:rPr>
        <w:t>.</w:t>
      </w:r>
    </w:p>
    <w:p>
      <w:pPr>
        <w:pStyle w:val="2"/>
        <w:numPr>
          <w:ilvl w:val="1"/>
          <w:numId w:val="0"/>
        </w:numPr>
        <w:ind w:left="142" w:leftChars="0"/>
        <w:jc w:val="center"/>
        <w:rPr>
          <w:rFonts w:ascii="宋体" w:hAnsi="宋体"/>
          <w:color w:val="auto"/>
          <w:sz w:val="28"/>
          <w:szCs w:val="28"/>
        </w:rPr>
      </w:pPr>
      <w:r>
        <w:rPr>
          <w:rFonts w:hint="eastAsia" w:ascii="宋体" w:hAnsi="宋体"/>
          <w:color w:val="auto"/>
          <w:sz w:val="28"/>
          <w:szCs w:val="28"/>
        </w:rPr>
        <w:t>法定代表人授权书（如涉及）</w:t>
      </w:r>
    </w:p>
    <w:p>
      <w:pPr>
        <w:spacing w:line="400" w:lineRule="exact"/>
        <w:jc w:val="center"/>
        <w:rPr>
          <w:rFonts w:hAnsi="宋体"/>
          <w:b/>
          <w:bCs/>
          <w:color w:val="auto"/>
          <w:sz w:val="44"/>
          <w:szCs w:val="44"/>
        </w:rPr>
      </w:pPr>
    </w:p>
    <w:p>
      <w:pPr>
        <w:spacing w:line="360" w:lineRule="auto"/>
        <w:rPr>
          <w:rFonts w:hAnsi="宋体"/>
          <w:color w:val="auto"/>
          <w:sz w:val="24"/>
        </w:rPr>
      </w:pPr>
      <w:r>
        <w:rPr>
          <w:rFonts w:hint="eastAsia"/>
          <w:color w:val="auto"/>
          <w:sz w:val="24"/>
        </w:rPr>
        <w:t>金堂县第一人民医院</w:t>
      </w:r>
      <w:r>
        <w:rPr>
          <w:rFonts w:hint="eastAsia" w:hAnsi="宋体"/>
          <w:color w:val="auto"/>
          <w:sz w:val="24"/>
        </w:rPr>
        <w:t>：</w:t>
      </w:r>
    </w:p>
    <w:p>
      <w:pPr>
        <w:spacing w:line="360" w:lineRule="auto"/>
        <w:ind w:firstLine="480" w:firstLineChars="200"/>
        <w:rPr>
          <w:rFonts w:hAnsi="宋体"/>
          <w:color w:val="auto"/>
          <w:sz w:val="24"/>
        </w:rPr>
      </w:pPr>
      <w:r>
        <w:rPr>
          <w:rFonts w:hint="eastAsia" w:hAnsi="宋体"/>
          <w:color w:val="auto"/>
          <w:sz w:val="24"/>
        </w:rPr>
        <w:t>本授权声明：</w:t>
      </w:r>
      <w:r>
        <w:rPr>
          <w:rFonts w:hint="eastAsia" w:hAnsi="宋体"/>
          <w:color w:val="auto"/>
          <w:sz w:val="24"/>
          <w:u w:val="single"/>
        </w:rPr>
        <w:t xml:space="preserve">我 （填法定代表人名称）  </w:t>
      </w:r>
      <w:r>
        <w:rPr>
          <w:rFonts w:hint="eastAsia" w:hAnsi="宋体"/>
          <w:color w:val="auto"/>
          <w:sz w:val="24"/>
        </w:rPr>
        <w:t>系</w:t>
      </w:r>
      <w:r>
        <w:rPr>
          <w:rFonts w:hint="eastAsia" w:hAnsi="宋体"/>
          <w:color w:val="auto"/>
          <w:sz w:val="24"/>
          <w:u w:val="single"/>
        </w:rPr>
        <w:t xml:space="preserve">    （填</w:t>
      </w:r>
      <w:r>
        <w:rPr>
          <w:rFonts w:hint="eastAsia" w:hAnsi="宋体"/>
          <w:color w:val="auto"/>
          <w:sz w:val="24"/>
          <w:u w:val="single"/>
          <w:lang w:val="en-US" w:eastAsia="zh-CN"/>
        </w:rPr>
        <w:t>供应商</w:t>
      </w:r>
      <w:r>
        <w:rPr>
          <w:rFonts w:hint="eastAsia" w:hAnsi="宋体"/>
          <w:color w:val="auto"/>
          <w:sz w:val="24"/>
          <w:u w:val="single"/>
        </w:rPr>
        <w:t xml:space="preserve">名称）   </w:t>
      </w:r>
      <w:r>
        <w:rPr>
          <w:rFonts w:hint="eastAsia" w:hAnsi="宋体"/>
          <w:color w:val="auto"/>
          <w:sz w:val="24"/>
        </w:rPr>
        <w:t>的法定代表人，现授权</w:t>
      </w:r>
      <w:r>
        <w:rPr>
          <w:rFonts w:hAnsi="宋体"/>
          <w:color w:val="auto"/>
          <w:sz w:val="24"/>
          <w:u w:val="single"/>
        </w:rPr>
        <w:t xml:space="preserve">              </w:t>
      </w:r>
      <w:r>
        <w:rPr>
          <w:rFonts w:hint="eastAsia" w:hAnsi="宋体"/>
          <w:color w:val="auto"/>
          <w:sz w:val="24"/>
        </w:rPr>
        <w:t>（授权代表姓名、职务）为我方</w:t>
      </w:r>
      <w:r>
        <w:rPr>
          <w:rFonts w:hAnsi="宋体"/>
          <w:color w:val="auto"/>
          <w:sz w:val="24"/>
        </w:rPr>
        <w:t xml:space="preserve"> </w:t>
      </w:r>
      <w:r>
        <w:rPr>
          <w:rFonts w:hint="eastAsia" w:hAnsi="宋体"/>
          <w:color w:val="auto"/>
          <w:sz w:val="24"/>
        </w:rPr>
        <w:t>“</w:t>
      </w:r>
      <w:r>
        <w:rPr>
          <w:rFonts w:hint="eastAsia" w:hAnsi="宋体"/>
          <w:bCs/>
          <w:color w:val="auto"/>
          <w:sz w:val="24"/>
          <w:u w:val="single"/>
        </w:rPr>
        <w:t xml:space="preserve">  （项目名称）（项目编号：</w:t>
      </w:r>
      <w:r>
        <w:rPr>
          <w:rFonts w:hint="eastAsia" w:hAnsi="宋体"/>
          <w:b/>
          <w:bCs/>
          <w:color w:val="auto"/>
          <w:sz w:val="24"/>
          <w:u w:val="single"/>
        </w:rPr>
        <w:t xml:space="preserve">     </w:t>
      </w:r>
      <w:r>
        <w:rPr>
          <w:rFonts w:hint="eastAsia" w:hAnsi="宋体"/>
          <w:b/>
          <w:bCs/>
          <w:color w:val="auto"/>
          <w:sz w:val="24"/>
          <w:u w:val="single"/>
          <w:lang w:eastAsia="zh-CN"/>
        </w:rPr>
        <w:t>）</w:t>
      </w:r>
      <w:r>
        <w:rPr>
          <w:rFonts w:hint="eastAsia" w:hAnsi="宋体"/>
          <w:color w:val="auto"/>
          <w:sz w:val="24"/>
        </w:rPr>
        <w:t>”（项目名称及项目编号）</w:t>
      </w:r>
      <w:r>
        <w:rPr>
          <w:rFonts w:hint="eastAsia" w:hAnsi="宋体"/>
          <w:color w:val="auto"/>
          <w:sz w:val="24"/>
          <w:lang w:val="en-US" w:eastAsia="zh-CN"/>
        </w:rPr>
        <w:t>采购</w:t>
      </w:r>
      <w:r>
        <w:rPr>
          <w:rFonts w:hint="eastAsia" w:hAnsi="宋体"/>
          <w:color w:val="auto"/>
          <w:sz w:val="24"/>
        </w:rPr>
        <w:t>活动的合法代表，以我方名义全权处理该项目有关</w:t>
      </w:r>
      <w:r>
        <w:rPr>
          <w:rFonts w:hint="eastAsia" w:hAnsi="宋体"/>
          <w:color w:val="auto"/>
          <w:sz w:val="24"/>
          <w:lang w:val="en-US" w:eastAsia="zh-CN"/>
        </w:rPr>
        <w:t>协商</w:t>
      </w:r>
      <w:r>
        <w:rPr>
          <w:rFonts w:hint="eastAsia" w:hAnsi="宋体"/>
          <w:color w:val="auto"/>
          <w:sz w:val="24"/>
        </w:rPr>
        <w:t>、签订合同以及执行合同等一切事宜。</w:t>
      </w:r>
    </w:p>
    <w:p>
      <w:pPr>
        <w:spacing w:line="360" w:lineRule="auto"/>
        <w:ind w:firstLine="480" w:firstLineChars="200"/>
        <w:rPr>
          <w:rFonts w:hAnsi="宋体"/>
          <w:color w:val="auto"/>
          <w:sz w:val="24"/>
        </w:rPr>
      </w:pPr>
      <w:r>
        <w:rPr>
          <w:rFonts w:hint="eastAsia" w:hAnsi="宋体"/>
          <w:color w:val="auto"/>
          <w:sz w:val="24"/>
        </w:rPr>
        <w:t>特此声明。</w:t>
      </w:r>
    </w:p>
    <w:p>
      <w:pPr>
        <w:spacing w:line="400" w:lineRule="exact"/>
        <w:ind w:firstLine="480" w:firstLineChars="200"/>
        <w:rPr>
          <w:rFonts w:hAnsi="宋体"/>
          <w:color w:val="auto"/>
          <w:sz w:val="24"/>
        </w:rPr>
      </w:pPr>
    </w:p>
    <w:p>
      <w:pPr>
        <w:spacing w:line="400" w:lineRule="exact"/>
        <w:ind w:firstLine="480" w:firstLineChars="200"/>
        <w:rPr>
          <w:rFonts w:hAnsi="宋体"/>
          <w:color w:val="auto"/>
          <w:sz w:val="24"/>
        </w:rPr>
      </w:pPr>
    </w:p>
    <w:p>
      <w:pPr>
        <w:spacing w:line="400" w:lineRule="exact"/>
        <w:ind w:firstLine="480" w:firstLineChars="200"/>
        <w:rPr>
          <w:rFonts w:hAnsi="宋体"/>
          <w:color w:val="auto"/>
          <w:sz w:val="24"/>
          <w:u w:val="single"/>
        </w:rPr>
      </w:pPr>
      <w:r>
        <w:rPr>
          <w:rFonts w:hint="eastAsia" w:hAnsi="宋体"/>
          <w:color w:val="auto"/>
          <w:sz w:val="24"/>
        </w:rPr>
        <w:t>法定代表人签字：</w:t>
      </w:r>
      <w:r>
        <w:rPr>
          <w:rFonts w:hint="eastAsia" w:hAnsi="宋体"/>
          <w:color w:val="auto"/>
          <w:sz w:val="24"/>
          <w:u w:val="single"/>
        </w:rPr>
        <w:t xml:space="preserve">                   </w:t>
      </w:r>
    </w:p>
    <w:p>
      <w:pPr>
        <w:spacing w:line="400" w:lineRule="exact"/>
        <w:ind w:firstLine="480" w:firstLineChars="200"/>
        <w:rPr>
          <w:rFonts w:hAnsi="宋体"/>
          <w:color w:val="auto"/>
          <w:sz w:val="24"/>
          <w:u w:val="single"/>
        </w:rPr>
      </w:pPr>
      <w:r>
        <w:rPr>
          <w:rFonts w:hint="eastAsia" w:hAnsi="宋体"/>
          <w:color w:val="auto"/>
          <w:sz w:val="24"/>
        </w:rPr>
        <w:t>授权代理人签字：</w:t>
      </w:r>
      <w:r>
        <w:rPr>
          <w:rFonts w:hint="eastAsia" w:hAnsi="宋体"/>
          <w:color w:val="auto"/>
          <w:sz w:val="24"/>
          <w:u w:val="single"/>
        </w:rPr>
        <w:t xml:space="preserve">                   </w:t>
      </w:r>
    </w:p>
    <w:p>
      <w:pPr>
        <w:spacing w:line="400" w:lineRule="exact"/>
        <w:ind w:firstLine="480" w:firstLineChars="200"/>
        <w:rPr>
          <w:rFonts w:hAnsi="宋体"/>
          <w:color w:val="auto"/>
          <w:sz w:val="24"/>
          <w:u w:val="single"/>
        </w:rPr>
      </w:pPr>
      <w:r>
        <w:rPr>
          <w:rFonts w:hint="eastAsia" w:hAnsi="宋体"/>
          <w:color w:val="auto"/>
          <w:sz w:val="24"/>
          <w:lang w:val="en-US" w:eastAsia="zh-CN"/>
        </w:rPr>
        <w:t>供应商</w:t>
      </w:r>
      <w:r>
        <w:rPr>
          <w:rFonts w:hint="eastAsia" w:hAnsi="宋体"/>
          <w:color w:val="auto"/>
          <w:sz w:val="24"/>
        </w:rPr>
        <w:t>名称：</w:t>
      </w:r>
      <w:r>
        <w:rPr>
          <w:rFonts w:hAnsi="宋体"/>
          <w:color w:val="auto"/>
          <w:sz w:val="24"/>
          <w:u w:val="single"/>
        </w:rPr>
        <w:t xml:space="preserve">         </w:t>
      </w:r>
      <w:r>
        <w:rPr>
          <w:rFonts w:hint="eastAsia" w:hAnsi="宋体"/>
          <w:color w:val="auto"/>
          <w:sz w:val="24"/>
          <w:u w:val="single"/>
        </w:rPr>
        <w:t xml:space="preserve">（盖章）  </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pPr>
        <w:spacing w:line="400" w:lineRule="exact"/>
        <w:rPr>
          <w:rFonts w:hAnsi="宋体"/>
          <w:color w:val="auto"/>
          <w:sz w:val="32"/>
          <w:szCs w:val="32"/>
        </w:rPr>
      </w:pPr>
    </w:p>
    <w:p>
      <w:pPr>
        <w:spacing w:line="400" w:lineRule="exact"/>
        <w:ind w:left="840" w:hanging="840" w:hangingChars="350"/>
        <w:jc w:val="left"/>
        <w:rPr>
          <w:rFonts w:hAnsi="宋体"/>
          <w:color w:val="auto"/>
          <w:sz w:val="24"/>
        </w:rPr>
      </w:pPr>
      <w:r>
        <w:rPr>
          <w:rFonts w:hint="eastAsia" w:hAnsi="宋体"/>
          <w:color w:val="auto"/>
          <w:sz w:val="24"/>
        </w:rPr>
        <w:t>附：</w:t>
      </w:r>
    </w:p>
    <w:p>
      <w:pPr>
        <w:spacing w:line="400" w:lineRule="exact"/>
        <w:ind w:firstLine="480" w:firstLineChars="200"/>
        <w:rPr>
          <w:rFonts w:hAnsi="宋体"/>
          <w:color w:val="auto"/>
          <w:sz w:val="24"/>
        </w:rPr>
      </w:pPr>
      <w:r>
        <w:rPr>
          <w:rFonts w:hAnsi="宋体"/>
          <w:color w:val="auto"/>
          <w:sz w:val="24"/>
        </w:rPr>
        <w:t>1</w:t>
      </w:r>
      <w:r>
        <w:rPr>
          <w:rFonts w:hint="eastAsia" w:hAnsi="宋体"/>
          <w:color w:val="auto"/>
          <w:sz w:val="24"/>
        </w:rPr>
        <w:t>、法定代表人身份证复印件（提供正反面）</w:t>
      </w:r>
    </w:p>
    <w:p>
      <w:pPr>
        <w:spacing w:line="400" w:lineRule="exact"/>
        <w:ind w:firstLine="480" w:firstLineChars="200"/>
        <w:rPr>
          <w:rFonts w:hAnsi="宋体"/>
          <w:color w:val="auto"/>
          <w:sz w:val="24"/>
        </w:rPr>
      </w:pPr>
      <w:r>
        <w:rPr>
          <w:rFonts w:hAnsi="宋体"/>
          <w:color w:val="auto"/>
          <w:sz w:val="24"/>
        </w:rPr>
        <w:t>2</w:t>
      </w:r>
      <w:r>
        <w:rPr>
          <w:rFonts w:hint="eastAsia" w:hAnsi="宋体"/>
          <w:color w:val="auto"/>
          <w:sz w:val="24"/>
        </w:rPr>
        <w:t>、授权代表身份证复印件（提供正反面）</w:t>
      </w:r>
    </w:p>
    <w:p>
      <w:pPr>
        <w:spacing w:line="400" w:lineRule="exact"/>
        <w:ind w:firstLine="480" w:firstLineChars="200"/>
        <w:rPr>
          <w:rFonts w:ascii="宋体" w:hAnsi="宋体"/>
          <w:color w:val="auto"/>
          <w:sz w:val="28"/>
          <w:szCs w:val="28"/>
        </w:rPr>
        <w:sectPr>
          <w:headerReference r:id="rId7" w:type="first"/>
          <w:headerReference r:id="rId6" w:type="default"/>
          <w:footerReference r:id="rId8" w:type="default"/>
          <w:footerReference r:id="rId9" w:type="even"/>
          <w:pgSz w:w="11906" w:h="16838"/>
          <w:pgMar w:top="1440" w:right="1418" w:bottom="1440" w:left="1701" w:header="851" w:footer="992" w:gutter="0"/>
          <w:cols w:space="720" w:num="1"/>
          <w:docGrid w:type="lines" w:linePitch="312" w:charSpace="0"/>
        </w:sectPr>
      </w:pPr>
      <w:r>
        <w:rPr>
          <w:rFonts w:hint="eastAsia" w:hAnsi="宋体"/>
          <w:color w:val="auto"/>
          <w:sz w:val="24"/>
        </w:rPr>
        <w:t>3、非法定代表人参与</w:t>
      </w:r>
      <w:r>
        <w:rPr>
          <w:rFonts w:hint="eastAsia" w:hAnsi="宋体"/>
          <w:color w:val="auto"/>
          <w:sz w:val="24"/>
          <w:lang w:val="en-US" w:eastAsia="zh-CN"/>
        </w:rPr>
        <w:t>协商</w:t>
      </w:r>
      <w:r>
        <w:rPr>
          <w:rFonts w:hint="eastAsia" w:hAnsi="宋体"/>
          <w:color w:val="auto"/>
          <w:sz w:val="24"/>
        </w:rPr>
        <w:t>并签署</w:t>
      </w:r>
      <w:r>
        <w:rPr>
          <w:rFonts w:hint="eastAsia" w:hAnsi="宋体"/>
          <w:color w:val="auto"/>
          <w:sz w:val="24"/>
          <w:lang w:val="en-US" w:eastAsia="zh-CN"/>
        </w:rPr>
        <w:t>响应</w:t>
      </w:r>
      <w:r>
        <w:rPr>
          <w:rFonts w:hint="eastAsia" w:hAnsi="宋体"/>
          <w:color w:val="auto"/>
          <w:sz w:val="24"/>
        </w:rPr>
        <w:t>文件时提供</w:t>
      </w:r>
      <w:bookmarkStart w:id="17" w:name="_Toc297204985"/>
      <w:bookmarkStart w:id="18" w:name="_Toc263768864"/>
      <w:bookmarkStart w:id="19" w:name="_Toc256175382"/>
      <w:bookmarkStart w:id="20" w:name="_Toc263753600"/>
      <w:bookmarkStart w:id="21" w:name="_Toc237145385"/>
      <w:bookmarkStart w:id="22" w:name="_Toc250041691"/>
    </w:p>
    <w:bookmarkEnd w:id="10"/>
    <w:bookmarkEnd w:id="17"/>
    <w:bookmarkEnd w:id="18"/>
    <w:bookmarkEnd w:id="19"/>
    <w:bookmarkEnd w:id="20"/>
    <w:bookmarkEnd w:id="21"/>
    <w:bookmarkEnd w:id="22"/>
    <w:p>
      <w:pPr>
        <w:tabs>
          <w:tab w:val="left" w:pos="180"/>
        </w:tabs>
        <w:spacing w:line="360" w:lineRule="auto"/>
        <w:outlineLvl w:val="9"/>
        <w:rPr>
          <w:rFonts w:hint="default" w:ascii="宋体" w:hAnsi="宋体" w:eastAsia="黑体" w:cs="Times New Roman"/>
          <w:b/>
          <w:bCs/>
          <w:color w:val="auto"/>
          <w:kern w:val="2"/>
          <w:sz w:val="28"/>
          <w:szCs w:val="28"/>
          <w:lang w:val="en-US" w:eastAsia="zh-CN" w:bidi="ar-SA"/>
        </w:rPr>
      </w:pPr>
      <w:bookmarkStart w:id="23" w:name="_Toc28118"/>
      <w:bookmarkStart w:id="24" w:name="_Toc1195"/>
      <w:bookmarkStart w:id="25" w:name="PO_默认文件内容_8"/>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4.</w:t>
      </w:r>
      <w:bookmarkEnd w:id="23"/>
      <w:bookmarkEnd w:id="24"/>
    </w:p>
    <w:p>
      <w:pPr>
        <w:tabs>
          <w:tab w:val="left" w:pos="180"/>
        </w:tabs>
        <w:spacing w:line="360" w:lineRule="auto"/>
        <w:jc w:val="center"/>
        <w:outlineLvl w:val="9"/>
        <w:rPr>
          <w:rFonts w:hint="eastAsia" w:ascii="宋体" w:hAnsi="宋体" w:eastAsia="黑体" w:cs="Times New Roman"/>
          <w:b/>
          <w:bCs/>
          <w:color w:val="auto"/>
          <w:kern w:val="2"/>
          <w:sz w:val="28"/>
          <w:szCs w:val="28"/>
          <w:lang w:val="en-US" w:eastAsia="zh-CN" w:bidi="ar-SA"/>
        </w:rPr>
      </w:pPr>
      <w:bookmarkStart w:id="26" w:name="_Toc10553"/>
      <w:bookmarkStart w:id="27" w:name="_Toc30468"/>
      <w:r>
        <w:rPr>
          <w:rFonts w:hint="eastAsia" w:ascii="宋体" w:hAnsi="宋体" w:eastAsia="黑体" w:cs="Times New Roman"/>
          <w:b/>
          <w:bCs/>
          <w:color w:val="auto"/>
          <w:kern w:val="2"/>
          <w:sz w:val="28"/>
          <w:szCs w:val="28"/>
          <w:lang w:val="en-US" w:eastAsia="zh-CN" w:bidi="ar-SA"/>
        </w:rPr>
        <w:t>报价一览表</w:t>
      </w:r>
      <w:bookmarkEnd w:id="26"/>
      <w:bookmarkEnd w:id="27"/>
      <w:r>
        <w:rPr>
          <w:rFonts w:hint="eastAsia" w:ascii="宋体" w:hAnsi="宋体" w:eastAsia="黑体" w:cs="Times New Roman"/>
          <w:b/>
          <w:bCs/>
          <w:color w:val="auto"/>
          <w:kern w:val="2"/>
          <w:sz w:val="28"/>
          <w:szCs w:val="28"/>
          <w:lang w:val="en-US" w:eastAsia="zh-CN" w:bidi="ar-SA"/>
        </w:rPr>
        <w:t>（第一次）</w:t>
      </w:r>
    </w:p>
    <w:p>
      <w:pPr>
        <w:autoSpaceDE w:val="0"/>
        <w:autoSpaceDN w:val="0"/>
        <w:snapToGrid w:val="0"/>
        <w:spacing w:line="460" w:lineRule="exact"/>
        <w:outlineLvl w:val="9"/>
        <w:rPr>
          <w:rFonts w:ascii="仿宋" w:hAnsi="仿宋" w:eastAsia="仿宋" w:cs="宋体"/>
          <w:color w:val="auto"/>
          <w:spacing w:val="8"/>
          <w:sz w:val="24"/>
          <w:szCs w:val="24"/>
        </w:rPr>
      </w:pPr>
    </w:p>
    <w:tbl>
      <w:tblPr>
        <w:tblStyle w:val="32"/>
        <w:tblW w:w="93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6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caps/>
                <w:snapToGrid w:val="0"/>
                <w:color w:val="auto"/>
              </w:rPr>
            </w:pPr>
            <w:r>
              <w:rPr>
                <w:rFonts w:hint="eastAsia" w:ascii="宋体" w:hAnsi="宋体" w:cs="宋体"/>
                <w:snapToGrid w:val="0"/>
                <w:color w:val="auto"/>
              </w:rPr>
              <w:t>项目名称</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项目编号</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snapToGrid w:val="0"/>
                <w:color w:val="auto"/>
              </w:rPr>
            </w:pPr>
            <w:r>
              <w:rPr>
                <w:rFonts w:hint="eastAsia" w:ascii="宋体" w:hAnsi="宋体" w:cs="宋体"/>
                <w:snapToGrid w:val="0"/>
                <w:color w:val="auto"/>
              </w:rPr>
              <w:t>供应商名称</w:t>
            </w:r>
          </w:p>
        </w:tc>
        <w:tc>
          <w:tcPr>
            <w:tcW w:w="6649" w:type="dxa"/>
            <w:vAlign w:val="center"/>
          </w:tcPr>
          <w:p>
            <w:pPr>
              <w:snapToGrid w:val="0"/>
              <w:jc w:val="center"/>
              <w:rPr>
                <w:rFonts w:ascii="宋体" w:hAnsi="宋体" w:cs="宋体"/>
                <w:b/>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单一来源报价</w:t>
            </w:r>
          </w:p>
        </w:tc>
        <w:tc>
          <w:tcPr>
            <w:tcW w:w="6649" w:type="dxa"/>
            <w:vAlign w:val="bottom"/>
          </w:tcPr>
          <w:p>
            <w:pPr>
              <w:snapToGrid w:val="0"/>
              <w:jc w:val="both"/>
              <w:rPr>
                <w:rFonts w:ascii="宋体" w:hAnsi="宋体" w:cs="宋体"/>
                <w:snapToGrid w:val="0"/>
                <w:color w:val="auto"/>
              </w:rPr>
            </w:pPr>
            <w:r>
              <w:rPr>
                <w:rFonts w:hint="eastAsia" w:ascii="宋体" w:hAnsi="宋体" w:cs="宋体"/>
                <w:snapToGrid w:val="0"/>
                <w:color w:val="auto"/>
              </w:rPr>
              <w:t>（大写：</w:t>
            </w:r>
            <w:r>
              <w:rPr>
                <w:rFonts w:hint="eastAsia" w:ascii="宋体" w:hAnsi="宋体" w:cs="宋体"/>
                <w:snapToGrid w:val="0"/>
                <w:color w:val="auto"/>
                <w:u w:val="single"/>
              </w:rPr>
              <w:t xml:space="preserve">                               </w:t>
            </w:r>
            <w:r>
              <w:rPr>
                <w:rFonts w:hint="eastAsia" w:ascii="宋体" w:hAnsi="宋体" w:cs="宋体"/>
                <w:snapToGrid w:val="0"/>
                <w:color w:val="auto"/>
              </w:rPr>
              <w:t>）</w:t>
            </w:r>
          </w:p>
          <w:p>
            <w:pPr>
              <w:snapToGrid w:val="0"/>
              <w:rPr>
                <w:rFonts w:ascii="宋体" w:hAnsi="宋体" w:cs="宋体"/>
                <w:snapToGrid w:val="0"/>
                <w:color w:val="auto"/>
              </w:rPr>
            </w:pPr>
            <w:r>
              <w:rPr>
                <w:rFonts w:hint="eastAsia" w:ascii="宋体" w:hAnsi="宋体" w:cs="宋体"/>
                <w:snapToGrid w:val="0"/>
                <w:color w:val="auto"/>
              </w:rPr>
              <w:t>（小写：</w:t>
            </w:r>
            <w:r>
              <w:rPr>
                <w:rFonts w:hint="eastAsia" w:ascii="宋体" w:hAnsi="宋体" w:cs="宋体"/>
                <w:snapToGrid w:val="0"/>
                <w:color w:val="auto"/>
                <w:u w:val="single"/>
              </w:rPr>
              <w:t xml:space="preserve">                               </w:t>
            </w:r>
            <w:r>
              <w:rPr>
                <w:rFonts w:hint="eastAsia" w:ascii="宋体" w:hAnsi="宋体" w:cs="宋体"/>
                <w:snapToGrid w:val="0"/>
                <w:color w:val="auto"/>
              </w:rPr>
              <w:t>）</w:t>
            </w:r>
          </w:p>
        </w:tc>
      </w:tr>
    </w:tbl>
    <w:p>
      <w:pPr>
        <w:autoSpaceDE w:val="0"/>
        <w:autoSpaceDN w:val="0"/>
        <w:snapToGrid w:val="0"/>
        <w:spacing w:line="440" w:lineRule="exact"/>
        <w:outlineLvl w:val="9"/>
        <w:rPr>
          <w:rFonts w:hint="eastAsia" w:ascii="仿宋" w:hAnsi="仿宋" w:eastAsia="仿宋"/>
          <w:color w:val="auto"/>
          <w:sz w:val="24"/>
          <w:szCs w:val="24"/>
          <w:lang w:eastAsia="zh-CN"/>
        </w:rPr>
      </w:pPr>
    </w:p>
    <w:p>
      <w:pPr>
        <w:ind w:firstLine="420" w:firstLineChars="200"/>
        <w:rPr>
          <w:rFonts w:ascii="宋体" w:hAnsi="宋体" w:cs="宋体"/>
          <w:color w:val="auto"/>
        </w:rPr>
      </w:pPr>
    </w:p>
    <w:p>
      <w:pPr>
        <w:spacing w:line="360" w:lineRule="auto"/>
        <w:jc w:val="left"/>
        <w:outlineLvl w:val="9"/>
        <w:rPr>
          <w:rFonts w:hint="eastAsia" w:ascii="Times New Roman" w:hAnsi="Times New Roman" w:eastAsia="宋体" w:cs="Times New Roman"/>
          <w:color w:val="auto"/>
          <w:sz w:val="24"/>
          <w:szCs w:val="22"/>
        </w:rPr>
      </w:pPr>
      <w:r>
        <w:rPr>
          <w:rFonts w:hint="eastAsia" w:ascii="Times New Roman" w:hAnsi="Times New Roman" w:eastAsia="宋体" w:cs="Times New Roman"/>
          <w:color w:val="auto"/>
          <w:sz w:val="24"/>
          <w:szCs w:val="22"/>
        </w:rPr>
        <w:t>注：报价应是供应商完成全部服务的总价，包括人工费、保险、国内税费、招标代理等费用以及一切其它相关费用。</w:t>
      </w:r>
    </w:p>
    <w:p>
      <w:pPr>
        <w:spacing w:line="360" w:lineRule="auto"/>
        <w:jc w:val="left"/>
        <w:outlineLvl w:val="9"/>
        <w:rPr>
          <w:rFonts w:hint="eastAsia"/>
          <w:color w:val="auto"/>
          <w:sz w:val="24"/>
        </w:rPr>
      </w:pPr>
    </w:p>
    <w:p>
      <w:pPr>
        <w:spacing w:line="360" w:lineRule="auto"/>
        <w:jc w:val="left"/>
        <w:outlineLvl w:val="9"/>
        <w:rPr>
          <w:rFonts w:hint="eastAsia"/>
          <w:color w:val="auto"/>
          <w:sz w:val="24"/>
        </w:rPr>
      </w:pPr>
      <w:r>
        <w:rPr>
          <w:rFonts w:hint="eastAsia"/>
          <w:color w:val="auto"/>
          <w:sz w:val="24"/>
        </w:rPr>
        <w:t>供应商法定代表人</w:t>
      </w:r>
      <w:r>
        <w:rPr>
          <w:rFonts w:hint="eastAsia"/>
          <w:color w:val="auto"/>
          <w:sz w:val="24"/>
          <w:lang w:val="en-US" w:eastAsia="zh-CN"/>
        </w:rPr>
        <w:t>或</w:t>
      </w:r>
      <w:r>
        <w:rPr>
          <w:rFonts w:hint="eastAsia"/>
          <w:color w:val="auto"/>
          <w:sz w:val="24"/>
        </w:rPr>
        <w:t>授权代理人</w:t>
      </w:r>
      <w:r>
        <w:rPr>
          <w:rFonts w:hint="eastAsia"/>
          <w:color w:val="auto"/>
          <w:sz w:val="24"/>
          <w:lang w:eastAsia="zh-CN"/>
        </w:rPr>
        <w:t>（</w:t>
      </w:r>
      <w:r>
        <w:rPr>
          <w:rFonts w:hint="eastAsia"/>
          <w:color w:val="auto"/>
          <w:sz w:val="24"/>
        </w:rPr>
        <w:t>签字)：</w:t>
      </w:r>
    </w:p>
    <w:p>
      <w:pPr>
        <w:spacing w:line="360" w:lineRule="auto"/>
        <w:jc w:val="left"/>
        <w:outlineLvl w:val="9"/>
        <w:rPr>
          <w:rFonts w:hint="eastAsia"/>
          <w:color w:val="auto"/>
          <w:sz w:val="24"/>
        </w:rPr>
      </w:pPr>
      <w:r>
        <w:rPr>
          <w:rFonts w:hint="eastAsia"/>
          <w:color w:val="auto"/>
          <w:sz w:val="24"/>
        </w:rPr>
        <w:t>供应商</w:t>
      </w:r>
      <w:r>
        <w:rPr>
          <w:rFonts w:hint="eastAsia"/>
          <w:color w:val="auto"/>
          <w:sz w:val="24"/>
          <w:lang w:val="en-US" w:eastAsia="zh-CN"/>
        </w:rPr>
        <w:t>名</w:t>
      </w:r>
      <w:r>
        <w:rPr>
          <w:rFonts w:hint="eastAsia"/>
          <w:color w:val="auto"/>
          <w:sz w:val="24"/>
        </w:rPr>
        <w:t xml:space="preserve">称（盖章）：      </w:t>
      </w:r>
    </w:p>
    <w:p>
      <w:pPr>
        <w:spacing w:line="360" w:lineRule="auto"/>
        <w:jc w:val="left"/>
        <w:outlineLvl w:val="9"/>
        <w:rPr>
          <w:rFonts w:hint="eastAsia"/>
          <w:color w:val="auto"/>
          <w:sz w:val="24"/>
        </w:rPr>
      </w:pPr>
      <w:r>
        <w:rPr>
          <w:rFonts w:hint="eastAsia"/>
          <w:color w:val="auto"/>
          <w:sz w:val="24"/>
        </w:rPr>
        <w:t>日期：        年    月   日</w:t>
      </w: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widowControl/>
        <w:jc w:val="left"/>
        <w:outlineLvl w:val="9"/>
        <w:rPr>
          <w:rFonts w:ascii="仿宋" w:hAnsi="仿宋" w:eastAsia="仿宋"/>
          <w:color w:val="auto"/>
          <w:sz w:val="24"/>
          <w:szCs w:val="24"/>
        </w:rPr>
      </w:pPr>
    </w:p>
    <w:p>
      <w:pPr>
        <w:pStyle w:val="76"/>
        <w:outlineLvl w:val="9"/>
        <w:rPr>
          <w:color w:val="auto"/>
        </w:rPr>
      </w:pPr>
    </w:p>
    <w:p>
      <w:pPr>
        <w:rPr>
          <w:color w:val="auto"/>
        </w:rPr>
      </w:pPr>
    </w:p>
    <w:p>
      <w:pPr>
        <w:pStyle w:val="15"/>
        <w:rPr>
          <w:color w:val="auto"/>
        </w:rPr>
      </w:pPr>
    </w:p>
    <w:p>
      <w:pPr>
        <w:rPr>
          <w:color w:val="auto"/>
        </w:rPr>
      </w:pPr>
    </w:p>
    <w:p>
      <w:pPr>
        <w:pStyle w:val="15"/>
        <w:rPr>
          <w:color w:val="auto"/>
        </w:rPr>
      </w:pPr>
    </w:p>
    <w:p>
      <w:pPr>
        <w:widowControl/>
        <w:jc w:val="left"/>
        <w:outlineLvl w:val="9"/>
        <w:rPr>
          <w:rFonts w:ascii="仿宋" w:hAnsi="仿宋" w:eastAsia="仿宋"/>
          <w:color w:val="auto"/>
          <w:sz w:val="24"/>
          <w:szCs w:val="24"/>
        </w:rPr>
      </w:pPr>
    </w:p>
    <w:p>
      <w:pPr>
        <w:spacing w:line="360" w:lineRule="auto"/>
        <w:outlineLvl w:val="9"/>
        <w:rPr>
          <w:rFonts w:hint="eastAsia" w:ascii="宋体" w:hAnsi="宋体" w:eastAsia="黑体" w:cs="Times New Roman"/>
          <w:b/>
          <w:bCs/>
          <w:color w:val="auto"/>
          <w:kern w:val="2"/>
          <w:sz w:val="28"/>
          <w:szCs w:val="28"/>
          <w:lang w:val="en-US" w:eastAsia="zh-CN" w:bidi="ar-SA"/>
        </w:rPr>
      </w:pPr>
      <w:bookmarkStart w:id="28" w:name="_Toc22366"/>
      <w:bookmarkStart w:id="29" w:name="_Toc21721"/>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5</w:t>
      </w:r>
      <w:r>
        <w:rPr>
          <w:rFonts w:hint="eastAsia" w:ascii="仿宋" w:hAnsi="仿宋" w:eastAsia="仿宋"/>
          <w:color w:val="auto"/>
          <w:sz w:val="24"/>
          <w:szCs w:val="24"/>
        </w:rPr>
        <w:t>.</w:t>
      </w:r>
      <w:bookmarkEnd w:id="28"/>
      <w:bookmarkEnd w:id="29"/>
      <w:r>
        <w:rPr>
          <w:rFonts w:hint="eastAsia" w:ascii="仿宋" w:hAnsi="仿宋" w:eastAsia="仿宋"/>
          <w:color w:val="auto"/>
          <w:sz w:val="24"/>
          <w:szCs w:val="24"/>
        </w:rPr>
        <w:t xml:space="preserve"> </w:t>
      </w:r>
    </w:p>
    <w:p>
      <w:pPr>
        <w:tabs>
          <w:tab w:val="left" w:pos="180"/>
        </w:tabs>
        <w:spacing w:line="360" w:lineRule="auto"/>
        <w:jc w:val="center"/>
        <w:outlineLvl w:val="9"/>
        <w:rPr>
          <w:rFonts w:hint="eastAsia" w:ascii="宋体" w:hAnsi="宋体" w:eastAsia="黑体" w:cs="Times New Roman"/>
          <w:b/>
          <w:bCs/>
          <w:color w:val="auto"/>
          <w:kern w:val="2"/>
          <w:sz w:val="28"/>
          <w:szCs w:val="28"/>
          <w:lang w:val="en-US" w:eastAsia="zh-CN" w:bidi="ar-SA"/>
        </w:rPr>
      </w:pPr>
      <w:bookmarkStart w:id="30" w:name="_Toc15371"/>
      <w:bookmarkStart w:id="31" w:name="_Toc2197"/>
      <w:r>
        <w:rPr>
          <w:rFonts w:hint="eastAsia" w:ascii="宋体" w:hAnsi="宋体" w:eastAsia="黑体" w:cs="Times New Roman"/>
          <w:b/>
          <w:bCs/>
          <w:color w:val="auto"/>
          <w:kern w:val="2"/>
          <w:sz w:val="28"/>
          <w:szCs w:val="28"/>
          <w:lang w:val="en-US" w:eastAsia="zh-CN" w:bidi="ar-SA"/>
        </w:rPr>
        <w:t>技术、服务要求响应/偏离表</w:t>
      </w:r>
      <w:bookmarkEnd w:id="30"/>
      <w:bookmarkEnd w:id="31"/>
    </w:p>
    <w:p>
      <w:pPr>
        <w:spacing w:before="120"/>
        <w:jc w:val="center"/>
        <w:outlineLvl w:val="9"/>
        <w:rPr>
          <w:rFonts w:ascii="仿宋" w:hAnsi="仿宋" w:eastAsia="仿宋"/>
          <w:b/>
          <w:color w:val="auto"/>
          <w:sz w:val="24"/>
          <w:szCs w:val="24"/>
        </w:rPr>
      </w:pPr>
    </w:p>
    <w:p>
      <w:pPr>
        <w:spacing w:line="360" w:lineRule="auto"/>
        <w:jc w:val="left"/>
        <w:outlineLvl w:val="9"/>
        <w:rPr>
          <w:rFonts w:hint="eastAsia"/>
          <w:color w:val="auto"/>
          <w:sz w:val="24"/>
        </w:rPr>
      </w:pPr>
      <w:r>
        <w:rPr>
          <w:rFonts w:hint="eastAsia"/>
          <w:color w:val="auto"/>
          <w:sz w:val="24"/>
        </w:rPr>
        <w:t>项目名称：  项目编号： 包号：</w:t>
      </w:r>
    </w:p>
    <w:tbl>
      <w:tblPr>
        <w:tblStyle w:val="32"/>
        <w:tblW w:w="85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824"/>
        <w:gridCol w:w="1809"/>
        <w:gridCol w:w="2729"/>
        <w:gridCol w:w="14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648" w:hRule="atLeast"/>
          <w:jc w:val="center"/>
        </w:trPr>
        <w:tc>
          <w:tcPr>
            <w:tcW w:w="734"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序号</w:t>
            </w:r>
          </w:p>
        </w:tc>
        <w:tc>
          <w:tcPr>
            <w:tcW w:w="1824"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采购文件条目号</w:t>
            </w:r>
          </w:p>
        </w:tc>
        <w:tc>
          <w:tcPr>
            <w:tcW w:w="1809"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采购文件要求</w:t>
            </w:r>
          </w:p>
        </w:tc>
        <w:tc>
          <w:tcPr>
            <w:tcW w:w="2729"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报价文件响应说明</w:t>
            </w:r>
          </w:p>
        </w:tc>
        <w:tc>
          <w:tcPr>
            <w:tcW w:w="1427" w:type="dxa"/>
            <w:vAlign w:val="center"/>
          </w:tcPr>
          <w:p>
            <w:pPr>
              <w:spacing w:before="60" w:after="60"/>
              <w:jc w:val="center"/>
              <w:outlineLvl w:val="9"/>
              <w:rPr>
                <w:rFonts w:ascii="仿宋" w:hAnsi="仿宋" w:eastAsia="仿宋"/>
                <w:color w:val="auto"/>
                <w:sz w:val="24"/>
                <w:szCs w:val="24"/>
              </w:rPr>
            </w:pPr>
            <w:r>
              <w:rPr>
                <w:rFonts w:hint="eastAsia" w:ascii="仿宋" w:hAnsi="仿宋" w:eastAsia="仿宋"/>
                <w:color w:val="auto"/>
                <w:sz w:val="24"/>
                <w:szCs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778" w:hRule="atLeast"/>
          <w:jc w:val="center"/>
        </w:trPr>
        <w:tc>
          <w:tcPr>
            <w:tcW w:w="734" w:type="dxa"/>
            <w:vAlign w:val="center"/>
          </w:tcPr>
          <w:p>
            <w:pPr>
              <w:spacing w:before="120" w:after="120"/>
              <w:jc w:val="center"/>
              <w:outlineLvl w:val="9"/>
              <w:rPr>
                <w:rFonts w:ascii="仿宋" w:hAnsi="仿宋" w:eastAsia="仿宋"/>
                <w:color w:val="auto"/>
                <w:sz w:val="24"/>
                <w:szCs w:val="24"/>
              </w:rPr>
            </w:pPr>
          </w:p>
        </w:tc>
        <w:tc>
          <w:tcPr>
            <w:tcW w:w="1824" w:type="dxa"/>
            <w:vAlign w:val="center"/>
          </w:tcPr>
          <w:p>
            <w:pPr>
              <w:spacing w:before="120" w:after="120"/>
              <w:jc w:val="center"/>
              <w:outlineLvl w:val="9"/>
              <w:rPr>
                <w:rFonts w:ascii="仿宋" w:hAnsi="仿宋" w:eastAsia="仿宋"/>
                <w:color w:val="auto"/>
                <w:sz w:val="24"/>
                <w:szCs w:val="24"/>
              </w:rPr>
            </w:pPr>
          </w:p>
        </w:tc>
        <w:tc>
          <w:tcPr>
            <w:tcW w:w="1809" w:type="dxa"/>
            <w:vAlign w:val="center"/>
          </w:tcPr>
          <w:p>
            <w:pPr>
              <w:spacing w:before="120" w:after="120"/>
              <w:jc w:val="center"/>
              <w:outlineLvl w:val="9"/>
              <w:rPr>
                <w:rFonts w:ascii="仿宋" w:hAnsi="仿宋" w:eastAsia="仿宋"/>
                <w:color w:val="auto"/>
                <w:sz w:val="24"/>
                <w:szCs w:val="24"/>
              </w:rPr>
            </w:pPr>
          </w:p>
        </w:tc>
        <w:tc>
          <w:tcPr>
            <w:tcW w:w="2729" w:type="dxa"/>
            <w:vAlign w:val="center"/>
          </w:tcPr>
          <w:p>
            <w:pPr>
              <w:spacing w:before="120" w:after="120"/>
              <w:jc w:val="center"/>
              <w:outlineLvl w:val="9"/>
              <w:rPr>
                <w:rFonts w:ascii="仿宋" w:hAnsi="仿宋" w:eastAsia="仿宋"/>
                <w:color w:val="auto"/>
                <w:sz w:val="24"/>
                <w:szCs w:val="24"/>
              </w:rPr>
            </w:pPr>
          </w:p>
        </w:tc>
        <w:tc>
          <w:tcPr>
            <w:tcW w:w="1427" w:type="dxa"/>
            <w:vAlign w:val="center"/>
          </w:tcPr>
          <w:p>
            <w:pPr>
              <w:spacing w:before="120" w:after="120"/>
              <w:jc w:val="center"/>
              <w:outlineLvl w:val="9"/>
              <w:rPr>
                <w:rFonts w:ascii="仿宋" w:hAnsi="仿宋" w:eastAsia="仿宋"/>
                <w:color w:val="auto"/>
                <w:sz w:val="24"/>
                <w:szCs w:val="24"/>
              </w:rPr>
            </w:pPr>
          </w:p>
        </w:tc>
      </w:tr>
    </w:tbl>
    <w:p>
      <w:pPr>
        <w:spacing w:line="360" w:lineRule="auto"/>
        <w:jc w:val="left"/>
        <w:outlineLvl w:val="9"/>
        <w:rPr>
          <w:rFonts w:hint="eastAsia"/>
          <w:color w:val="auto"/>
          <w:sz w:val="24"/>
        </w:rPr>
      </w:pPr>
      <w:r>
        <w:rPr>
          <w:rFonts w:hint="eastAsia"/>
          <w:color w:val="auto"/>
          <w:sz w:val="24"/>
        </w:rPr>
        <w:t>供应商法定代表人</w:t>
      </w:r>
      <w:r>
        <w:rPr>
          <w:rFonts w:hint="eastAsia"/>
          <w:color w:val="auto"/>
          <w:sz w:val="24"/>
          <w:lang w:val="en-US" w:eastAsia="zh-CN"/>
        </w:rPr>
        <w:t>或</w:t>
      </w:r>
      <w:r>
        <w:rPr>
          <w:rFonts w:hint="eastAsia"/>
          <w:color w:val="auto"/>
          <w:sz w:val="24"/>
        </w:rPr>
        <w:t>授权代理人</w:t>
      </w:r>
      <w:r>
        <w:rPr>
          <w:rFonts w:hint="eastAsia"/>
          <w:color w:val="auto"/>
          <w:sz w:val="24"/>
          <w:lang w:eastAsia="zh-CN"/>
        </w:rPr>
        <w:t>（</w:t>
      </w:r>
      <w:r>
        <w:rPr>
          <w:rFonts w:hint="eastAsia"/>
          <w:color w:val="auto"/>
          <w:sz w:val="24"/>
        </w:rPr>
        <w:t>签字)：</w:t>
      </w:r>
    </w:p>
    <w:p>
      <w:pPr>
        <w:spacing w:line="360" w:lineRule="auto"/>
        <w:jc w:val="left"/>
        <w:outlineLvl w:val="9"/>
        <w:rPr>
          <w:rFonts w:hint="eastAsia"/>
          <w:color w:val="auto"/>
          <w:sz w:val="24"/>
        </w:rPr>
      </w:pPr>
      <w:r>
        <w:rPr>
          <w:rFonts w:hint="eastAsia"/>
          <w:color w:val="auto"/>
          <w:sz w:val="24"/>
        </w:rPr>
        <w:t>供应商</w:t>
      </w:r>
      <w:r>
        <w:rPr>
          <w:rFonts w:hint="eastAsia"/>
          <w:color w:val="auto"/>
          <w:sz w:val="24"/>
          <w:lang w:val="en-US" w:eastAsia="zh-CN"/>
        </w:rPr>
        <w:t>名</w:t>
      </w:r>
      <w:r>
        <w:rPr>
          <w:rFonts w:hint="eastAsia"/>
          <w:color w:val="auto"/>
          <w:sz w:val="24"/>
        </w:rPr>
        <w:t xml:space="preserve">称（盖章）：    </w:t>
      </w:r>
    </w:p>
    <w:p>
      <w:pPr>
        <w:spacing w:line="360" w:lineRule="auto"/>
        <w:jc w:val="left"/>
        <w:outlineLvl w:val="9"/>
        <w:rPr>
          <w:rFonts w:hint="eastAsia"/>
          <w:color w:val="auto"/>
          <w:sz w:val="24"/>
        </w:rPr>
      </w:pPr>
      <w:r>
        <w:rPr>
          <w:rFonts w:hint="eastAsia"/>
          <w:color w:val="auto"/>
          <w:sz w:val="24"/>
        </w:rPr>
        <w:t>日期：        年   月   日</w:t>
      </w:r>
    </w:p>
    <w:p>
      <w:pPr>
        <w:spacing w:line="360" w:lineRule="auto"/>
        <w:jc w:val="left"/>
        <w:outlineLvl w:val="9"/>
        <w:rPr>
          <w:rFonts w:hint="eastAsia"/>
          <w:color w:val="auto"/>
          <w:sz w:val="24"/>
        </w:rPr>
      </w:pPr>
    </w:p>
    <w:p>
      <w:pPr>
        <w:spacing w:line="360" w:lineRule="auto"/>
        <w:jc w:val="left"/>
        <w:outlineLvl w:val="9"/>
        <w:rPr>
          <w:rFonts w:hint="eastAsia"/>
          <w:color w:val="auto"/>
          <w:sz w:val="24"/>
        </w:rPr>
      </w:pPr>
      <w:r>
        <w:rPr>
          <w:rFonts w:hint="eastAsia"/>
          <w:color w:val="auto"/>
          <w:sz w:val="24"/>
        </w:rPr>
        <w:t>注：</w:t>
      </w:r>
    </w:p>
    <w:p>
      <w:pPr>
        <w:spacing w:line="360" w:lineRule="auto"/>
        <w:ind w:firstLine="480" w:firstLineChars="200"/>
        <w:jc w:val="left"/>
        <w:outlineLvl w:val="9"/>
        <w:rPr>
          <w:rFonts w:hint="eastAsia"/>
          <w:color w:val="auto"/>
          <w:sz w:val="24"/>
        </w:rPr>
      </w:pPr>
      <w:r>
        <w:rPr>
          <w:rFonts w:hint="eastAsia"/>
          <w:color w:val="auto"/>
          <w:sz w:val="24"/>
        </w:rPr>
        <w:t>供应商必须据实填写，不得虚假应答，否则将取消其报价或成交资格。</w:t>
      </w:r>
      <w:r>
        <w:rPr>
          <w:rFonts w:hint="eastAsia"/>
          <w:color w:val="auto"/>
          <w:sz w:val="24"/>
          <w:lang w:val="en-US" w:eastAsia="zh-CN"/>
        </w:rPr>
        <w:t>所有条款</w:t>
      </w:r>
      <w:r>
        <w:rPr>
          <w:rFonts w:hint="eastAsia"/>
          <w:color w:val="auto"/>
          <w:sz w:val="24"/>
        </w:rPr>
        <w:t>逐条应答。若采购文件中有要求提供证明材料的技术</w:t>
      </w:r>
      <w:r>
        <w:rPr>
          <w:rFonts w:hint="eastAsia"/>
          <w:color w:val="auto"/>
          <w:sz w:val="24"/>
          <w:lang w:eastAsia="zh-CN"/>
        </w:rPr>
        <w:t>、</w:t>
      </w:r>
      <w:r>
        <w:rPr>
          <w:rFonts w:hint="eastAsia"/>
          <w:color w:val="auto"/>
          <w:sz w:val="24"/>
        </w:rPr>
        <w:t>服务条款应当在此表中列出并应答。</w:t>
      </w:r>
    </w:p>
    <w:p>
      <w:pPr>
        <w:outlineLvl w:val="9"/>
        <w:rPr>
          <w:rFonts w:ascii="仿宋" w:hAnsi="仿宋" w:eastAsia="仿宋"/>
          <w:color w:val="auto"/>
          <w:sz w:val="24"/>
          <w:szCs w:val="24"/>
        </w:rPr>
      </w:pPr>
    </w:p>
    <w:p>
      <w:pPr>
        <w:spacing w:before="120"/>
        <w:outlineLvl w:val="9"/>
        <w:rPr>
          <w:rFonts w:ascii="仿宋" w:hAnsi="仿宋" w:eastAsia="仿宋"/>
          <w:color w:val="auto"/>
          <w:sz w:val="24"/>
          <w:szCs w:val="24"/>
        </w:rPr>
      </w:pPr>
      <w:r>
        <w:rPr>
          <w:rFonts w:ascii="仿宋" w:hAnsi="仿宋" w:eastAsia="仿宋"/>
          <w:color w:val="auto"/>
          <w:sz w:val="24"/>
          <w:szCs w:val="24"/>
        </w:rPr>
        <w:br w:type="page"/>
      </w:r>
      <w:bookmarkStart w:id="32" w:name="_Toc21709"/>
      <w:bookmarkStart w:id="33" w:name="_Toc32242"/>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6</w:t>
      </w:r>
      <w:r>
        <w:rPr>
          <w:rFonts w:hint="eastAsia" w:ascii="仿宋" w:hAnsi="仿宋" w:eastAsia="仿宋"/>
          <w:color w:val="auto"/>
          <w:sz w:val="24"/>
          <w:szCs w:val="24"/>
        </w:rPr>
        <w:t>.</w:t>
      </w:r>
      <w:bookmarkEnd w:id="32"/>
      <w:bookmarkEnd w:id="33"/>
      <w:r>
        <w:rPr>
          <w:rFonts w:hint="eastAsia" w:ascii="仿宋" w:hAnsi="仿宋" w:eastAsia="仿宋"/>
          <w:color w:val="auto"/>
          <w:sz w:val="24"/>
          <w:szCs w:val="24"/>
        </w:rPr>
        <w:t xml:space="preserve"> </w:t>
      </w:r>
    </w:p>
    <w:p>
      <w:pPr>
        <w:tabs>
          <w:tab w:val="left" w:pos="180"/>
        </w:tabs>
        <w:spacing w:line="360" w:lineRule="auto"/>
        <w:jc w:val="center"/>
        <w:outlineLvl w:val="9"/>
        <w:rPr>
          <w:rFonts w:hint="eastAsia" w:ascii="宋体" w:hAnsi="宋体" w:eastAsia="黑体" w:cs="Times New Roman"/>
          <w:b/>
          <w:bCs/>
          <w:color w:val="auto"/>
          <w:kern w:val="2"/>
          <w:sz w:val="28"/>
          <w:szCs w:val="28"/>
          <w:lang w:val="en-US" w:eastAsia="zh-CN" w:bidi="ar-SA"/>
        </w:rPr>
      </w:pPr>
      <w:bookmarkStart w:id="34" w:name="_Toc3195"/>
      <w:bookmarkStart w:id="35" w:name="_Toc28860"/>
      <w:r>
        <w:rPr>
          <w:rFonts w:hint="eastAsia" w:ascii="宋体" w:hAnsi="宋体" w:eastAsia="黑体" w:cs="Times New Roman"/>
          <w:b/>
          <w:bCs/>
          <w:color w:val="auto"/>
          <w:kern w:val="2"/>
          <w:sz w:val="28"/>
          <w:szCs w:val="28"/>
          <w:lang w:val="en-US" w:eastAsia="zh-CN" w:bidi="ar-SA"/>
        </w:rPr>
        <w:t>商务要求响应/偏离表</w:t>
      </w:r>
      <w:bookmarkEnd w:id="34"/>
      <w:bookmarkEnd w:id="35"/>
    </w:p>
    <w:p>
      <w:pPr>
        <w:spacing w:before="120"/>
        <w:jc w:val="center"/>
        <w:outlineLvl w:val="9"/>
        <w:rPr>
          <w:rFonts w:ascii="仿宋" w:hAnsi="仿宋" w:eastAsia="仿宋"/>
          <w:color w:val="auto"/>
          <w:sz w:val="24"/>
          <w:szCs w:val="24"/>
        </w:rPr>
      </w:pPr>
    </w:p>
    <w:p>
      <w:pPr>
        <w:jc w:val="center"/>
        <w:outlineLvl w:val="9"/>
        <w:rPr>
          <w:rFonts w:ascii="仿宋" w:hAnsi="仿宋" w:eastAsia="仿宋"/>
          <w:color w:val="auto"/>
          <w:sz w:val="24"/>
          <w:szCs w:val="24"/>
        </w:rPr>
      </w:pPr>
    </w:p>
    <w:p>
      <w:pPr>
        <w:spacing w:line="360" w:lineRule="auto"/>
        <w:jc w:val="left"/>
        <w:outlineLvl w:val="9"/>
        <w:rPr>
          <w:rFonts w:hint="eastAsia"/>
          <w:color w:val="auto"/>
          <w:sz w:val="24"/>
        </w:rPr>
      </w:pPr>
      <w:r>
        <w:rPr>
          <w:rFonts w:hint="eastAsia"/>
          <w:color w:val="auto"/>
          <w:sz w:val="24"/>
        </w:rPr>
        <w:t>项目名称：  项目编号： 包号：</w:t>
      </w:r>
    </w:p>
    <w:tbl>
      <w:tblPr>
        <w:tblStyle w:val="32"/>
        <w:tblW w:w="85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884"/>
        <w:gridCol w:w="2323"/>
        <w:gridCol w:w="2098"/>
        <w:gridCol w:w="14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0" w:hRule="atLeast"/>
          <w:jc w:val="center"/>
        </w:trPr>
        <w:tc>
          <w:tcPr>
            <w:tcW w:w="798"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序号</w:t>
            </w:r>
          </w:p>
        </w:tc>
        <w:tc>
          <w:tcPr>
            <w:tcW w:w="1884"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采购文件条目号</w:t>
            </w:r>
          </w:p>
        </w:tc>
        <w:tc>
          <w:tcPr>
            <w:tcW w:w="2323" w:type="dxa"/>
            <w:vAlign w:val="center"/>
          </w:tcPr>
          <w:p>
            <w:pPr>
              <w:ind w:firstLine="98" w:firstLineChars="41"/>
              <w:jc w:val="center"/>
              <w:outlineLvl w:val="9"/>
              <w:rPr>
                <w:rFonts w:ascii="仿宋" w:hAnsi="仿宋" w:eastAsia="仿宋"/>
                <w:color w:val="auto"/>
                <w:sz w:val="24"/>
                <w:szCs w:val="24"/>
              </w:rPr>
            </w:pPr>
            <w:r>
              <w:rPr>
                <w:rFonts w:hint="eastAsia" w:ascii="仿宋" w:hAnsi="仿宋" w:eastAsia="仿宋"/>
                <w:color w:val="auto"/>
                <w:sz w:val="24"/>
                <w:szCs w:val="24"/>
              </w:rPr>
              <w:t>采购文件商务要求</w:t>
            </w:r>
          </w:p>
        </w:tc>
        <w:tc>
          <w:tcPr>
            <w:tcW w:w="2098"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报价文件响应说明</w:t>
            </w:r>
          </w:p>
        </w:tc>
        <w:tc>
          <w:tcPr>
            <w:tcW w:w="1420" w:type="dxa"/>
            <w:vAlign w:val="center"/>
          </w:tcPr>
          <w:p>
            <w:pPr>
              <w:jc w:val="center"/>
              <w:outlineLvl w:val="9"/>
              <w:rPr>
                <w:rFonts w:ascii="仿宋" w:hAnsi="仿宋" w:eastAsia="仿宋"/>
                <w:color w:val="auto"/>
                <w:sz w:val="24"/>
                <w:szCs w:val="24"/>
              </w:rPr>
            </w:pPr>
            <w:r>
              <w:rPr>
                <w:rFonts w:hint="eastAsia" w:ascii="仿宋" w:hAnsi="仿宋" w:eastAsia="仿宋"/>
                <w:color w:val="auto"/>
                <w:sz w:val="24"/>
                <w:szCs w:val="24"/>
              </w:rPr>
              <w:t>响应/偏离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atLeast"/>
          <w:jc w:val="center"/>
        </w:trPr>
        <w:tc>
          <w:tcPr>
            <w:tcW w:w="798" w:type="dxa"/>
            <w:vAlign w:val="center"/>
          </w:tcPr>
          <w:p>
            <w:pPr>
              <w:jc w:val="center"/>
              <w:outlineLvl w:val="9"/>
              <w:rPr>
                <w:rFonts w:ascii="仿宋" w:hAnsi="仿宋" w:eastAsia="仿宋"/>
                <w:color w:val="auto"/>
                <w:sz w:val="24"/>
                <w:szCs w:val="24"/>
              </w:rPr>
            </w:pPr>
          </w:p>
        </w:tc>
        <w:tc>
          <w:tcPr>
            <w:tcW w:w="1884" w:type="dxa"/>
            <w:vAlign w:val="center"/>
          </w:tcPr>
          <w:p>
            <w:pPr>
              <w:jc w:val="center"/>
              <w:outlineLvl w:val="9"/>
              <w:rPr>
                <w:rFonts w:ascii="仿宋" w:hAnsi="仿宋" w:eastAsia="仿宋"/>
                <w:color w:val="auto"/>
                <w:sz w:val="24"/>
                <w:szCs w:val="24"/>
              </w:rPr>
            </w:pPr>
          </w:p>
        </w:tc>
        <w:tc>
          <w:tcPr>
            <w:tcW w:w="2323" w:type="dxa"/>
            <w:vAlign w:val="center"/>
          </w:tcPr>
          <w:p>
            <w:pPr>
              <w:jc w:val="center"/>
              <w:outlineLvl w:val="9"/>
              <w:rPr>
                <w:rFonts w:ascii="仿宋" w:hAnsi="仿宋" w:eastAsia="仿宋"/>
                <w:color w:val="auto"/>
                <w:sz w:val="24"/>
                <w:szCs w:val="24"/>
              </w:rPr>
            </w:pPr>
          </w:p>
        </w:tc>
        <w:tc>
          <w:tcPr>
            <w:tcW w:w="2098" w:type="dxa"/>
            <w:vAlign w:val="center"/>
          </w:tcPr>
          <w:p>
            <w:pPr>
              <w:jc w:val="center"/>
              <w:outlineLvl w:val="9"/>
              <w:rPr>
                <w:rFonts w:ascii="仿宋" w:hAnsi="仿宋" w:eastAsia="仿宋"/>
                <w:color w:val="auto"/>
                <w:sz w:val="24"/>
                <w:szCs w:val="24"/>
              </w:rPr>
            </w:pPr>
          </w:p>
        </w:tc>
        <w:tc>
          <w:tcPr>
            <w:tcW w:w="1420" w:type="dxa"/>
            <w:vAlign w:val="center"/>
          </w:tcPr>
          <w:p>
            <w:pPr>
              <w:jc w:val="center"/>
              <w:outlineLvl w:val="9"/>
              <w:rPr>
                <w:rFonts w:ascii="仿宋" w:hAnsi="仿宋" w:eastAsia="仿宋"/>
                <w:color w:val="auto"/>
                <w:sz w:val="24"/>
                <w:szCs w:val="24"/>
              </w:rPr>
            </w:pPr>
          </w:p>
        </w:tc>
      </w:tr>
    </w:tbl>
    <w:p>
      <w:pPr>
        <w:spacing w:line="360" w:lineRule="auto"/>
        <w:jc w:val="left"/>
        <w:outlineLvl w:val="9"/>
        <w:rPr>
          <w:rFonts w:hint="eastAsia"/>
          <w:color w:val="auto"/>
          <w:sz w:val="24"/>
        </w:rPr>
      </w:pPr>
      <w:r>
        <w:rPr>
          <w:rFonts w:hint="eastAsia"/>
          <w:color w:val="auto"/>
          <w:sz w:val="24"/>
        </w:rPr>
        <w:t>供应商法定代表人</w:t>
      </w:r>
      <w:r>
        <w:rPr>
          <w:rFonts w:hint="eastAsia"/>
          <w:color w:val="auto"/>
          <w:sz w:val="24"/>
          <w:lang w:val="en-US" w:eastAsia="zh-CN"/>
        </w:rPr>
        <w:t>或</w:t>
      </w:r>
      <w:r>
        <w:rPr>
          <w:rFonts w:hint="eastAsia"/>
          <w:color w:val="auto"/>
          <w:sz w:val="24"/>
        </w:rPr>
        <w:t>授权代理人</w:t>
      </w:r>
      <w:r>
        <w:rPr>
          <w:rFonts w:hint="eastAsia"/>
          <w:color w:val="auto"/>
          <w:sz w:val="24"/>
          <w:lang w:eastAsia="zh-CN"/>
        </w:rPr>
        <w:t>（</w:t>
      </w:r>
      <w:r>
        <w:rPr>
          <w:rFonts w:hint="eastAsia"/>
          <w:color w:val="auto"/>
          <w:sz w:val="24"/>
        </w:rPr>
        <w:t>签字)：</w:t>
      </w:r>
    </w:p>
    <w:p>
      <w:pPr>
        <w:spacing w:line="360" w:lineRule="auto"/>
        <w:jc w:val="left"/>
        <w:outlineLvl w:val="9"/>
        <w:rPr>
          <w:rFonts w:hint="eastAsia"/>
          <w:color w:val="auto"/>
          <w:sz w:val="24"/>
        </w:rPr>
      </w:pPr>
      <w:r>
        <w:rPr>
          <w:rFonts w:hint="eastAsia"/>
          <w:color w:val="auto"/>
          <w:sz w:val="24"/>
        </w:rPr>
        <w:t>供应商</w:t>
      </w:r>
      <w:r>
        <w:rPr>
          <w:rFonts w:hint="eastAsia"/>
          <w:color w:val="auto"/>
          <w:sz w:val="24"/>
          <w:lang w:val="en-US" w:eastAsia="zh-CN"/>
        </w:rPr>
        <w:t>名</w:t>
      </w:r>
      <w:r>
        <w:rPr>
          <w:rFonts w:hint="eastAsia"/>
          <w:color w:val="auto"/>
          <w:sz w:val="24"/>
        </w:rPr>
        <w:t xml:space="preserve">称（盖章）：      </w:t>
      </w:r>
    </w:p>
    <w:p>
      <w:pPr>
        <w:spacing w:line="360" w:lineRule="auto"/>
        <w:jc w:val="left"/>
        <w:outlineLvl w:val="9"/>
        <w:rPr>
          <w:rFonts w:hint="eastAsia"/>
          <w:color w:val="auto"/>
          <w:sz w:val="24"/>
        </w:rPr>
      </w:pPr>
      <w:r>
        <w:rPr>
          <w:rFonts w:hint="eastAsia"/>
          <w:color w:val="auto"/>
          <w:sz w:val="24"/>
        </w:rPr>
        <w:t>日期：        年   月   日</w:t>
      </w:r>
    </w:p>
    <w:p>
      <w:pPr>
        <w:spacing w:line="360" w:lineRule="auto"/>
        <w:jc w:val="left"/>
        <w:outlineLvl w:val="9"/>
        <w:rPr>
          <w:rFonts w:hint="eastAsia"/>
          <w:color w:val="auto"/>
          <w:sz w:val="24"/>
        </w:rPr>
      </w:pPr>
      <w:r>
        <w:rPr>
          <w:rFonts w:hint="eastAsia"/>
          <w:color w:val="auto"/>
          <w:sz w:val="24"/>
        </w:rPr>
        <w:t>注：</w:t>
      </w:r>
    </w:p>
    <w:p>
      <w:pPr>
        <w:spacing w:line="360" w:lineRule="auto"/>
        <w:jc w:val="left"/>
        <w:outlineLvl w:val="9"/>
        <w:rPr>
          <w:rFonts w:hint="eastAsia"/>
          <w:color w:val="auto"/>
          <w:sz w:val="24"/>
        </w:rPr>
      </w:pPr>
      <w:r>
        <w:rPr>
          <w:rFonts w:hint="eastAsia"/>
          <w:color w:val="auto"/>
          <w:sz w:val="24"/>
        </w:rPr>
        <w:t>供应商必须据实填写，不得虚假应答，否则将取消其报价或成交资格。</w:t>
      </w:r>
      <w:r>
        <w:rPr>
          <w:rFonts w:hint="eastAsia"/>
          <w:color w:val="auto"/>
          <w:sz w:val="24"/>
          <w:lang w:val="en-US" w:eastAsia="zh-CN"/>
        </w:rPr>
        <w:t>所有条款</w:t>
      </w:r>
      <w:r>
        <w:rPr>
          <w:rFonts w:hint="eastAsia"/>
          <w:color w:val="auto"/>
          <w:sz w:val="24"/>
        </w:rPr>
        <w:t>逐条应答。</w:t>
      </w:r>
    </w:p>
    <w:p>
      <w:pPr>
        <w:spacing w:line="400" w:lineRule="exact"/>
        <w:ind w:left="23" w:leftChars="11" w:firstLine="480" w:firstLineChars="200"/>
        <w:outlineLvl w:val="9"/>
        <w:rPr>
          <w:rFonts w:ascii="仿宋" w:hAnsi="仿宋" w:eastAsia="仿宋"/>
          <w:color w:val="auto"/>
          <w:sz w:val="24"/>
        </w:rPr>
      </w:pPr>
    </w:p>
    <w:p>
      <w:pPr>
        <w:spacing w:before="120"/>
        <w:outlineLvl w:val="9"/>
        <w:rPr>
          <w:rFonts w:ascii="仿宋" w:hAnsi="仿宋" w:eastAsia="仿宋"/>
          <w:color w:val="auto"/>
          <w:sz w:val="24"/>
          <w:szCs w:val="24"/>
        </w:rPr>
      </w:pPr>
    </w:p>
    <w:p>
      <w:pPr>
        <w:spacing w:before="120"/>
        <w:outlineLvl w:val="9"/>
        <w:rPr>
          <w:rFonts w:hint="eastAsia" w:ascii="仿宋" w:hAnsi="仿宋" w:eastAsia="仿宋"/>
          <w:color w:val="auto"/>
          <w:sz w:val="24"/>
          <w:szCs w:val="24"/>
        </w:rPr>
      </w:pPr>
      <w:bookmarkStart w:id="36" w:name="_Toc21009"/>
      <w:bookmarkStart w:id="37" w:name="_Toc7328"/>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lang w:val="en-US" w:eastAsia="zh-CN"/>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7.</w:t>
      </w:r>
      <w:bookmarkEnd w:id="36"/>
      <w:bookmarkEnd w:id="37"/>
    </w:p>
    <w:p>
      <w:pPr>
        <w:pStyle w:val="2"/>
        <w:numPr>
          <w:ilvl w:val="1"/>
          <w:numId w:val="0"/>
        </w:numPr>
        <w:ind w:left="142" w:leftChars="0"/>
        <w:jc w:val="center"/>
        <w:rPr>
          <w:rFonts w:ascii="宋体" w:hAnsi="宋体"/>
          <w:color w:val="auto"/>
          <w:sz w:val="28"/>
          <w:szCs w:val="28"/>
        </w:rPr>
      </w:pPr>
      <w:r>
        <w:rPr>
          <w:rFonts w:hint="eastAsia" w:ascii="宋体" w:hAnsi="宋体"/>
          <w:color w:val="auto"/>
          <w:sz w:val="28"/>
          <w:szCs w:val="28"/>
          <w:lang w:val="en-US" w:eastAsia="zh-CN"/>
        </w:rPr>
        <w:t>供应商</w:t>
      </w:r>
      <w:r>
        <w:rPr>
          <w:rFonts w:hint="eastAsia" w:ascii="宋体" w:hAnsi="宋体"/>
          <w:color w:val="auto"/>
          <w:sz w:val="28"/>
          <w:szCs w:val="28"/>
        </w:rPr>
        <w:t>基本情况表</w:t>
      </w:r>
    </w:p>
    <w:tbl>
      <w:tblPr>
        <w:tblStyle w:val="32"/>
        <w:tblW w:w="8956"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1031"/>
        <w:gridCol w:w="1246"/>
        <w:gridCol w:w="1328"/>
        <w:gridCol w:w="8"/>
        <w:gridCol w:w="1400"/>
        <w:gridCol w:w="169"/>
        <w:gridCol w:w="1078"/>
        <w:gridCol w:w="112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bookmarkStart w:id="38" w:name="_Toc185047535"/>
            <w:r>
              <w:rPr>
                <w:rFonts w:hint="eastAsia" w:ascii="宋体" w:hAnsi="宋体"/>
                <w:color w:val="auto"/>
              </w:rPr>
              <w:t>申请人名称</w:t>
            </w:r>
          </w:p>
        </w:tc>
        <w:tc>
          <w:tcPr>
            <w:tcW w:w="7386" w:type="dxa"/>
            <w:gridSpan w:val="8"/>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注册地址</w:t>
            </w:r>
          </w:p>
        </w:tc>
        <w:tc>
          <w:tcPr>
            <w:tcW w:w="3613" w:type="dxa"/>
            <w:gridSpan w:val="4"/>
            <w:noWrap w:val="0"/>
            <w:vAlign w:val="center"/>
          </w:tcPr>
          <w:p>
            <w:pPr>
              <w:autoSpaceDE w:val="0"/>
              <w:autoSpaceDN w:val="0"/>
              <w:adjustRightInd w:val="0"/>
              <w:spacing w:line="360" w:lineRule="auto"/>
              <w:jc w:val="center"/>
              <w:rPr>
                <w:rFonts w:ascii="宋体"/>
                <w:color w:val="auto"/>
              </w:rPr>
            </w:pPr>
          </w:p>
        </w:tc>
        <w:tc>
          <w:tcPr>
            <w:tcW w:w="140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邮政编码</w:t>
            </w:r>
          </w:p>
        </w:tc>
        <w:tc>
          <w:tcPr>
            <w:tcW w:w="2373" w:type="dxa"/>
            <w:gridSpan w:val="3"/>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vMerge w:val="restart"/>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联系方式</w:t>
            </w:r>
          </w:p>
        </w:tc>
        <w:tc>
          <w:tcPr>
            <w:tcW w:w="1031"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联系人</w:t>
            </w:r>
          </w:p>
        </w:tc>
        <w:tc>
          <w:tcPr>
            <w:tcW w:w="2582" w:type="dxa"/>
            <w:gridSpan w:val="3"/>
            <w:noWrap w:val="0"/>
            <w:vAlign w:val="center"/>
          </w:tcPr>
          <w:p>
            <w:pPr>
              <w:autoSpaceDE w:val="0"/>
              <w:autoSpaceDN w:val="0"/>
              <w:adjustRightInd w:val="0"/>
              <w:spacing w:line="360" w:lineRule="auto"/>
              <w:jc w:val="center"/>
              <w:rPr>
                <w:rFonts w:ascii="宋体"/>
                <w:color w:val="auto"/>
              </w:rPr>
            </w:pPr>
          </w:p>
        </w:tc>
        <w:tc>
          <w:tcPr>
            <w:tcW w:w="140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电话</w:t>
            </w:r>
          </w:p>
        </w:tc>
        <w:tc>
          <w:tcPr>
            <w:tcW w:w="2373" w:type="dxa"/>
            <w:gridSpan w:val="3"/>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198" w:hRule="atLeast"/>
          <w:jc w:val="center"/>
        </w:trPr>
        <w:tc>
          <w:tcPr>
            <w:tcW w:w="1570" w:type="dxa"/>
            <w:vMerge w:val="continue"/>
            <w:noWrap w:val="0"/>
            <w:vAlign w:val="center"/>
          </w:tcPr>
          <w:p>
            <w:pPr>
              <w:spacing w:line="360" w:lineRule="auto"/>
              <w:jc w:val="left"/>
              <w:rPr>
                <w:rFonts w:ascii="宋体"/>
                <w:color w:val="auto"/>
              </w:rPr>
            </w:pPr>
          </w:p>
        </w:tc>
        <w:tc>
          <w:tcPr>
            <w:tcW w:w="1031"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传真</w:t>
            </w:r>
          </w:p>
        </w:tc>
        <w:tc>
          <w:tcPr>
            <w:tcW w:w="2582" w:type="dxa"/>
            <w:gridSpan w:val="3"/>
            <w:noWrap w:val="0"/>
            <w:vAlign w:val="center"/>
          </w:tcPr>
          <w:p>
            <w:pPr>
              <w:autoSpaceDE w:val="0"/>
              <w:autoSpaceDN w:val="0"/>
              <w:adjustRightInd w:val="0"/>
              <w:spacing w:line="360" w:lineRule="auto"/>
              <w:jc w:val="center"/>
              <w:rPr>
                <w:rFonts w:ascii="宋体"/>
                <w:color w:val="auto"/>
              </w:rPr>
            </w:pPr>
          </w:p>
        </w:tc>
        <w:tc>
          <w:tcPr>
            <w:tcW w:w="140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网址</w:t>
            </w:r>
          </w:p>
        </w:tc>
        <w:tc>
          <w:tcPr>
            <w:tcW w:w="2373" w:type="dxa"/>
            <w:gridSpan w:val="3"/>
            <w:noWrap w:val="0"/>
            <w:vAlign w:val="center"/>
          </w:tcPr>
          <w:p>
            <w:pPr>
              <w:autoSpaceDE w:val="0"/>
              <w:autoSpaceDN w:val="0"/>
              <w:adjustRightInd w:val="0"/>
              <w:spacing w:line="360" w:lineRule="auto"/>
              <w:jc w:val="center"/>
              <w:rPr>
                <w:rFonts w:ascii="宋体"/>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法定代表人</w:t>
            </w:r>
          </w:p>
        </w:tc>
        <w:tc>
          <w:tcPr>
            <w:tcW w:w="1031"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姓名</w:t>
            </w:r>
          </w:p>
        </w:tc>
        <w:tc>
          <w:tcPr>
            <w:tcW w:w="1246" w:type="dxa"/>
            <w:noWrap w:val="0"/>
            <w:vAlign w:val="center"/>
          </w:tcPr>
          <w:p>
            <w:pPr>
              <w:autoSpaceDE w:val="0"/>
              <w:autoSpaceDN w:val="0"/>
              <w:adjustRightInd w:val="0"/>
              <w:spacing w:line="360" w:lineRule="auto"/>
              <w:jc w:val="center"/>
              <w:rPr>
                <w:rFonts w:ascii="宋体"/>
                <w:color w:val="auto"/>
              </w:rPr>
            </w:pPr>
          </w:p>
        </w:tc>
        <w:tc>
          <w:tcPr>
            <w:tcW w:w="1328"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职称</w:t>
            </w:r>
          </w:p>
        </w:tc>
        <w:tc>
          <w:tcPr>
            <w:tcW w:w="1408" w:type="dxa"/>
            <w:gridSpan w:val="2"/>
            <w:noWrap w:val="0"/>
            <w:vAlign w:val="center"/>
          </w:tcPr>
          <w:p>
            <w:pPr>
              <w:autoSpaceDE w:val="0"/>
              <w:autoSpaceDN w:val="0"/>
              <w:adjustRightInd w:val="0"/>
              <w:spacing w:line="360" w:lineRule="auto"/>
              <w:jc w:val="center"/>
              <w:rPr>
                <w:rFonts w:ascii="宋体"/>
                <w:color w:val="auto"/>
              </w:rPr>
            </w:pPr>
          </w:p>
        </w:tc>
        <w:tc>
          <w:tcPr>
            <w:tcW w:w="1247" w:type="dxa"/>
            <w:gridSpan w:val="2"/>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电话</w:t>
            </w:r>
          </w:p>
        </w:tc>
        <w:tc>
          <w:tcPr>
            <w:tcW w:w="1126" w:type="dxa"/>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成立时间</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5109" w:type="dxa"/>
            <w:gridSpan w:val="6"/>
            <w:noWrap w:val="0"/>
            <w:vAlign w:val="center"/>
          </w:tcPr>
          <w:p>
            <w:pPr>
              <w:autoSpaceDE w:val="0"/>
              <w:autoSpaceDN w:val="0"/>
              <w:adjustRightInd w:val="0"/>
              <w:spacing w:line="360" w:lineRule="auto"/>
              <w:ind w:firstLine="1470" w:firstLineChars="700"/>
              <w:rPr>
                <w:rFonts w:ascii="宋体"/>
                <w:color w:val="auto"/>
              </w:rPr>
            </w:pPr>
            <w:r>
              <w:rPr>
                <w:rFonts w:hint="eastAsia" w:ascii="宋体" w:hAnsi="宋体"/>
                <w:color w:val="auto"/>
              </w:rPr>
              <w:t>员工总人数：</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单位性质</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restart"/>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其中</w:t>
            </w:r>
          </w:p>
        </w:tc>
        <w:tc>
          <w:tcPr>
            <w:tcW w:w="1577" w:type="dxa"/>
            <w:gridSpan w:val="3"/>
            <w:vMerge w:val="restart"/>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高级职称人员</w:t>
            </w:r>
          </w:p>
        </w:tc>
        <w:tc>
          <w:tcPr>
            <w:tcW w:w="2204" w:type="dxa"/>
            <w:gridSpan w:val="2"/>
            <w:vMerge w:val="restart"/>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373"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营业执照号</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vMerge w:val="continue"/>
            <w:noWrap w:val="0"/>
            <w:vAlign w:val="center"/>
          </w:tcPr>
          <w:p>
            <w:pPr>
              <w:autoSpaceDE w:val="0"/>
              <w:autoSpaceDN w:val="0"/>
              <w:adjustRightInd w:val="0"/>
              <w:spacing w:line="360" w:lineRule="auto"/>
              <w:jc w:val="center"/>
              <w:rPr>
                <w:rFonts w:ascii="宋体"/>
                <w:color w:val="auto"/>
              </w:rPr>
            </w:pPr>
          </w:p>
        </w:tc>
        <w:tc>
          <w:tcPr>
            <w:tcW w:w="2204" w:type="dxa"/>
            <w:gridSpan w:val="2"/>
            <w:vMerge w:val="continue"/>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注册资金</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中级职称人员</w:t>
            </w:r>
          </w:p>
        </w:tc>
        <w:tc>
          <w:tcPr>
            <w:tcW w:w="2204" w:type="dxa"/>
            <w:gridSpan w:val="2"/>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616"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开户银行</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初级职称人员</w:t>
            </w:r>
          </w:p>
        </w:tc>
        <w:tc>
          <w:tcPr>
            <w:tcW w:w="2204" w:type="dxa"/>
            <w:gridSpan w:val="2"/>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590"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账</w:t>
            </w:r>
            <w:r>
              <w:rPr>
                <w:rFonts w:ascii="宋体" w:hAnsi="宋体"/>
                <w:color w:val="auto"/>
              </w:rPr>
              <w:t xml:space="preserve">  </w:t>
            </w:r>
            <w:r>
              <w:rPr>
                <w:rFonts w:hint="eastAsia" w:ascii="宋体" w:hAnsi="宋体"/>
                <w:color w:val="auto"/>
              </w:rPr>
              <w:t>号</w:t>
            </w:r>
          </w:p>
        </w:tc>
        <w:tc>
          <w:tcPr>
            <w:tcW w:w="2277" w:type="dxa"/>
            <w:gridSpan w:val="2"/>
            <w:noWrap w:val="0"/>
            <w:vAlign w:val="center"/>
          </w:tcPr>
          <w:p>
            <w:pPr>
              <w:autoSpaceDE w:val="0"/>
              <w:autoSpaceDN w:val="0"/>
              <w:adjustRightInd w:val="0"/>
              <w:spacing w:line="360" w:lineRule="auto"/>
              <w:jc w:val="center"/>
              <w:rPr>
                <w:rFonts w:ascii="宋体"/>
                <w:color w:val="auto"/>
              </w:rPr>
            </w:pPr>
          </w:p>
        </w:tc>
        <w:tc>
          <w:tcPr>
            <w:tcW w:w="1328" w:type="dxa"/>
            <w:vMerge w:val="continue"/>
            <w:noWrap w:val="0"/>
            <w:vAlign w:val="center"/>
          </w:tcPr>
          <w:p>
            <w:pPr>
              <w:spacing w:line="360" w:lineRule="auto"/>
              <w:jc w:val="left"/>
              <w:rPr>
                <w:rFonts w:ascii="宋体"/>
                <w:color w:val="auto"/>
              </w:rPr>
            </w:pPr>
          </w:p>
        </w:tc>
        <w:tc>
          <w:tcPr>
            <w:tcW w:w="1577" w:type="dxa"/>
            <w:gridSpan w:val="3"/>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普通员工</w:t>
            </w:r>
          </w:p>
        </w:tc>
        <w:tc>
          <w:tcPr>
            <w:tcW w:w="2204" w:type="dxa"/>
            <w:gridSpan w:val="2"/>
            <w:noWrap w:val="0"/>
            <w:vAlign w:val="center"/>
          </w:tcPr>
          <w:p>
            <w:pPr>
              <w:autoSpaceDE w:val="0"/>
              <w:autoSpaceDN w:val="0"/>
              <w:adjustRightInd w:val="0"/>
              <w:spacing w:line="360" w:lineRule="auto"/>
              <w:jc w:val="center"/>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2248"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经营范围</w:t>
            </w:r>
          </w:p>
        </w:tc>
        <w:tc>
          <w:tcPr>
            <w:tcW w:w="7386" w:type="dxa"/>
            <w:gridSpan w:val="8"/>
            <w:noWrap w:val="0"/>
            <w:vAlign w:val="center"/>
          </w:tcPr>
          <w:p>
            <w:pPr>
              <w:autoSpaceDE w:val="0"/>
              <w:autoSpaceDN w:val="0"/>
              <w:adjustRightInd w:val="0"/>
              <w:spacing w:line="360" w:lineRule="auto"/>
              <w:rPr>
                <w:rFonts w:ascii="宋体"/>
                <w:b/>
                <w:color w:val="auto"/>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Ex>
        <w:trPr>
          <w:cantSplit/>
          <w:trHeight w:val="771" w:hRule="atLeast"/>
          <w:jc w:val="center"/>
        </w:trPr>
        <w:tc>
          <w:tcPr>
            <w:tcW w:w="1570" w:type="dxa"/>
            <w:noWrap w:val="0"/>
            <w:vAlign w:val="center"/>
          </w:tcPr>
          <w:p>
            <w:pPr>
              <w:autoSpaceDE w:val="0"/>
              <w:autoSpaceDN w:val="0"/>
              <w:adjustRightInd w:val="0"/>
              <w:spacing w:line="360" w:lineRule="auto"/>
              <w:jc w:val="center"/>
              <w:rPr>
                <w:rFonts w:ascii="宋体"/>
                <w:color w:val="auto"/>
              </w:rPr>
            </w:pPr>
            <w:r>
              <w:rPr>
                <w:rFonts w:hint="eastAsia" w:ascii="宋体" w:hAnsi="宋体"/>
                <w:color w:val="auto"/>
              </w:rPr>
              <w:t>备注</w:t>
            </w:r>
          </w:p>
        </w:tc>
        <w:tc>
          <w:tcPr>
            <w:tcW w:w="7386" w:type="dxa"/>
            <w:gridSpan w:val="8"/>
            <w:noWrap w:val="0"/>
            <w:vAlign w:val="center"/>
          </w:tcPr>
          <w:p>
            <w:pPr>
              <w:autoSpaceDE w:val="0"/>
              <w:autoSpaceDN w:val="0"/>
              <w:adjustRightInd w:val="0"/>
              <w:spacing w:line="360" w:lineRule="auto"/>
              <w:jc w:val="left"/>
              <w:rPr>
                <w:rFonts w:ascii="宋体"/>
                <w:color w:val="auto"/>
              </w:rPr>
            </w:pPr>
          </w:p>
        </w:tc>
      </w:tr>
    </w:tbl>
    <w:p>
      <w:pPr>
        <w:adjustRightInd w:val="0"/>
        <w:spacing w:line="400" w:lineRule="exact"/>
        <w:ind w:firstLine="480" w:firstLineChars="200"/>
        <w:jc w:val="left"/>
        <w:rPr>
          <w:rFonts w:hAnsi="宋体"/>
          <w:color w:val="auto"/>
          <w:sz w:val="24"/>
        </w:rPr>
      </w:pPr>
    </w:p>
    <w:p>
      <w:pPr>
        <w:adjustRightInd w:val="0"/>
        <w:spacing w:line="400" w:lineRule="exact"/>
        <w:ind w:firstLine="480" w:firstLineChars="200"/>
        <w:jc w:val="left"/>
        <w:rPr>
          <w:rFonts w:hAnsi="宋体"/>
          <w:color w:val="auto"/>
          <w:sz w:val="24"/>
        </w:rPr>
      </w:pPr>
      <w:r>
        <w:rPr>
          <w:rFonts w:hint="eastAsia" w:hAnsi="宋体"/>
          <w:color w:val="auto"/>
          <w:sz w:val="24"/>
          <w:lang w:val="en-US" w:eastAsia="zh-CN"/>
        </w:rPr>
        <w:t>供应商名称</w:t>
      </w:r>
      <w:r>
        <w:rPr>
          <w:rFonts w:hint="eastAsia" w:hAnsi="宋体"/>
          <w:color w:val="auto"/>
          <w:sz w:val="24"/>
        </w:rPr>
        <w:t>：</w:t>
      </w:r>
      <w:r>
        <w:rPr>
          <w:rFonts w:hint="eastAsia" w:hAnsi="宋体"/>
          <w:color w:val="auto"/>
          <w:sz w:val="24"/>
          <w:u w:val="single"/>
        </w:rPr>
        <w:t xml:space="preserve">                                     </w:t>
      </w:r>
      <w:r>
        <w:rPr>
          <w:rFonts w:hint="eastAsia" w:hAnsi="宋体"/>
          <w:color w:val="auto"/>
          <w:sz w:val="24"/>
        </w:rPr>
        <w:t>（盖单位章）</w:t>
      </w:r>
    </w:p>
    <w:p>
      <w:pPr>
        <w:adjustRightInd w:val="0"/>
        <w:spacing w:line="400" w:lineRule="exact"/>
        <w:ind w:firstLine="480" w:firstLineChars="200"/>
        <w:jc w:val="left"/>
        <w:rPr>
          <w:rFonts w:hAnsi="宋体"/>
          <w:color w:val="auto"/>
          <w:sz w:val="24"/>
        </w:rPr>
      </w:pPr>
      <w:r>
        <w:rPr>
          <w:rFonts w:hint="eastAsia" w:hAnsi="宋体"/>
          <w:color w:val="auto"/>
          <w:sz w:val="24"/>
        </w:rPr>
        <w:t>法定代表人或其授权代理人：</w:t>
      </w:r>
      <w:r>
        <w:rPr>
          <w:rFonts w:hint="eastAsia" w:hAnsi="宋体"/>
          <w:color w:val="auto"/>
          <w:sz w:val="24"/>
          <w:u w:val="single"/>
        </w:rPr>
        <w:t xml:space="preserve">                       </w:t>
      </w:r>
      <w:r>
        <w:rPr>
          <w:rFonts w:hint="eastAsia" w:hAnsi="宋体"/>
          <w:color w:val="auto"/>
          <w:sz w:val="24"/>
        </w:rPr>
        <w:t>（签字）</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bookmarkEnd w:id="38"/>
    <w:p>
      <w:pPr>
        <w:spacing w:before="120"/>
        <w:outlineLvl w:val="9"/>
        <w:rPr>
          <w:rFonts w:hint="eastAsia" w:ascii="仿宋" w:hAnsi="仿宋" w:eastAsia="仿宋"/>
          <w:color w:val="auto"/>
          <w:sz w:val="24"/>
          <w:szCs w:val="24"/>
        </w:rPr>
      </w:pPr>
      <w:bookmarkStart w:id="39" w:name="_Toc24591"/>
      <w:bookmarkStart w:id="40" w:name="_Toc19468"/>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8.</w:t>
      </w:r>
    </w:p>
    <w:p>
      <w:pPr>
        <w:pStyle w:val="2"/>
        <w:numPr>
          <w:ilvl w:val="1"/>
          <w:numId w:val="0"/>
        </w:numPr>
        <w:ind w:left="142" w:leftChars="0"/>
        <w:jc w:val="center"/>
        <w:rPr>
          <w:rFonts w:ascii="宋体" w:hAnsi="宋体"/>
          <w:color w:val="auto"/>
          <w:sz w:val="28"/>
          <w:szCs w:val="28"/>
        </w:rPr>
      </w:pPr>
      <w:r>
        <w:rPr>
          <w:rFonts w:hint="eastAsia" w:ascii="宋体" w:hAnsi="宋体"/>
          <w:color w:val="auto"/>
          <w:sz w:val="28"/>
          <w:szCs w:val="28"/>
        </w:rPr>
        <w:t>拟投入本项目机构人员汇总表</w:t>
      </w:r>
      <w:bookmarkEnd w:id="39"/>
      <w:bookmarkEnd w:id="40"/>
    </w:p>
    <w:tbl>
      <w:tblPr>
        <w:tblStyle w:val="32"/>
        <w:tblW w:w="98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2"/>
        <w:gridCol w:w="2586"/>
        <w:gridCol w:w="1255"/>
        <w:gridCol w:w="1201"/>
        <w:gridCol w:w="2031"/>
        <w:gridCol w:w="18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c>
          <w:tcPr>
            <w:tcW w:w="1002"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序号</w:t>
            </w:r>
          </w:p>
        </w:tc>
        <w:tc>
          <w:tcPr>
            <w:tcW w:w="2586"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姓名</w:t>
            </w:r>
          </w:p>
        </w:tc>
        <w:tc>
          <w:tcPr>
            <w:tcW w:w="1255"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性别</w:t>
            </w:r>
          </w:p>
        </w:tc>
        <w:tc>
          <w:tcPr>
            <w:tcW w:w="1201"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年龄</w:t>
            </w:r>
          </w:p>
        </w:tc>
        <w:tc>
          <w:tcPr>
            <w:tcW w:w="2031"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拟任职务</w:t>
            </w:r>
          </w:p>
        </w:tc>
        <w:tc>
          <w:tcPr>
            <w:tcW w:w="1802" w:type="dxa"/>
            <w:noWrap w:val="0"/>
            <w:vAlign w:val="center"/>
          </w:tcPr>
          <w:p>
            <w:pPr>
              <w:spacing w:line="360" w:lineRule="auto"/>
              <w:ind w:right="-4" w:rightChars="-2"/>
              <w:jc w:val="center"/>
              <w:rPr>
                <w:rFonts w:ascii="宋体" w:hAnsi="宋体"/>
                <w:color w:val="auto"/>
                <w:sz w:val="24"/>
              </w:rPr>
            </w:pPr>
            <w:r>
              <w:rPr>
                <w:rFonts w:hint="eastAsia" w:ascii="宋体" w:hAnsi="宋体"/>
                <w:color w:val="auto"/>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8" w:hRule="atLeast"/>
        </w:trPr>
        <w:tc>
          <w:tcPr>
            <w:tcW w:w="1002" w:type="dxa"/>
            <w:noWrap w:val="0"/>
            <w:vAlign w:val="top"/>
          </w:tcPr>
          <w:p>
            <w:pPr>
              <w:spacing w:line="360" w:lineRule="auto"/>
              <w:ind w:right="-4" w:rightChars="-2"/>
              <w:jc w:val="center"/>
              <w:rPr>
                <w:rFonts w:ascii="宋体" w:hAnsi="宋体"/>
                <w:color w:val="auto"/>
                <w:sz w:val="24"/>
              </w:rPr>
            </w:pPr>
            <w:r>
              <w:rPr>
                <w:rFonts w:hint="eastAsia" w:ascii="宋体" w:hAnsi="宋体"/>
                <w:color w:val="auto"/>
                <w:sz w:val="24"/>
              </w:rPr>
              <w:t>1</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jc w:val="center"/>
              <w:rPr>
                <w:rFonts w:ascii="宋体" w:hAnsi="宋体"/>
                <w:color w:val="auto"/>
                <w:sz w:val="24"/>
              </w:rPr>
            </w:pPr>
            <w:r>
              <w:rPr>
                <w:rFonts w:hint="eastAsia" w:ascii="宋体" w:hAnsi="宋体"/>
                <w:color w:val="auto"/>
                <w:sz w:val="24"/>
              </w:rPr>
              <w:t>2</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jc w:val="center"/>
              <w:rPr>
                <w:rFonts w:ascii="宋体" w:hAnsi="宋体"/>
                <w:color w:val="auto"/>
                <w:sz w:val="24"/>
              </w:rPr>
            </w:pPr>
            <w:r>
              <w:rPr>
                <w:rFonts w:hint="eastAsia" w:ascii="宋体" w:hAnsi="宋体"/>
                <w:color w:val="auto"/>
                <w:sz w:val="24"/>
              </w:rPr>
              <w:t>3</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r>
              <w:rPr>
                <w:rFonts w:hint="eastAsia" w:ascii="宋体" w:hAnsi="宋体"/>
                <w:color w:val="auto"/>
                <w:sz w:val="24"/>
              </w:rPr>
              <w:t>…</w:t>
            </w: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02" w:type="dxa"/>
            <w:noWrap w:val="0"/>
            <w:vAlign w:val="top"/>
          </w:tcPr>
          <w:p>
            <w:pPr>
              <w:spacing w:line="360" w:lineRule="auto"/>
              <w:ind w:right="-4" w:rightChars="-2"/>
              <w:rPr>
                <w:rFonts w:ascii="宋体" w:hAnsi="宋体"/>
                <w:color w:val="auto"/>
                <w:sz w:val="24"/>
              </w:rPr>
            </w:pPr>
          </w:p>
        </w:tc>
        <w:tc>
          <w:tcPr>
            <w:tcW w:w="2586" w:type="dxa"/>
            <w:noWrap w:val="0"/>
            <w:vAlign w:val="top"/>
          </w:tcPr>
          <w:p>
            <w:pPr>
              <w:spacing w:line="360" w:lineRule="auto"/>
              <w:ind w:right="-4" w:rightChars="-2"/>
              <w:rPr>
                <w:rFonts w:ascii="宋体" w:hAnsi="宋体"/>
                <w:color w:val="auto"/>
                <w:sz w:val="24"/>
              </w:rPr>
            </w:pPr>
          </w:p>
        </w:tc>
        <w:tc>
          <w:tcPr>
            <w:tcW w:w="1255" w:type="dxa"/>
            <w:noWrap w:val="0"/>
            <w:vAlign w:val="top"/>
          </w:tcPr>
          <w:p>
            <w:pPr>
              <w:spacing w:line="360" w:lineRule="auto"/>
              <w:ind w:right="-4" w:rightChars="-2"/>
              <w:rPr>
                <w:rFonts w:ascii="宋体" w:hAnsi="宋体"/>
                <w:color w:val="auto"/>
                <w:sz w:val="24"/>
              </w:rPr>
            </w:pPr>
          </w:p>
        </w:tc>
        <w:tc>
          <w:tcPr>
            <w:tcW w:w="1201" w:type="dxa"/>
            <w:noWrap w:val="0"/>
            <w:vAlign w:val="top"/>
          </w:tcPr>
          <w:p>
            <w:pPr>
              <w:spacing w:line="360" w:lineRule="auto"/>
              <w:ind w:right="-4" w:rightChars="-2"/>
              <w:rPr>
                <w:rFonts w:ascii="宋体" w:hAnsi="宋体"/>
                <w:color w:val="auto"/>
                <w:sz w:val="24"/>
              </w:rPr>
            </w:pPr>
          </w:p>
        </w:tc>
        <w:tc>
          <w:tcPr>
            <w:tcW w:w="2031" w:type="dxa"/>
            <w:noWrap w:val="0"/>
            <w:vAlign w:val="top"/>
          </w:tcPr>
          <w:p>
            <w:pPr>
              <w:spacing w:line="360" w:lineRule="auto"/>
              <w:ind w:right="-4" w:rightChars="-2"/>
              <w:rPr>
                <w:rFonts w:ascii="宋体" w:hAnsi="宋体"/>
                <w:color w:val="auto"/>
                <w:sz w:val="24"/>
              </w:rPr>
            </w:pPr>
          </w:p>
        </w:tc>
        <w:tc>
          <w:tcPr>
            <w:tcW w:w="1802" w:type="dxa"/>
            <w:noWrap w:val="0"/>
            <w:vAlign w:val="top"/>
          </w:tcPr>
          <w:p>
            <w:pPr>
              <w:spacing w:line="360" w:lineRule="auto"/>
              <w:ind w:right="-4" w:rightChars="-2"/>
              <w:rPr>
                <w:rFonts w:ascii="宋体" w:hAnsi="宋体"/>
                <w:color w:val="auto"/>
                <w:sz w:val="24"/>
              </w:rPr>
            </w:pPr>
          </w:p>
        </w:tc>
      </w:tr>
    </w:tbl>
    <w:p>
      <w:pPr>
        <w:adjustRightInd w:val="0"/>
        <w:spacing w:line="440" w:lineRule="exact"/>
        <w:textAlignment w:val="baseline"/>
        <w:rPr>
          <w:rFonts w:ascii="宋体" w:hAnsi="宋体"/>
          <w:color w:val="auto"/>
          <w:szCs w:val="21"/>
        </w:rPr>
      </w:pPr>
    </w:p>
    <w:p>
      <w:pPr>
        <w:adjustRightInd w:val="0"/>
        <w:spacing w:line="400" w:lineRule="exact"/>
        <w:ind w:firstLine="480" w:firstLineChars="200"/>
        <w:jc w:val="left"/>
        <w:rPr>
          <w:rFonts w:hAnsi="宋体"/>
          <w:color w:val="auto"/>
          <w:sz w:val="24"/>
        </w:rPr>
      </w:pPr>
      <w:r>
        <w:rPr>
          <w:rFonts w:hint="eastAsia" w:hAnsi="宋体"/>
          <w:color w:val="auto"/>
          <w:sz w:val="24"/>
          <w:lang w:val="en-US" w:eastAsia="zh-CN"/>
        </w:rPr>
        <w:t>供应商名称</w:t>
      </w:r>
      <w:r>
        <w:rPr>
          <w:rFonts w:hint="eastAsia" w:hAnsi="宋体"/>
          <w:color w:val="auto"/>
          <w:sz w:val="24"/>
        </w:rPr>
        <w:t>：</w:t>
      </w:r>
      <w:r>
        <w:rPr>
          <w:rFonts w:hint="eastAsia" w:hAnsi="宋体"/>
          <w:color w:val="auto"/>
          <w:sz w:val="24"/>
          <w:u w:val="single"/>
        </w:rPr>
        <w:t xml:space="preserve">                                     </w:t>
      </w:r>
      <w:r>
        <w:rPr>
          <w:rFonts w:hint="eastAsia" w:hAnsi="宋体"/>
          <w:color w:val="auto"/>
          <w:sz w:val="24"/>
        </w:rPr>
        <w:t>（盖单位章）</w:t>
      </w:r>
    </w:p>
    <w:p>
      <w:pPr>
        <w:adjustRightInd w:val="0"/>
        <w:spacing w:line="400" w:lineRule="exact"/>
        <w:ind w:firstLine="480" w:firstLineChars="200"/>
        <w:jc w:val="left"/>
        <w:rPr>
          <w:rFonts w:hAnsi="宋体"/>
          <w:color w:val="auto"/>
          <w:sz w:val="24"/>
        </w:rPr>
      </w:pPr>
      <w:r>
        <w:rPr>
          <w:rFonts w:hint="eastAsia" w:hAnsi="宋体"/>
          <w:color w:val="auto"/>
          <w:sz w:val="24"/>
        </w:rPr>
        <w:t>法定代表人或其授权代理人：</w:t>
      </w:r>
      <w:r>
        <w:rPr>
          <w:rFonts w:hint="eastAsia" w:hAnsi="宋体"/>
          <w:color w:val="auto"/>
          <w:sz w:val="24"/>
          <w:u w:val="single"/>
        </w:rPr>
        <w:t xml:space="preserve">                       </w:t>
      </w:r>
      <w:r>
        <w:rPr>
          <w:rFonts w:hint="eastAsia" w:hAnsi="宋体"/>
          <w:color w:val="auto"/>
          <w:sz w:val="24"/>
        </w:rPr>
        <w:t>（签字）</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9.</w:t>
      </w:r>
    </w:p>
    <w:p>
      <w:pPr>
        <w:pStyle w:val="2"/>
        <w:numPr>
          <w:ilvl w:val="1"/>
          <w:numId w:val="0"/>
        </w:numPr>
        <w:jc w:val="center"/>
        <w:rPr>
          <w:rFonts w:ascii="宋体" w:hAnsi="宋体"/>
          <w:color w:val="auto"/>
          <w:sz w:val="28"/>
          <w:szCs w:val="28"/>
        </w:rPr>
      </w:pPr>
      <w:r>
        <w:rPr>
          <w:rFonts w:hint="eastAsia" w:ascii="宋体" w:hAnsi="宋体"/>
          <w:color w:val="auto"/>
          <w:sz w:val="28"/>
          <w:szCs w:val="28"/>
        </w:rPr>
        <w:t>类似项目案例一览表</w:t>
      </w:r>
    </w:p>
    <w:p>
      <w:pPr>
        <w:rPr>
          <w:color w:val="auto"/>
        </w:rPr>
      </w:pPr>
      <w:r>
        <w:rPr>
          <w:rFonts w:hint="eastAsia"/>
          <w:color w:val="auto"/>
        </w:rPr>
        <w:t xml:space="preserve">项目编号： </w:t>
      </w:r>
    </w:p>
    <w:tbl>
      <w:tblPr>
        <w:tblStyle w:val="32"/>
        <w:tblW w:w="9769" w:type="dxa"/>
        <w:jc w:val="center"/>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
      <w:tblGrid>
        <w:gridCol w:w="763"/>
        <w:gridCol w:w="1856"/>
        <w:gridCol w:w="1600"/>
        <w:gridCol w:w="2072"/>
        <w:gridCol w:w="2835"/>
        <w:gridCol w:w="643"/>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spacing w:line="400" w:lineRule="exact"/>
              <w:ind w:firstLine="105" w:firstLineChars="50"/>
              <w:jc w:val="center"/>
              <w:rPr>
                <w:rFonts w:ascii="宋体"/>
                <w:color w:val="auto"/>
                <w:sz w:val="24"/>
              </w:rPr>
            </w:pPr>
            <w:r>
              <w:rPr>
                <w:rFonts w:hint="eastAsia" w:ascii="宋体" w:hAnsi="宋体" w:cs="Arial"/>
                <w:b/>
                <w:color w:val="auto"/>
              </w:rPr>
              <w:t>年份</w:t>
            </w:r>
          </w:p>
        </w:tc>
        <w:tc>
          <w:tcPr>
            <w:tcW w:w="1856" w:type="dxa"/>
            <w:noWrap w:val="0"/>
            <w:vAlign w:val="center"/>
          </w:tcPr>
          <w:p>
            <w:pPr>
              <w:spacing w:line="400" w:lineRule="exact"/>
              <w:jc w:val="center"/>
              <w:rPr>
                <w:rFonts w:ascii="宋体"/>
                <w:color w:val="auto"/>
                <w:sz w:val="24"/>
              </w:rPr>
            </w:pPr>
            <w:r>
              <w:rPr>
                <w:rFonts w:hint="eastAsia" w:ascii="宋体" w:hAnsi="宋体" w:cs="Arial"/>
                <w:b/>
                <w:color w:val="auto"/>
              </w:rPr>
              <w:t>用户名称</w:t>
            </w:r>
          </w:p>
        </w:tc>
        <w:tc>
          <w:tcPr>
            <w:tcW w:w="1600" w:type="dxa"/>
            <w:noWrap w:val="0"/>
            <w:vAlign w:val="center"/>
          </w:tcPr>
          <w:p>
            <w:pPr>
              <w:spacing w:line="400" w:lineRule="exact"/>
              <w:jc w:val="center"/>
              <w:rPr>
                <w:rFonts w:ascii="宋体"/>
                <w:color w:val="auto"/>
                <w:sz w:val="24"/>
              </w:rPr>
            </w:pPr>
            <w:r>
              <w:rPr>
                <w:rFonts w:ascii="宋体" w:hAnsi="宋体" w:cs="Arial"/>
                <w:b/>
                <w:color w:val="auto"/>
              </w:rPr>
              <w:t>项目名称</w:t>
            </w:r>
          </w:p>
        </w:tc>
        <w:tc>
          <w:tcPr>
            <w:tcW w:w="2072" w:type="dxa"/>
            <w:noWrap w:val="0"/>
            <w:vAlign w:val="center"/>
          </w:tcPr>
          <w:p>
            <w:pPr>
              <w:spacing w:line="400" w:lineRule="exact"/>
              <w:jc w:val="center"/>
              <w:rPr>
                <w:rFonts w:ascii="宋体"/>
                <w:color w:val="auto"/>
                <w:sz w:val="24"/>
              </w:rPr>
            </w:pPr>
            <w:r>
              <w:rPr>
                <w:rFonts w:ascii="宋体" w:hAnsi="宋体" w:cs="Arial"/>
                <w:b/>
                <w:color w:val="auto"/>
              </w:rPr>
              <w:t>完成时间</w:t>
            </w:r>
          </w:p>
        </w:tc>
        <w:tc>
          <w:tcPr>
            <w:tcW w:w="2835" w:type="dxa"/>
            <w:noWrap w:val="0"/>
            <w:vAlign w:val="center"/>
          </w:tcPr>
          <w:p>
            <w:pPr>
              <w:spacing w:line="400" w:lineRule="exact"/>
              <w:ind w:firstLine="105" w:firstLineChars="50"/>
              <w:jc w:val="center"/>
              <w:rPr>
                <w:rFonts w:ascii="宋体"/>
                <w:color w:val="auto"/>
                <w:sz w:val="24"/>
              </w:rPr>
            </w:pPr>
            <w:r>
              <w:rPr>
                <w:rFonts w:ascii="宋体" w:hAnsi="宋体" w:cs="Arial"/>
                <w:b/>
                <w:color w:val="auto"/>
              </w:rPr>
              <w:t>合同金额</w:t>
            </w:r>
          </w:p>
        </w:tc>
        <w:tc>
          <w:tcPr>
            <w:tcW w:w="643" w:type="dxa"/>
            <w:noWrap w:val="0"/>
            <w:vAlign w:val="center"/>
          </w:tcPr>
          <w:p>
            <w:pPr>
              <w:spacing w:line="400" w:lineRule="exact"/>
              <w:jc w:val="center"/>
              <w:rPr>
                <w:rFonts w:ascii="宋体"/>
                <w:color w:val="auto"/>
                <w:sz w:val="24"/>
              </w:rPr>
            </w:pPr>
            <w:r>
              <w:rPr>
                <w:rFonts w:hint="eastAsia" w:ascii="宋体" w:hAnsi="宋体" w:cs="Arial"/>
                <w:b/>
                <w:color w:val="auto"/>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0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51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15"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615"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450"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54" w:type="dxa"/>
            <w:bottom w:w="0" w:type="dxa"/>
            <w:right w:w="54" w:type="dxa"/>
          </w:tblCellMar>
        </w:tblPrEx>
        <w:trPr>
          <w:cantSplit/>
          <w:trHeight w:val="435" w:hRule="atLeast"/>
          <w:jc w:val="center"/>
        </w:trPr>
        <w:tc>
          <w:tcPr>
            <w:tcW w:w="763" w:type="dxa"/>
            <w:noWrap w:val="0"/>
            <w:vAlign w:val="center"/>
          </w:tcPr>
          <w:p>
            <w:pPr>
              <w:widowControl/>
              <w:spacing w:line="360" w:lineRule="atLeast"/>
              <w:ind w:firstLine="470" w:firstLineChars="196"/>
              <w:jc w:val="left"/>
              <w:outlineLvl w:val="1"/>
              <w:rPr>
                <w:rFonts w:ascii="宋体"/>
                <w:color w:val="auto"/>
                <w:sz w:val="24"/>
              </w:rPr>
            </w:pPr>
          </w:p>
        </w:tc>
        <w:tc>
          <w:tcPr>
            <w:tcW w:w="1856" w:type="dxa"/>
            <w:noWrap w:val="0"/>
            <w:vAlign w:val="center"/>
          </w:tcPr>
          <w:p>
            <w:pPr>
              <w:widowControl/>
              <w:spacing w:line="360" w:lineRule="atLeast"/>
              <w:ind w:firstLine="470" w:firstLineChars="196"/>
              <w:jc w:val="left"/>
              <w:outlineLvl w:val="1"/>
              <w:rPr>
                <w:rFonts w:ascii="宋体"/>
                <w:color w:val="auto"/>
                <w:sz w:val="24"/>
              </w:rPr>
            </w:pPr>
          </w:p>
        </w:tc>
        <w:tc>
          <w:tcPr>
            <w:tcW w:w="1600" w:type="dxa"/>
            <w:noWrap w:val="0"/>
            <w:vAlign w:val="center"/>
          </w:tcPr>
          <w:p>
            <w:pPr>
              <w:widowControl/>
              <w:spacing w:line="360" w:lineRule="atLeast"/>
              <w:ind w:firstLine="470" w:firstLineChars="196"/>
              <w:jc w:val="left"/>
              <w:outlineLvl w:val="1"/>
              <w:rPr>
                <w:rFonts w:ascii="宋体"/>
                <w:color w:val="auto"/>
                <w:sz w:val="24"/>
              </w:rPr>
            </w:pPr>
          </w:p>
        </w:tc>
        <w:tc>
          <w:tcPr>
            <w:tcW w:w="2072" w:type="dxa"/>
            <w:noWrap w:val="0"/>
            <w:vAlign w:val="center"/>
          </w:tcPr>
          <w:p>
            <w:pPr>
              <w:widowControl/>
              <w:spacing w:line="360" w:lineRule="atLeast"/>
              <w:ind w:firstLine="470" w:firstLineChars="196"/>
              <w:jc w:val="left"/>
              <w:outlineLvl w:val="1"/>
              <w:rPr>
                <w:rFonts w:ascii="宋体"/>
                <w:color w:val="auto"/>
                <w:sz w:val="24"/>
              </w:rPr>
            </w:pPr>
          </w:p>
        </w:tc>
        <w:tc>
          <w:tcPr>
            <w:tcW w:w="2835" w:type="dxa"/>
            <w:noWrap w:val="0"/>
            <w:vAlign w:val="center"/>
          </w:tcPr>
          <w:p>
            <w:pPr>
              <w:widowControl/>
              <w:spacing w:line="360" w:lineRule="atLeast"/>
              <w:ind w:firstLine="470" w:firstLineChars="196"/>
              <w:jc w:val="left"/>
              <w:outlineLvl w:val="1"/>
              <w:rPr>
                <w:rFonts w:ascii="宋体"/>
                <w:color w:val="auto"/>
                <w:sz w:val="24"/>
              </w:rPr>
            </w:pPr>
          </w:p>
        </w:tc>
        <w:tc>
          <w:tcPr>
            <w:tcW w:w="643" w:type="dxa"/>
            <w:noWrap w:val="0"/>
            <w:vAlign w:val="center"/>
          </w:tcPr>
          <w:p>
            <w:pPr>
              <w:widowControl/>
              <w:spacing w:line="360" w:lineRule="atLeast"/>
              <w:ind w:firstLine="470" w:firstLineChars="196"/>
              <w:jc w:val="left"/>
              <w:outlineLvl w:val="1"/>
              <w:rPr>
                <w:rFonts w:ascii="宋体"/>
                <w:color w:val="auto"/>
                <w:sz w:val="24"/>
              </w:rPr>
            </w:pPr>
          </w:p>
        </w:tc>
      </w:tr>
    </w:tbl>
    <w:p>
      <w:pPr>
        <w:spacing w:line="240" w:lineRule="exact"/>
        <w:jc w:val="center"/>
        <w:rPr>
          <w:rFonts w:ascii="宋体" w:hAnsi="宋体"/>
          <w:b/>
          <w:bCs/>
          <w:color w:val="auto"/>
          <w:sz w:val="30"/>
        </w:rPr>
      </w:pPr>
    </w:p>
    <w:p>
      <w:pPr>
        <w:spacing w:line="240" w:lineRule="exact"/>
        <w:jc w:val="center"/>
        <w:rPr>
          <w:rFonts w:ascii="宋体" w:hAnsi="宋体"/>
          <w:b/>
          <w:bCs/>
          <w:color w:val="auto"/>
          <w:sz w:val="30"/>
        </w:rPr>
      </w:pPr>
    </w:p>
    <w:p>
      <w:pPr>
        <w:adjustRightInd w:val="0"/>
        <w:spacing w:line="400" w:lineRule="exact"/>
        <w:ind w:firstLine="480" w:firstLineChars="200"/>
        <w:jc w:val="left"/>
        <w:rPr>
          <w:rFonts w:hAnsi="宋体"/>
          <w:color w:val="auto"/>
          <w:sz w:val="24"/>
        </w:rPr>
      </w:pPr>
      <w:r>
        <w:rPr>
          <w:rFonts w:hint="eastAsia" w:hAnsi="宋体"/>
          <w:color w:val="auto"/>
          <w:sz w:val="24"/>
          <w:lang w:val="en-US" w:eastAsia="zh-CN"/>
        </w:rPr>
        <w:t>供应商名称</w:t>
      </w:r>
      <w:r>
        <w:rPr>
          <w:rFonts w:hint="eastAsia" w:hAnsi="宋体"/>
          <w:color w:val="auto"/>
          <w:sz w:val="24"/>
        </w:rPr>
        <w:t>：</w:t>
      </w:r>
      <w:r>
        <w:rPr>
          <w:rFonts w:hint="eastAsia" w:hAnsi="宋体"/>
          <w:color w:val="auto"/>
          <w:sz w:val="24"/>
          <w:u w:val="single"/>
        </w:rPr>
        <w:t xml:space="preserve">                                     </w:t>
      </w:r>
      <w:r>
        <w:rPr>
          <w:rFonts w:hint="eastAsia" w:hAnsi="宋体"/>
          <w:color w:val="auto"/>
          <w:sz w:val="24"/>
        </w:rPr>
        <w:t>（盖单位章）</w:t>
      </w:r>
    </w:p>
    <w:p>
      <w:pPr>
        <w:adjustRightInd w:val="0"/>
        <w:spacing w:line="400" w:lineRule="exact"/>
        <w:ind w:firstLine="480" w:firstLineChars="200"/>
        <w:jc w:val="left"/>
        <w:rPr>
          <w:rFonts w:hAnsi="宋体"/>
          <w:color w:val="auto"/>
          <w:sz w:val="24"/>
        </w:rPr>
      </w:pPr>
      <w:r>
        <w:rPr>
          <w:rFonts w:hint="eastAsia" w:hAnsi="宋体"/>
          <w:color w:val="auto"/>
          <w:sz w:val="24"/>
        </w:rPr>
        <w:t>法定代表人或其授权代理人：</w:t>
      </w:r>
      <w:r>
        <w:rPr>
          <w:rFonts w:hint="eastAsia" w:hAnsi="宋体"/>
          <w:color w:val="auto"/>
          <w:sz w:val="24"/>
          <w:u w:val="single"/>
        </w:rPr>
        <w:t xml:space="preserve">                       </w:t>
      </w:r>
      <w:r>
        <w:rPr>
          <w:rFonts w:hint="eastAsia" w:hAnsi="宋体"/>
          <w:color w:val="auto"/>
          <w:sz w:val="24"/>
        </w:rPr>
        <w:t>（签字）</w:t>
      </w:r>
    </w:p>
    <w:p>
      <w:pPr>
        <w:adjustRightInd w:val="0"/>
        <w:spacing w:line="400" w:lineRule="exact"/>
        <w:ind w:firstLine="480" w:firstLineChars="200"/>
        <w:jc w:val="left"/>
        <w:rPr>
          <w:rFonts w:hAnsi="宋体"/>
          <w:color w:val="auto"/>
          <w:sz w:val="24"/>
        </w:rPr>
      </w:pPr>
      <w:r>
        <w:rPr>
          <w:rFonts w:hint="eastAsia" w:hAnsi="宋体"/>
          <w:color w:val="auto"/>
          <w:sz w:val="24"/>
        </w:rPr>
        <w:t>日期：</w:t>
      </w:r>
      <w:r>
        <w:rPr>
          <w:rFonts w:hint="eastAsia" w:hAnsi="宋体"/>
          <w:color w:val="auto"/>
          <w:sz w:val="24"/>
          <w:u w:val="single"/>
        </w:rPr>
        <w:t xml:space="preserve">       </w:t>
      </w:r>
      <w:r>
        <w:rPr>
          <w:rFonts w:hint="eastAsia" w:hAnsi="宋体"/>
          <w:color w:val="auto"/>
          <w:sz w:val="24"/>
        </w:rPr>
        <w:t>年</w:t>
      </w:r>
      <w:r>
        <w:rPr>
          <w:rFonts w:hint="eastAsia" w:hAnsi="宋体"/>
          <w:color w:val="auto"/>
          <w:sz w:val="24"/>
          <w:u w:val="single"/>
        </w:rPr>
        <w:t xml:space="preserve">       </w:t>
      </w:r>
      <w:r>
        <w:rPr>
          <w:rFonts w:hint="eastAsia" w:hAnsi="宋体"/>
          <w:color w:val="auto"/>
          <w:sz w:val="24"/>
        </w:rPr>
        <w:t>月</w:t>
      </w:r>
      <w:r>
        <w:rPr>
          <w:rFonts w:hint="eastAsia" w:hAnsi="宋体"/>
          <w:color w:val="auto"/>
          <w:sz w:val="24"/>
          <w:u w:val="single"/>
        </w:rPr>
        <w:t xml:space="preserve">       </w:t>
      </w:r>
      <w:r>
        <w:rPr>
          <w:rFonts w:hint="eastAsia" w:hAnsi="宋体"/>
          <w:color w:val="auto"/>
          <w:sz w:val="24"/>
        </w:rPr>
        <w:t>日</w:t>
      </w:r>
    </w:p>
    <w:p>
      <w:pPr>
        <w:pStyle w:val="79"/>
        <w:spacing w:line="500" w:lineRule="exact"/>
        <w:jc w:val="both"/>
        <w:rPr>
          <w:rFonts w:hAnsi="宋体"/>
          <w:b w:val="0"/>
          <w:color w:val="auto"/>
          <w:kern w:val="2"/>
          <w:sz w:val="21"/>
          <w:szCs w:val="21"/>
        </w:rPr>
      </w:pPr>
    </w:p>
    <w:p>
      <w:pPr>
        <w:pStyle w:val="79"/>
        <w:spacing w:line="500" w:lineRule="exact"/>
        <w:jc w:val="both"/>
        <w:rPr>
          <w:rFonts w:hAnsi="宋体"/>
          <w:b w:val="0"/>
          <w:color w:val="auto"/>
          <w:kern w:val="2"/>
          <w:sz w:val="21"/>
          <w:szCs w:val="21"/>
        </w:rPr>
      </w:pPr>
      <w:r>
        <w:rPr>
          <w:rFonts w:hint="eastAsia" w:hAnsi="宋体"/>
          <w:b w:val="0"/>
          <w:color w:val="auto"/>
          <w:kern w:val="2"/>
          <w:sz w:val="21"/>
          <w:szCs w:val="21"/>
        </w:rPr>
        <w:t>注：以上案例需提供有关书面证明材料。</w:t>
      </w:r>
    </w:p>
    <w:p>
      <w:pPr>
        <w:pStyle w:val="79"/>
        <w:spacing w:line="500" w:lineRule="exact"/>
        <w:jc w:val="both"/>
        <w:rPr>
          <w:rFonts w:hAnsi="宋体"/>
          <w:b w:val="0"/>
          <w:color w:val="auto"/>
          <w:kern w:val="2"/>
          <w:sz w:val="21"/>
          <w:szCs w:val="21"/>
        </w:rPr>
      </w:pPr>
    </w:p>
    <w:p>
      <w:pPr>
        <w:spacing w:before="120"/>
        <w:outlineLvl w:val="9"/>
        <w:rPr>
          <w:rFonts w:ascii="仿宋" w:hAnsi="仿宋" w:eastAsia="仿宋"/>
          <w:color w:val="auto"/>
          <w:sz w:val="24"/>
          <w:szCs w:val="24"/>
        </w:rPr>
      </w:pPr>
      <w:r>
        <w:rPr>
          <w:rFonts w:hint="eastAsia" w:ascii="仿宋" w:hAnsi="仿宋" w:eastAsia="仿宋"/>
          <w:color w:val="auto"/>
          <w:sz w:val="24"/>
          <w:szCs w:val="24"/>
        </w:rPr>
        <w:t xml:space="preserve"> </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10.</w:t>
      </w:r>
    </w:p>
    <w:p>
      <w:pPr>
        <w:pStyle w:val="2"/>
        <w:numPr>
          <w:ilvl w:val="1"/>
          <w:numId w:val="0"/>
        </w:numPr>
        <w:ind w:left="142" w:leftChars="0"/>
        <w:jc w:val="center"/>
        <w:rPr>
          <w:rFonts w:ascii="宋体" w:hAnsi="宋体"/>
          <w:color w:val="auto"/>
          <w:sz w:val="28"/>
          <w:szCs w:val="28"/>
        </w:rPr>
      </w:pPr>
      <w:r>
        <w:rPr>
          <w:rFonts w:hint="eastAsia" w:ascii="宋体" w:hAnsi="宋体"/>
          <w:color w:val="auto"/>
          <w:sz w:val="28"/>
          <w:szCs w:val="28"/>
        </w:rPr>
        <w:t>承诺函</w:t>
      </w:r>
    </w:p>
    <w:p>
      <w:pPr>
        <w:widowControl/>
        <w:spacing w:line="360" w:lineRule="atLeast"/>
        <w:jc w:val="left"/>
        <w:rPr>
          <w:rFonts w:hint="eastAsia" w:ascii="宋体"/>
          <w:color w:val="auto"/>
          <w:sz w:val="24"/>
          <w:u w:val="single"/>
        </w:rPr>
      </w:pPr>
      <w:r>
        <w:rPr>
          <w:rFonts w:hint="eastAsia" w:ascii="宋体"/>
          <w:color w:val="auto"/>
          <w:sz w:val="24"/>
        </w:rPr>
        <w:t>致：</w:t>
      </w:r>
      <w:r>
        <w:rPr>
          <w:rFonts w:hint="eastAsia" w:ascii="宋体"/>
          <w:color w:val="auto"/>
          <w:sz w:val="24"/>
          <w:u w:val="single"/>
        </w:rPr>
        <w:t>金堂县第一人民医院</w:t>
      </w:r>
    </w:p>
    <w:p>
      <w:pPr>
        <w:widowControl/>
        <w:spacing w:line="360" w:lineRule="atLeast"/>
        <w:ind w:firstLine="470" w:firstLineChars="196"/>
        <w:jc w:val="left"/>
        <w:rPr>
          <w:rFonts w:ascii="宋体"/>
          <w:color w:val="auto"/>
          <w:sz w:val="24"/>
        </w:rPr>
      </w:pPr>
      <w:r>
        <w:rPr>
          <w:rFonts w:hint="eastAsia" w:ascii="宋体"/>
          <w:color w:val="auto"/>
          <w:sz w:val="24"/>
        </w:rPr>
        <w:t>本公司</w:t>
      </w:r>
      <w:r>
        <w:rPr>
          <w:rFonts w:hint="eastAsia" w:ascii="宋体"/>
          <w:color w:val="auto"/>
          <w:sz w:val="24"/>
          <w:u w:val="single"/>
        </w:rPr>
        <w:t xml:space="preserve">         （</w:t>
      </w:r>
      <w:r>
        <w:rPr>
          <w:rFonts w:hint="eastAsia" w:ascii="宋体"/>
          <w:color w:val="auto"/>
          <w:sz w:val="24"/>
          <w:u w:val="single"/>
          <w:lang w:val="en-US" w:eastAsia="zh-CN"/>
        </w:rPr>
        <w:t>供应商</w:t>
      </w:r>
      <w:r>
        <w:rPr>
          <w:rFonts w:hint="eastAsia" w:ascii="宋体"/>
          <w:color w:val="auto"/>
          <w:sz w:val="24"/>
          <w:u w:val="single"/>
        </w:rPr>
        <w:t>名称）</w:t>
      </w:r>
      <w:r>
        <w:rPr>
          <w:rFonts w:hint="eastAsia" w:ascii="宋体"/>
          <w:color w:val="auto"/>
          <w:sz w:val="24"/>
        </w:rPr>
        <w:t>参加</w:t>
      </w:r>
      <w:r>
        <w:rPr>
          <w:rFonts w:hint="eastAsia" w:ascii="宋体"/>
          <w:color w:val="auto"/>
          <w:sz w:val="24"/>
          <w:u w:val="single"/>
        </w:rPr>
        <w:t xml:space="preserve">      （项目名称） （项目编号：          ）</w:t>
      </w:r>
      <w:r>
        <w:rPr>
          <w:rFonts w:hint="eastAsia" w:ascii="宋体"/>
          <w:color w:val="auto"/>
          <w:sz w:val="24"/>
        </w:rPr>
        <w:t>的</w:t>
      </w:r>
      <w:r>
        <w:rPr>
          <w:rFonts w:hint="eastAsia" w:ascii="宋体"/>
          <w:color w:val="auto"/>
          <w:sz w:val="24"/>
          <w:lang w:val="en-US" w:eastAsia="zh-CN"/>
        </w:rPr>
        <w:t>采购</w:t>
      </w:r>
      <w:r>
        <w:rPr>
          <w:rFonts w:hint="eastAsia" w:ascii="宋体"/>
          <w:color w:val="auto"/>
          <w:sz w:val="24"/>
        </w:rPr>
        <w:t>活动，现针对以下条款，郑重承诺：</w:t>
      </w:r>
    </w:p>
    <w:p>
      <w:pPr>
        <w:spacing w:line="480" w:lineRule="auto"/>
        <w:ind w:firstLine="480" w:firstLineChars="200"/>
        <w:rPr>
          <w:rFonts w:hAnsi="宋体"/>
          <w:color w:val="auto"/>
          <w:sz w:val="24"/>
        </w:rPr>
      </w:pPr>
      <w:r>
        <w:rPr>
          <w:rFonts w:hint="eastAsia" w:hAnsi="宋体"/>
          <w:color w:val="auto"/>
          <w:sz w:val="24"/>
        </w:rPr>
        <w:t>（一）具有独立承担民事责任的能力；</w:t>
      </w:r>
    </w:p>
    <w:p>
      <w:pPr>
        <w:spacing w:line="480" w:lineRule="auto"/>
        <w:ind w:firstLine="480" w:firstLineChars="200"/>
        <w:rPr>
          <w:rFonts w:hAnsi="宋体"/>
          <w:color w:val="auto"/>
          <w:sz w:val="24"/>
        </w:rPr>
      </w:pPr>
      <w:r>
        <w:rPr>
          <w:rFonts w:hint="eastAsia" w:hAnsi="宋体"/>
          <w:color w:val="auto"/>
          <w:sz w:val="24"/>
        </w:rPr>
        <w:t>（二）具有良好的商业信誉和健全的财务会计制度；</w:t>
      </w:r>
    </w:p>
    <w:p>
      <w:pPr>
        <w:spacing w:line="480" w:lineRule="auto"/>
        <w:ind w:firstLine="480" w:firstLineChars="200"/>
        <w:rPr>
          <w:rFonts w:hAnsi="宋体"/>
          <w:color w:val="auto"/>
          <w:sz w:val="24"/>
        </w:rPr>
      </w:pPr>
      <w:r>
        <w:rPr>
          <w:rFonts w:hint="eastAsia" w:hAnsi="宋体"/>
          <w:color w:val="auto"/>
          <w:sz w:val="24"/>
        </w:rPr>
        <w:t>（三）具有履行合同所必需的专业技术能力；</w:t>
      </w:r>
    </w:p>
    <w:p>
      <w:pPr>
        <w:spacing w:line="480" w:lineRule="auto"/>
        <w:ind w:firstLine="480" w:firstLineChars="200"/>
        <w:rPr>
          <w:rFonts w:hAnsi="宋体"/>
          <w:color w:val="auto"/>
          <w:sz w:val="24"/>
        </w:rPr>
      </w:pPr>
      <w:r>
        <w:rPr>
          <w:rFonts w:hint="eastAsia" w:hAnsi="宋体"/>
          <w:color w:val="auto"/>
          <w:sz w:val="24"/>
        </w:rPr>
        <w:t>（四）有依法缴纳税收和社会保障资金的良好记录；</w:t>
      </w:r>
    </w:p>
    <w:p>
      <w:pPr>
        <w:spacing w:line="480" w:lineRule="auto"/>
        <w:ind w:firstLine="480" w:firstLineChars="200"/>
        <w:rPr>
          <w:rFonts w:hAnsi="宋体"/>
          <w:color w:val="auto"/>
          <w:sz w:val="24"/>
        </w:rPr>
      </w:pPr>
      <w:r>
        <w:rPr>
          <w:rFonts w:hint="eastAsia" w:hAnsi="宋体"/>
          <w:color w:val="auto"/>
          <w:sz w:val="24"/>
        </w:rPr>
        <w:t>（五）参加采购活动前三年内，在经营活动中没有重大违法记录；</w:t>
      </w:r>
    </w:p>
    <w:p>
      <w:pPr>
        <w:spacing w:line="480" w:lineRule="auto"/>
        <w:ind w:firstLine="480" w:firstLineChars="200"/>
        <w:rPr>
          <w:rFonts w:hint="eastAsia" w:hAnsi="宋体"/>
          <w:color w:val="auto"/>
          <w:sz w:val="24"/>
        </w:rPr>
      </w:pPr>
      <w:r>
        <w:rPr>
          <w:rFonts w:hint="eastAsia" w:hAnsi="宋体"/>
          <w:color w:val="auto"/>
          <w:sz w:val="24"/>
        </w:rPr>
        <w:t>（六）</w:t>
      </w:r>
      <w:r>
        <w:rPr>
          <w:rFonts w:hint="eastAsia" w:ascii="宋体" w:hAnsi="宋体" w:cs="宋体"/>
          <w:color w:val="auto"/>
          <w:sz w:val="24"/>
        </w:rPr>
        <w:t>符合法律、行政法规规定的其他强制性条件</w:t>
      </w:r>
      <w:r>
        <w:rPr>
          <w:rFonts w:hint="eastAsia" w:hAnsi="宋体"/>
          <w:color w:val="auto"/>
          <w:sz w:val="24"/>
        </w:rPr>
        <w:t>；</w:t>
      </w:r>
    </w:p>
    <w:p>
      <w:pPr>
        <w:spacing w:line="480" w:lineRule="auto"/>
        <w:ind w:firstLine="480" w:firstLineChars="200"/>
        <w:rPr>
          <w:rFonts w:hint="eastAsia" w:ascii="宋体" w:hAnsi="宋体" w:eastAsia="宋体" w:cs="宋体"/>
          <w:color w:val="auto"/>
          <w:sz w:val="24"/>
          <w:lang w:eastAsia="zh-CN"/>
        </w:rPr>
      </w:pPr>
      <w:r>
        <w:rPr>
          <w:rFonts w:hint="eastAsia" w:ascii="宋体" w:hAnsi="宋体" w:eastAsia="宋体" w:cs="宋体"/>
          <w:color w:val="auto"/>
          <w:sz w:val="24"/>
          <w:lang w:eastAsia="zh-CN"/>
        </w:rPr>
        <w:t>（</w:t>
      </w:r>
      <w:r>
        <w:rPr>
          <w:rFonts w:hint="eastAsia" w:ascii="宋体" w:hAnsi="宋体" w:eastAsia="宋体" w:cs="宋体"/>
          <w:color w:val="auto"/>
          <w:sz w:val="24"/>
          <w:lang w:val="en-US" w:eastAsia="zh-CN"/>
        </w:rPr>
        <w:t>七</w:t>
      </w:r>
      <w:r>
        <w:rPr>
          <w:rFonts w:hint="eastAsia" w:ascii="宋体" w:hAnsi="宋体" w:eastAsia="宋体" w:cs="宋体"/>
          <w:color w:val="auto"/>
          <w:sz w:val="24"/>
          <w:lang w:eastAsia="zh-CN"/>
        </w:rPr>
        <w:t>）</w:t>
      </w:r>
      <w:r>
        <w:rPr>
          <w:rFonts w:hint="eastAsia" w:ascii="宋体" w:hAnsi="宋体" w:eastAsia="宋体" w:cs="宋体"/>
          <w:color w:val="auto"/>
          <w:sz w:val="24"/>
        </w:rPr>
        <w:t>根据采购项目提出的特殊条件</w:t>
      </w:r>
      <w:r>
        <w:rPr>
          <w:rFonts w:hint="eastAsia" w:ascii="宋体" w:hAnsi="宋体" w:eastAsia="宋体" w:cs="宋体"/>
          <w:color w:val="auto"/>
          <w:sz w:val="24"/>
          <w:lang w:eastAsia="zh-CN"/>
        </w:rPr>
        <w:t>；</w:t>
      </w:r>
    </w:p>
    <w:p>
      <w:pPr>
        <w:spacing w:line="360" w:lineRule="auto"/>
        <w:ind w:firstLine="480" w:firstLineChars="200"/>
        <w:rPr>
          <w:rFonts w:ascii="宋体" w:hAnsi="宋体"/>
          <w:color w:val="auto"/>
          <w:sz w:val="24"/>
        </w:rPr>
      </w:pPr>
      <w:bookmarkStart w:id="41" w:name="_Toc491724433"/>
      <w:r>
        <w:rPr>
          <w:rFonts w:hint="eastAsia" w:ascii="宋体" w:hAnsi="宋体"/>
          <w:color w:val="auto"/>
          <w:sz w:val="24"/>
        </w:rPr>
        <w:t>（</w:t>
      </w:r>
      <w:r>
        <w:rPr>
          <w:rFonts w:hint="eastAsia" w:ascii="宋体" w:hAnsi="宋体"/>
          <w:color w:val="auto"/>
          <w:sz w:val="24"/>
          <w:lang w:val="en-US" w:eastAsia="zh-CN"/>
        </w:rPr>
        <w:t>八</w:t>
      </w:r>
      <w:r>
        <w:rPr>
          <w:rFonts w:hint="eastAsia" w:ascii="宋体" w:hAnsi="宋体"/>
          <w:color w:val="auto"/>
          <w:sz w:val="24"/>
        </w:rPr>
        <w:t>）参加本次采购活动，不存在与单位负责人为同一人或者存在直接控股、管理关系的其他供应商参与同一合同项下的采购活动的行为。</w:t>
      </w:r>
      <w:bookmarkEnd w:id="41"/>
    </w:p>
    <w:p>
      <w:pPr>
        <w:spacing w:line="360" w:lineRule="auto"/>
        <w:ind w:firstLine="480" w:firstLineChars="200"/>
        <w:rPr>
          <w:rFonts w:ascii="宋体" w:hAnsi="宋体"/>
          <w:color w:val="auto"/>
          <w:sz w:val="24"/>
        </w:rPr>
      </w:pPr>
      <w:bookmarkStart w:id="42" w:name="_Toc491724434"/>
      <w:r>
        <w:rPr>
          <w:rFonts w:hint="eastAsia" w:ascii="宋体" w:hAnsi="宋体"/>
          <w:color w:val="auto"/>
          <w:sz w:val="24"/>
        </w:rPr>
        <w:t>（</w:t>
      </w:r>
      <w:r>
        <w:rPr>
          <w:rFonts w:hint="eastAsia" w:ascii="宋体" w:hAnsi="宋体"/>
          <w:color w:val="auto"/>
          <w:sz w:val="24"/>
          <w:lang w:val="en-US" w:eastAsia="zh-CN"/>
        </w:rPr>
        <w:t>九</w:t>
      </w:r>
      <w:r>
        <w:rPr>
          <w:rFonts w:hint="eastAsia" w:ascii="宋体" w:hAnsi="宋体"/>
          <w:color w:val="auto"/>
          <w:sz w:val="24"/>
        </w:rPr>
        <w:t>）参加本次采购活动，不存在和其他供应商在同一合同项下的采购项目中，同时委托同一个自然人、同一单位的人员作为代理人的行为。</w:t>
      </w:r>
      <w:bookmarkEnd w:id="42"/>
    </w:p>
    <w:p>
      <w:pPr>
        <w:spacing w:line="360" w:lineRule="auto"/>
        <w:ind w:firstLine="480" w:firstLineChars="200"/>
        <w:rPr>
          <w:rFonts w:ascii="宋体" w:hAnsi="宋体"/>
          <w:color w:val="auto"/>
          <w:sz w:val="24"/>
        </w:rPr>
      </w:pPr>
      <w:bookmarkStart w:id="43" w:name="_Toc491724436"/>
      <w:r>
        <w:rPr>
          <w:rFonts w:hint="eastAsia" w:ascii="宋体" w:hAnsi="宋体"/>
          <w:color w:val="auto"/>
          <w:sz w:val="24"/>
        </w:rPr>
        <w:t>（</w:t>
      </w:r>
      <w:r>
        <w:rPr>
          <w:rFonts w:hint="eastAsia" w:ascii="宋体" w:hAnsi="宋体"/>
          <w:color w:val="auto"/>
          <w:sz w:val="24"/>
          <w:lang w:val="en-US" w:eastAsia="zh-CN"/>
        </w:rPr>
        <w:t>十</w:t>
      </w:r>
      <w:r>
        <w:rPr>
          <w:rFonts w:hint="eastAsia" w:ascii="宋体" w:hAnsi="宋体"/>
          <w:color w:val="auto"/>
          <w:sz w:val="24"/>
        </w:rPr>
        <w:t>）响应文件中提供的能够给予我公司带来优惠、好处的任何材料资料和技术、服务、商务等响应承诺情况都是真实的、有效的、合法的。</w:t>
      </w:r>
      <w:bookmarkEnd w:id="43"/>
    </w:p>
    <w:p>
      <w:pPr>
        <w:spacing w:line="360" w:lineRule="auto"/>
        <w:ind w:firstLine="480" w:firstLineChars="200"/>
        <w:rPr>
          <w:rFonts w:hint="eastAsia" w:ascii="宋体" w:hAnsi="宋体"/>
          <w:color w:val="auto"/>
          <w:sz w:val="24"/>
        </w:rPr>
      </w:pPr>
      <w:r>
        <w:rPr>
          <w:rFonts w:hint="eastAsia" w:ascii="宋体" w:hAnsi="宋体"/>
          <w:color w:val="auto"/>
          <w:sz w:val="24"/>
        </w:rPr>
        <w:t>（十</w:t>
      </w:r>
      <w:r>
        <w:rPr>
          <w:rFonts w:hint="eastAsia" w:ascii="宋体" w:hAnsi="宋体"/>
          <w:color w:val="auto"/>
          <w:sz w:val="24"/>
          <w:lang w:val="en-US" w:eastAsia="zh-CN"/>
        </w:rPr>
        <w:t>一</w:t>
      </w:r>
      <w:r>
        <w:rPr>
          <w:rFonts w:hint="eastAsia" w:ascii="宋体" w:hAnsi="宋体"/>
          <w:color w:val="auto"/>
          <w:sz w:val="24"/>
        </w:rPr>
        <w:t>）</w:t>
      </w:r>
      <w:r>
        <w:rPr>
          <w:rFonts w:ascii="宋体" w:hAnsi="宋体"/>
          <w:color w:val="auto"/>
          <w:sz w:val="24"/>
        </w:rPr>
        <w:t>我方将严格按照相关法律法规的要求参与医院采购活动，积极配合医院营造风清气正的亲清营商环境。不以现金、红包、回扣、有价证券、贵重礼品等任何形式影响采购人采购行为。  </w:t>
      </w:r>
    </w:p>
    <w:p>
      <w:pPr>
        <w:spacing w:line="360" w:lineRule="auto"/>
        <w:ind w:firstLine="480" w:firstLineChars="200"/>
        <w:rPr>
          <w:rFonts w:hint="eastAsia" w:ascii="宋体" w:hAnsi="宋体"/>
          <w:color w:val="auto"/>
          <w:sz w:val="24"/>
        </w:rPr>
      </w:pPr>
      <w:r>
        <w:rPr>
          <w:rFonts w:hint="eastAsia" w:ascii="宋体" w:hAnsi="宋体"/>
          <w:color w:val="auto"/>
          <w:sz w:val="24"/>
        </w:rPr>
        <w:t>（十</w:t>
      </w:r>
      <w:r>
        <w:rPr>
          <w:rFonts w:hint="eastAsia" w:ascii="宋体" w:hAnsi="宋体"/>
          <w:color w:val="auto"/>
          <w:sz w:val="24"/>
          <w:lang w:val="en-US" w:eastAsia="zh-CN"/>
        </w:rPr>
        <w:t>二</w:t>
      </w:r>
      <w:r>
        <w:rPr>
          <w:rFonts w:hint="eastAsia" w:ascii="宋体" w:hAnsi="宋体"/>
          <w:color w:val="auto"/>
          <w:sz w:val="24"/>
        </w:rPr>
        <w:t>）我公司郑重承诺：不组织、不参与任何陪标、围标、串标行为；绝不以他人名义</w:t>
      </w:r>
      <w:r>
        <w:rPr>
          <w:rFonts w:hint="eastAsia" w:ascii="宋体" w:hAnsi="宋体"/>
          <w:color w:val="auto"/>
          <w:sz w:val="24"/>
          <w:lang w:val="en-US" w:eastAsia="zh-CN"/>
        </w:rPr>
        <w:t>参加协商</w:t>
      </w:r>
      <w:r>
        <w:rPr>
          <w:rFonts w:hint="eastAsia" w:ascii="宋体" w:hAnsi="宋体"/>
          <w:color w:val="auto"/>
          <w:sz w:val="24"/>
        </w:rPr>
        <w:t>，不以任何弄虚作假的方式</w:t>
      </w:r>
      <w:r>
        <w:rPr>
          <w:rFonts w:hint="eastAsia" w:ascii="宋体" w:hAnsi="宋体"/>
          <w:color w:val="auto"/>
          <w:sz w:val="24"/>
          <w:lang w:val="en-US" w:eastAsia="zh-CN"/>
        </w:rPr>
        <w:t>参加协商</w:t>
      </w:r>
      <w:r>
        <w:rPr>
          <w:rFonts w:hint="eastAsia" w:ascii="宋体" w:hAnsi="宋体"/>
          <w:color w:val="auto"/>
          <w:sz w:val="24"/>
        </w:rPr>
        <w:t>。</w:t>
      </w:r>
    </w:p>
    <w:p>
      <w:pPr>
        <w:spacing w:line="360" w:lineRule="auto"/>
        <w:ind w:firstLine="480" w:firstLineChars="200"/>
        <w:rPr>
          <w:rFonts w:ascii="宋体" w:hAnsi="宋体"/>
          <w:color w:val="auto"/>
          <w:sz w:val="24"/>
        </w:rPr>
      </w:pPr>
      <w:r>
        <w:rPr>
          <w:rFonts w:ascii="宋体" w:hAnsi="宋体"/>
          <w:color w:val="auto"/>
          <w:sz w:val="24"/>
        </w:rPr>
        <w:t>如违反以上承诺，本公司愿承担一切法律责任。</w:t>
      </w:r>
    </w:p>
    <w:p>
      <w:pPr>
        <w:spacing w:line="360" w:lineRule="auto"/>
        <w:ind w:firstLine="480" w:firstLineChars="200"/>
        <w:rPr>
          <w:rFonts w:ascii="宋体" w:hAnsi="宋体"/>
          <w:color w:val="auto"/>
          <w:sz w:val="24"/>
        </w:rPr>
      </w:pPr>
      <w:bookmarkStart w:id="44" w:name="_Toc491724438"/>
      <w:r>
        <w:rPr>
          <w:rFonts w:hint="eastAsia" w:ascii="宋体" w:hAnsi="宋体"/>
          <w:color w:val="auto"/>
          <w:sz w:val="24"/>
        </w:rPr>
        <w:t>本公司对上述承诺的内容和事项真实性负责。如经查实上述承诺的内容事项存在虚假，我公司愿意接受以提供虚假材料谋取成交追究法律责任。</w:t>
      </w:r>
      <w:bookmarkEnd w:id="44"/>
    </w:p>
    <w:p>
      <w:pPr>
        <w:widowControl/>
        <w:spacing w:line="360" w:lineRule="atLeast"/>
        <w:ind w:firstLine="470" w:firstLineChars="196"/>
        <w:jc w:val="left"/>
        <w:rPr>
          <w:rFonts w:ascii="宋体"/>
          <w:color w:val="auto"/>
          <w:sz w:val="24"/>
        </w:rPr>
      </w:pPr>
    </w:p>
    <w:p>
      <w:pPr>
        <w:widowControl/>
        <w:spacing w:line="360" w:lineRule="atLeast"/>
        <w:ind w:firstLine="470" w:firstLineChars="196"/>
        <w:jc w:val="left"/>
        <w:rPr>
          <w:rFonts w:ascii="宋体"/>
          <w:color w:val="auto"/>
          <w:sz w:val="24"/>
        </w:rPr>
      </w:pPr>
      <w:r>
        <w:rPr>
          <w:rFonts w:hint="eastAsia" w:ascii="宋体"/>
          <w:color w:val="auto"/>
          <w:sz w:val="24"/>
        </w:rPr>
        <w:t>如违反以上承诺，本公司愿承担一切法律责任。</w:t>
      </w:r>
    </w:p>
    <w:p>
      <w:pPr>
        <w:spacing w:line="360" w:lineRule="auto"/>
        <w:rPr>
          <w:rFonts w:hAnsi="宋体"/>
          <w:color w:val="auto"/>
          <w:sz w:val="24"/>
        </w:rPr>
      </w:pPr>
    </w:p>
    <w:p>
      <w:pPr>
        <w:widowControl/>
        <w:spacing w:line="360" w:lineRule="atLeast"/>
        <w:ind w:firstLine="470" w:firstLineChars="196"/>
        <w:jc w:val="left"/>
        <w:rPr>
          <w:rFonts w:ascii="宋体"/>
          <w:color w:val="auto"/>
          <w:sz w:val="24"/>
        </w:rPr>
      </w:pPr>
      <w:r>
        <w:rPr>
          <w:rFonts w:hint="eastAsia" w:ascii="宋体"/>
          <w:color w:val="auto"/>
          <w:sz w:val="24"/>
          <w:lang w:val="en-US" w:eastAsia="zh-CN"/>
        </w:rPr>
        <w:t>供应商名称</w:t>
      </w:r>
      <w:r>
        <w:rPr>
          <w:rFonts w:hint="eastAsia" w:ascii="宋体"/>
          <w:color w:val="auto"/>
          <w:sz w:val="24"/>
        </w:rPr>
        <w:t xml:space="preserve">（全称并加盖公章）：                  </w:t>
      </w:r>
    </w:p>
    <w:p>
      <w:pPr>
        <w:widowControl/>
        <w:spacing w:line="360" w:lineRule="atLeast"/>
        <w:ind w:firstLine="470" w:firstLineChars="196"/>
        <w:jc w:val="left"/>
        <w:rPr>
          <w:rFonts w:ascii="宋体"/>
          <w:color w:val="auto"/>
          <w:sz w:val="24"/>
        </w:rPr>
      </w:pPr>
      <w:r>
        <w:rPr>
          <w:rFonts w:hint="eastAsia" w:ascii="宋体"/>
          <w:color w:val="auto"/>
          <w:sz w:val="24"/>
        </w:rPr>
        <w:t xml:space="preserve">法定代表人或授权代理人（签字）：              </w:t>
      </w:r>
    </w:p>
    <w:p>
      <w:pPr>
        <w:widowControl/>
        <w:spacing w:line="360" w:lineRule="atLeast"/>
        <w:ind w:firstLine="470" w:firstLineChars="196"/>
        <w:jc w:val="left"/>
        <w:rPr>
          <w:rFonts w:hAnsi="宋体"/>
          <w:color w:val="auto"/>
          <w:sz w:val="24"/>
          <w:u w:val="single"/>
        </w:rPr>
      </w:pPr>
      <w:r>
        <w:rPr>
          <w:rFonts w:hint="eastAsia" w:ascii="宋体"/>
          <w:color w:val="auto"/>
          <w:sz w:val="24"/>
        </w:rPr>
        <w:t xml:space="preserve">日      期：        </w:t>
      </w:r>
      <w:r>
        <w:rPr>
          <w:rFonts w:hAnsi="宋体"/>
          <w:color w:val="auto"/>
          <w:sz w:val="24"/>
          <w:u w:val="single"/>
        </w:rPr>
        <w:t xml:space="preserve">                        </w:t>
      </w:r>
    </w:p>
    <w:p>
      <w:pPr>
        <w:spacing w:line="360" w:lineRule="auto"/>
        <w:rPr>
          <w:rFonts w:hAnsi="宋体"/>
          <w:bCs/>
          <w:color w:val="auto"/>
          <w:sz w:val="24"/>
        </w:rPr>
      </w:pPr>
    </w:p>
    <w:p>
      <w:pPr>
        <w:widowControl/>
        <w:spacing w:line="360" w:lineRule="atLeast"/>
        <w:ind w:firstLine="470" w:firstLineChars="196"/>
        <w:jc w:val="left"/>
        <w:rPr>
          <w:rFonts w:ascii="黑体" w:eastAsia="黑体"/>
          <w:b/>
          <w:color w:val="auto"/>
          <w:sz w:val="32"/>
          <w:szCs w:val="32"/>
        </w:rPr>
      </w:pPr>
      <w:r>
        <w:rPr>
          <w:rFonts w:hint="eastAsia" w:ascii="宋体"/>
          <w:color w:val="auto"/>
          <w:sz w:val="24"/>
        </w:rPr>
        <w:t>注：1.可自行提供具有有效签字和盖章的格式，但承诺函的内容至少应该包含本格式中涉及的承诺内容。</w:t>
      </w:r>
    </w:p>
    <w:p>
      <w:pPr>
        <w:spacing w:line="360" w:lineRule="auto"/>
        <w:rPr>
          <w:rFonts w:hAnsi="宋体"/>
          <w:bCs/>
          <w:color w:val="auto"/>
          <w:sz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11.</w:t>
      </w:r>
    </w:p>
    <w:p>
      <w:pPr>
        <w:pStyle w:val="2"/>
        <w:numPr>
          <w:ilvl w:val="1"/>
          <w:numId w:val="0"/>
        </w:numPr>
        <w:jc w:val="center"/>
        <w:rPr>
          <w:rFonts w:ascii="宋体" w:hAnsi="宋体"/>
          <w:color w:val="auto"/>
          <w:sz w:val="28"/>
          <w:szCs w:val="28"/>
        </w:rPr>
      </w:pPr>
      <w:r>
        <w:rPr>
          <w:rFonts w:hint="eastAsia" w:ascii="宋体" w:hAnsi="宋体"/>
          <w:color w:val="auto"/>
          <w:sz w:val="28"/>
          <w:szCs w:val="28"/>
        </w:rPr>
        <w:t>符合资格要求的相关资格证明材料</w:t>
      </w:r>
    </w:p>
    <w:p>
      <w:pPr>
        <w:spacing w:line="360" w:lineRule="auto"/>
        <w:ind w:firstLine="540" w:firstLineChars="225"/>
        <w:rPr>
          <w:rFonts w:ascii="宋体" w:cs="Arial"/>
          <w:color w:val="auto"/>
          <w:kern w:val="0"/>
          <w:sz w:val="24"/>
        </w:rPr>
      </w:pPr>
      <w:r>
        <w:rPr>
          <w:rFonts w:hint="eastAsia" w:ascii="宋体" w:cs="Arial"/>
          <w:color w:val="auto"/>
          <w:kern w:val="0"/>
          <w:sz w:val="24"/>
        </w:rPr>
        <w:t>根据</w:t>
      </w:r>
      <w:r>
        <w:rPr>
          <w:rFonts w:hint="eastAsia" w:ascii="宋体" w:cs="Arial"/>
          <w:color w:val="auto"/>
          <w:kern w:val="0"/>
          <w:sz w:val="24"/>
          <w:lang w:val="en-US" w:eastAsia="zh-CN"/>
        </w:rPr>
        <w:t>采购</w:t>
      </w:r>
      <w:r>
        <w:rPr>
          <w:rFonts w:hint="eastAsia" w:ascii="宋体" w:cs="Arial"/>
          <w:color w:val="auto"/>
          <w:kern w:val="0"/>
          <w:sz w:val="24"/>
        </w:rPr>
        <w:t>文件第二章的要求，</w:t>
      </w:r>
      <w:r>
        <w:rPr>
          <w:rFonts w:hint="eastAsia" w:ascii="宋体" w:cs="Arial"/>
          <w:color w:val="auto"/>
          <w:kern w:val="0"/>
          <w:sz w:val="24"/>
          <w:lang w:eastAsia="zh-CN"/>
        </w:rPr>
        <w:t>提供</w:t>
      </w:r>
      <w:r>
        <w:rPr>
          <w:rFonts w:hint="eastAsia" w:ascii="宋体" w:cs="Arial"/>
          <w:color w:val="auto"/>
          <w:kern w:val="0"/>
          <w:sz w:val="24"/>
        </w:rPr>
        <w:t>全部相关证明材料。</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color w:val="auto"/>
          <w:sz w:val="28"/>
          <w:szCs w:val="28"/>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12.</w:t>
      </w:r>
    </w:p>
    <w:p>
      <w:pPr>
        <w:pStyle w:val="2"/>
        <w:numPr>
          <w:ilvl w:val="1"/>
          <w:numId w:val="0"/>
        </w:numPr>
        <w:jc w:val="center"/>
        <w:rPr>
          <w:rFonts w:ascii="宋体" w:hAnsi="宋体"/>
          <w:color w:val="auto"/>
          <w:sz w:val="28"/>
          <w:szCs w:val="28"/>
        </w:rPr>
      </w:pPr>
      <w:r>
        <w:rPr>
          <w:rFonts w:hint="eastAsia" w:ascii="宋体" w:hAnsi="宋体"/>
          <w:color w:val="auto"/>
          <w:sz w:val="28"/>
          <w:szCs w:val="28"/>
          <w:lang w:val="en-US" w:eastAsia="zh-CN"/>
        </w:rPr>
        <w:t>供应商</w:t>
      </w:r>
      <w:r>
        <w:rPr>
          <w:rFonts w:hint="eastAsia" w:ascii="宋体" w:hAnsi="宋体"/>
          <w:color w:val="auto"/>
          <w:sz w:val="28"/>
          <w:szCs w:val="28"/>
        </w:rPr>
        <w:t>认为还需提供的其他材料</w:t>
      </w:r>
    </w:p>
    <w:p>
      <w:pPr>
        <w:pStyle w:val="6"/>
        <w:rPr>
          <w:color w:val="auto"/>
        </w:rPr>
      </w:pPr>
      <w:r>
        <w:rPr>
          <w:rFonts w:hint="eastAsia"/>
          <w:color w:val="auto"/>
        </w:rPr>
        <w:t>根据</w:t>
      </w:r>
      <w:r>
        <w:rPr>
          <w:rFonts w:hint="eastAsia"/>
          <w:color w:val="auto"/>
          <w:lang w:val="en-US" w:eastAsia="zh-CN"/>
        </w:rPr>
        <w:t>采购</w:t>
      </w:r>
      <w:r>
        <w:rPr>
          <w:rFonts w:hint="eastAsia"/>
          <w:color w:val="auto"/>
        </w:rPr>
        <w:t>文件的相关要求认为还需提供的其他材料。</w:t>
      </w: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仿宋" w:hAnsi="仿宋" w:eastAsia="仿宋"/>
          <w:color w:val="auto"/>
          <w:sz w:val="24"/>
          <w:szCs w:val="24"/>
        </w:rPr>
      </w:pPr>
    </w:p>
    <w:p>
      <w:pPr>
        <w:spacing w:before="120"/>
        <w:outlineLvl w:val="9"/>
        <w:rPr>
          <w:rFonts w:hint="eastAsia" w:ascii="宋体" w:hAnsi="宋体" w:eastAsia="黑体" w:cs="Times New Roman"/>
          <w:b/>
          <w:bCs/>
          <w:color w:val="auto"/>
          <w:kern w:val="2"/>
          <w:sz w:val="28"/>
          <w:szCs w:val="28"/>
          <w:lang w:val="en-US" w:eastAsia="zh-CN" w:bidi="ar-SA"/>
        </w:rPr>
      </w:pPr>
      <w:r>
        <w:rPr>
          <w:rFonts w:hint="eastAsia" w:ascii="仿宋" w:hAnsi="仿宋" w:eastAsia="仿宋"/>
          <w:color w:val="auto"/>
          <w:sz w:val="24"/>
          <w:szCs w:val="24"/>
        </w:rPr>
        <w:t>格式</w:t>
      </w:r>
      <w:r>
        <w:rPr>
          <w:rFonts w:hint="eastAsia" w:ascii="仿宋" w:hAnsi="仿宋" w:eastAsia="仿宋"/>
          <w:color w:val="auto"/>
          <w:sz w:val="24"/>
          <w:szCs w:val="24"/>
          <w:lang w:val="en-US" w:eastAsia="zh-CN"/>
        </w:rPr>
        <w:t>4</w:t>
      </w:r>
      <w:r>
        <w:rPr>
          <w:rFonts w:hint="eastAsia" w:ascii="仿宋" w:hAnsi="仿宋" w:eastAsia="仿宋"/>
          <w:color w:val="auto"/>
          <w:sz w:val="24"/>
          <w:szCs w:val="24"/>
        </w:rPr>
        <w:t>-</w:t>
      </w:r>
      <w:r>
        <w:rPr>
          <w:rFonts w:hint="eastAsia" w:ascii="仿宋" w:hAnsi="仿宋" w:eastAsia="仿宋"/>
          <w:color w:val="auto"/>
          <w:sz w:val="24"/>
          <w:szCs w:val="24"/>
          <w:lang w:val="en-US" w:eastAsia="zh-CN"/>
        </w:rPr>
        <w:t>13.</w:t>
      </w:r>
      <w:r>
        <w:rPr>
          <w:rFonts w:hint="eastAsia" w:ascii="仿宋" w:hAnsi="仿宋" w:eastAsia="仿宋"/>
          <w:color w:val="auto"/>
          <w:sz w:val="24"/>
          <w:szCs w:val="24"/>
        </w:rPr>
        <w:t xml:space="preserve"> </w:t>
      </w:r>
    </w:p>
    <w:p>
      <w:pPr>
        <w:spacing w:before="229" w:line="229" w:lineRule="auto"/>
        <w:jc w:val="center"/>
        <w:outlineLvl w:val="9"/>
        <w:rPr>
          <w:rFonts w:hint="eastAsia" w:ascii="宋体" w:hAnsi="宋体" w:eastAsia="黑体" w:cs="Times New Roman"/>
          <w:b/>
          <w:bCs/>
          <w:color w:val="auto"/>
          <w:kern w:val="2"/>
          <w:sz w:val="28"/>
          <w:szCs w:val="28"/>
          <w:lang w:val="en-US" w:eastAsia="zh-CN" w:bidi="ar-SA"/>
        </w:rPr>
      </w:pPr>
      <w:r>
        <w:rPr>
          <w:rFonts w:hint="eastAsia" w:ascii="宋体" w:hAnsi="宋体" w:eastAsia="黑体" w:cs="Times New Roman"/>
          <w:b/>
          <w:bCs/>
          <w:color w:val="auto"/>
          <w:kern w:val="2"/>
          <w:sz w:val="28"/>
          <w:szCs w:val="28"/>
          <w:lang w:val="en-US" w:eastAsia="zh-CN" w:bidi="ar-SA"/>
        </w:rPr>
        <w:t>最后报价单 （另附)</w:t>
      </w:r>
    </w:p>
    <w:p>
      <w:pPr>
        <w:widowControl/>
        <w:spacing w:line="360" w:lineRule="atLeast"/>
        <w:ind w:firstLine="480" w:firstLineChars="200"/>
        <w:jc w:val="left"/>
        <w:rPr>
          <w:rFonts w:hint="eastAsia" w:ascii="宋体"/>
          <w:color w:val="auto"/>
          <w:sz w:val="24"/>
        </w:rPr>
      </w:pPr>
      <w:r>
        <w:rPr>
          <w:rFonts w:hint="eastAsia" w:ascii="宋体"/>
          <w:color w:val="auto"/>
          <w:sz w:val="24"/>
        </w:rPr>
        <w:t xml:space="preserve">我方在参加 </w:t>
      </w:r>
      <w:r>
        <w:rPr>
          <w:rFonts w:hint="eastAsia" w:ascii="宋体"/>
          <w:color w:val="auto"/>
          <w:sz w:val="24"/>
          <w:u w:val="single"/>
        </w:rPr>
        <w:t xml:space="preserve">             </w:t>
      </w:r>
      <w:r>
        <w:rPr>
          <w:rFonts w:hint="eastAsia" w:ascii="宋体"/>
          <w:color w:val="auto"/>
          <w:sz w:val="24"/>
        </w:rPr>
        <w:t xml:space="preserve"> 项目 </w:t>
      </w:r>
      <w:r>
        <w:rPr>
          <w:rFonts w:hint="eastAsia" w:ascii="宋体"/>
          <w:color w:val="auto"/>
          <w:sz w:val="24"/>
          <w:lang w:eastAsia="zh-CN"/>
        </w:rPr>
        <w:t>（</w:t>
      </w:r>
      <w:r>
        <w:rPr>
          <w:rFonts w:hint="eastAsia" w:ascii="宋体"/>
          <w:color w:val="auto"/>
          <w:sz w:val="24"/>
        </w:rPr>
        <w:t>项目编号：</w:t>
      </w:r>
      <w:r>
        <w:rPr>
          <w:rFonts w:hint="eastAsia" w:ascii="宋体"/>
          <w:color w:val="auto"/>
          <w:sz w:val="24"/>
          <w:u w:val="single"/>
        </w:rPr>
        <w:t xml:space="preserve">          </w:t>
      </w:r>
      <w:r>
        <w:rPr>
          <w:rFonts w:hint="eastAsia" w:ascii="宋体"/>
          <w:color w:val="auto"/>
          <w:sz w:val="24"/>
        </w:rPr>
        <w:t>) 采购活动，并与</w:t>
      </w:r>
      <w:r>
        <w:rPr>
          <w:rFonts w:hint="eastAsia" w:ascii="宋体"/>
          <w:color w:val="auto"/>
          <w:sz w:val="24"/>
          <w:lang w:val="en-US" w:eastAsia="zh-CN"/>
        </w:rPr>
        <w:t>协商</w:t>
      </w:r>
      <w:r>
        <w:rPr>
          <w:rFonts w:hint="eastAsia" w:ascii="宋体"/>
          <w:color w:val="auto"/>
          <w:sz w:val="24"/>
        </w:rPr>
        <w:t>小组进行</w:t>
      </w:r>
      <w:r>
        <w:rPr>
          <w:rFonts w:hint="eastAsia" w:ascii="宋体"/>
          <w:color w:val="auto"/>
          <w:sz w:val="24"/>
          <w:lang w:val="en-US" w:eastAsia="zh-CN"/>
        </w:rPr>
        <w:t>协商</w:t>
      </w:r>
      <w:r>
        <w:rPr>
          <w:rFonts w:hint="eastAsia" w:ascii="宋体"/>
          <w:color w:val="auto"/>
          <w:sz w:val="24"/>
        </w:rPr>
        <w:t>后，我方经慎重考虑，现对本次</w:t>
      </w:r>
      <w:r>
        <w:rPr>
          <w:rFonts w:hint="eastAsia" w:ascii="宋体"/>
          <w:color w:val="auto"/>
          <w:sz w:val="24"/>
          <w:lang w:val="en-US" w:eastAsia="zh-CN"/>
        </w:rPr>
        <w:t>协商</w:t>
      </w:r>
      <w:r>
        <w:rPr>
          <w:rFonts w:hint="eastAsia" w:ascii="宋体"/>
          <w:color w:val="auto"/>
          <w:sz w:val="24"/>
        </w:rPr>
        <w:t>进行最后报价，最后报价如下：</w:t>
      </w:r>
    </w:p>
    <w:p>
      <w:pPr>
        <w:spacing w:line="252" w:lineRule="auto"/>
        <w:outlineLvl w:val="9"/>
        <w:rPr>
          <w:color w:val="auto"/>
        </w:rPr>
      </w:pPr>
    </w:p>
    <w:tbl>
      <w:tblPr>
        <w:tblStyle w:val="32"/>
        <w:tblW w:w="938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0"/>
        <w:gridCol w:w="66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caps/>
                <w:snapToGrid w:val="0"/>
                <w:color w:val="auto"/>
              </w:rPr>
            </w:pPr>
            <w:r>
              <w:rPr>
                <w:rFonts w:hint="eastAsia" w:ascii="宋体" w:hAnsi="宋体" w:cs="宋体"/>
                <w:snapToGrid w:val="0"/>
                <w:color w:val="auto"/>
              </w:rPr>
              <w:t>项目名称</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项目编号</w:t>
            </w:r>
          </w:p>
        </w:tc>
        <w:tc>
          <w:tcPr>
            <w:tcW w:w="6649" w:type="dxa"/>
            <w:vAlign w:val="center"/>
          </w:tcPr>
          <w:p>
            <w:pPr>
              <w:snapToGrid w:val="0"/>
              <w:jc w:val="center"/>
              <w:rPr>
                <w:rFonts w:ascii="宋体" w:hAnsi="宋体" w:cs="宋体"/>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b/>
                <w:snapToGrid w:val="0"/>
                <w:color w:val="auto"/>
              </w:rPr>
            </w:pPr>
            <w:r>
              <w:rPr>
                <w:rFonts w:hint="eastAsia" w:ascii="宋体" w:hAnsi="宋体" w:cs="宋体"/>
                <w:snapToGrid w:val="0"/>
                <w:color w:val="auto"/>
              </w:rPr>
              <w:t>供应商名称</w:t>
            </w:r>
          </w:p>
        </w:tc>
        <w:tc>
          <w:tcPr>
            <w:tcW w:w="6649" w:type="dxa"/>
            <w:vAlign w:val="center"/>
          </w:tcPr>
          <w:p>
            <w:pPr>
              <w:snapToGrid w:val="0"/>
              <w:jc w:val="center"/>
              <w:rPr>
                <w:rFonts w:ascii="宋体" w:hAnsi="宋体" w:cs="宋体"/>
                <w:b/>
                <w:snapToGrid w:val="0"/>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9" w:hRule="atLeast"/>
          <w:jc w:val="center"/>
        </w:trPr>
        <w:tc>
          <w:tcPr>
            <w:tcW w:w="2740" w:type="dxa"/>
            <w:vAlign w:val="center"/>
          </w:tcPr>
          <w:p>
            <w:pPr>
              <w:snapToGrid w:val="0"/>
              <w:jc w:val="center"/>
              <w:rPr>
                <w:rFonts w:ascii="宋体" w:hAnsi="宋体" w:cs="宋体"/>
                <w:snapToGrid w:val="0"/>
                <w:color w:val="auto"/>
              </w:rPr>
            </w:pPr>
            <w:r>
              <w:rPr>
                <w:rFonts w:hint="eastAsia" w:ascii="宋体" w:hAnsi="宋体" w:cs="宋体"/>
                <w:snapToGrid w:val="0"/>
                <w:color w:val="auto"/>
              </w:rPr>
              <w:t>单一来源报价</w:t>
            </w:r>
          </w:p>
        </w:tc>
        <w:tc>
          <w:tcPr>
            <w:tcW w:w="6649" w:type="dxa"/>
            <w:vAlign w:val="bottom"/>
          </w:tcPr>
          <w:p>
            <w:pPr>
              <w:snapToGrid w:val="0"/>
              <w:jc w:val="both"/>
              <w:rPr>
                <w:rFonts w:ascii="宋体" w:hAnsi="宋体" w:cs="宋体"/>
                <w:snapToGrid w:val="0"/>
                <w:color w:val="auto"/>
              </w:rPr>
            </w:pPr>
            <w:r>
              <w:rPr>
                <w:rFonts w:hint="eastAsia" w:ascii="宋体" w:hAnsi="宋体" w:cs="宋体"/>
                <w:snapToGrid w:val="0"/>
                <w:color w:val="auto"/>
              </w:rPr>
              <w:t>（大写：</w:t>
            </w:r>
            <w:r>
              <w:rPr>
                <w:rFonts w:hint="eastAsia" w:ascii="宋体" w:hAnsi="宋体" w:cs="宋体"/>
                <w:snapToGrid w:val="0"/>
                <w:color w:val="auto"/>
                <w:u w:val="single"/>
              </w:rPr>
              <w:t xml:space="preserve">                               </w:t>
            </w:r>
            <w:r>
              <w:rPr>
                <w:rFonts w:hint="eastAsia" w:ascii="宋体" w:hAnsi="宋体" w:cs="宋体"/>
                <w:snapToGrid w:val="0"/>
                <w:color w:val="auto"/>
              </w:rPr>
              <w:t>）</w:t>
            </w:r>
          </w:p>
          <w:p>
            <w:pPr>
              <w:snapToGrid w:val="0"/>
              <w:rPr>
                <w:rFonts w:ascii="宋体" w:hAnsi="宋体" w:cs="宋体"/>
                <w:snapToGrid w:val="0"/>
                <w:color w:val="auto"/>
              </w:rPr>
            </w:pPr>
            <w:r>
              <w:rPr>
                <w:rFonts w:hint="eastAsia" w:ascii="宋体" w:hAnsi="宋体" w:cs="宋体"/>
                <w:snapToGrid w:val="0"/>
                <w:color w:val="auto"/>
              </w:rPr>
              <w:t>（小写：</w:t>
            </w:r>
            <w:r>
              <w:rPr>
                <w:rFonts w:hint="eastAsia" w:ascii="宋体" w:hAnsi="宋体" w:cs="宋体"/>
                <w:snapToGrid w:val="0"/>
                <w:color w:val="auto"/>
                <w:u w:val="single"/>
              </w:rPr>
              <w:t xml:space="preserve">                               </w:t>
            </w:r>
            <w:r>
              <w:rPr>
                <w:rFonts w:hint="eastAsia" w:ascii="宋体" w:hAnsi="宋体" w:cs="宋体"/>
                <w:snapToGrid w:val="0"/>
                <w:color w:val="auto"/>
              </w:rPr>
              <w:t>）</w:t>
            </w:r>
          </w:p>
        </w:tc>
      </w:tr>
    </w:tbl>
    <w:p>
      <w:pPr>
        <w:widowControl/>
        <w:spacing w:line="360" w:lineRule="atLeast"/>
        <w:ind w:firstLine="480" w:firstLineChars="200"/>
        <w:jc w:val="left"/>
        <w:rPr>
          <w:rFonts w:hint="eastAsia" w:ascii="宋体" w:hAnsi="Times New Roman" w:eastAsia="宋体" w:cs="Times New Roman"/>
          <w:color w:val="auto"/>
          <w:sz w:val="24"/>
          <w:szCs w:val="22"/>
          <w:lang w:val="en-US" w:eastAsia="zh-CN"/>
        </w:rPr>
      </w:pPr>
      <w:r>
        <w:rPr>
          <w:rFonts w:hint="eastAsia" w:ascii="宋体" w:hAnsi="Times New Roman" w:eastAsia="宋体" w:cs="Times New Roman"/>
          <w:color w:val="auto"/>
          <w:sz w:val="24"/>
          <w:szCs w:val="22"/>
          <w:lang w:val="en-US" w:eastAsia="zh-CN"/>
        </w:rPr>
        <w:t>注：报价应是供应商完成全部服务的总价，包括人工费、保险、国内税费、招标代理等费用以及一切其它相关费用。</w:t>
      </w:r>
    </w:p>
    <w:p>
      <w:pPr>
        <w:pStyle w:val="15"/>
        <w:rPr>
          <w:rFonts w:hint="eastAsia"/>
          <w:color w:val="auto"/>
          <w:lang w:val="en-US" w:eastAsia="zh-CN"/>
        </w:rPr>
      </w:pPr>
    </w:p>
    <w:p>
      <w:pPr>
        <w:widowControl/>
        <w:spacing w:line="360" w:lineRule="atLeast"/>
        <w:jc w:val="left"/>
        <w:rPr>
          <w:rFonts w:ascii="宋体"/>
          <w:color w:val="auto"/>
          <w:sz w:val="24"/>
        </w:rPr>
      </w:pPr>
      <w:r>
        <w:rPr>
          <w:rFonts w:hint="eastAsia" w:ascii="宋体"/>
          <w:color w:val="auto"/>
          <w:sz w:val="24"/>
          <w:lang w:val="en-US" w:eastAsia="zh-CN"/>
        </w:rPr>
        <w:t>供应商名称</w:t>
      </w:r>
      <w:r>
        <w:rPr>
          <w:rFonts w:hint="eastAsia" w:ascii="宋体"/>
          <w:color w:val="auto"/>
          <w:sz w:val="24"/>
        </w:rPr>
        <w:t xml:space="preserve">（全称并加盖公章）：                  </w:t>
      </w:r>
    </w:p>
    <w:p>
      <w:pPr>
        <w:spacing w:line="360" w:lineRule="auto"/>
        <w:outlineLvl w:val="9"/>
        <w:rPr>
          <w:rFonts w:ascii="仿宋" w:hAnsi="仿宋" w:eastAsia="仿宋"/>
          <w:color w:val="auto"/>
          <w:sz w:val="24"/>
          <w:szCs w:val="24"/>
        </w:rPr>
      </w:pPr>
      <w:r>
        <w:rPr>
          <w:rFonts w:hint="eastAsia" w:ascii="宋体"/>
          <w:color w:val="auto"/>
          <w:sz w:val="24"/>
        </w:rPr>
        <w:t xml:space="preserve">法定代表人或授权代理人（签字）：     </w:t>
      </w:r>
      <w:r>
        <w:rPr>
          <w:rFonts w:hint="eastAsia" w:ascii="仿宋" w:hAnsi="仿宋" w:eastAsia="仿宋"/>
          <w:color w:val="auto"/>
          <w:sz w:val="24"/>
          <w:szCs w:val="24"/>
        </w:rPr>
        <w:t xml:space="preserve">      </w:t>
      </w:r>
    </w:p>
    <w:p>
      <w:pPr>
        <w:spacing w:line="360" w:lineRule="auto"/>
        <w:outlineLvl w:val="9"/>
        <w:rPr>
          <w:rFonts w:hint="eastAsia" w:ascii="宋体"/>
          <w:color w:val="auto"/>
          <w:sz w:val="24"/>
        </w:rPr>
      </w:pPr>
      <w:r>
        <w:rPr>
          <w:rFonts w:hint="eastAsia" w:ascii="宋体"/>
          <w:color w:val="auto"/>
          <w:sz w:val="24"/>
        </w:rPr>
        <w:t>日期：        年    月   日</w:t>
      </w:r>
    </w:p>
    <w:bookmarkEnd w:id="25"/>
    <w:p>
      <w:pPr>
        <w:spacing w:before="75" w:line="232" w:lineRule="auto"/>
        <w:ind w:firstLine="464" w:firstLineChars="200"/>
        <w:outlineLvl w:val="9"/>
        <w:rPr>
          <w:rFonts w:ascii="仿宋" w:hAnsi="仿宋" w:eastAsia="仿宋" w:cs="仿宋"/>
          <w:color w:val="auto"/>
          <w:spacing w:val="1"/>
          <w:sz w:val="23"/>
          <w:szCs w:val="23"/>
          <w14:textOutline w14:w="4356" w14:cap="sq" w14:cmpd="sng" w14:algn="ctr">
            <w14:solidFill>
              <w14:srgbClr w14:val="000000"/>
            </w14:solidFill>
            <w14:prstDash w14:val="solid"/>
            <w14:bevel/>
          </w14:textOutline>
        </w:rPr>
      </w:pPr>
      <w:bookmarkStart w:id="45" w:name="_Toc9658"/>
    </w:p>
    <w:p>
      <w:pPr>
        <w:spacing w:before="75" w:line="232" w:lineRule="auto"/>
        <w:ind w:firstLine="464" w:firstLineChars="200"/>
        <w:outlineLvl w:val="9"/>
        <w:rPr>
          <w:rFonts w:ascii="仿宋" w:hAnsi="仿宋" w:eastAsia="仿宋" w:cs="仿宋"/>
          <w:color w:val="auto"/>
          <w:sz w:val="23"/>
          <w:szCs w:val="23"/>
        </w:rPr>
      </w:pPr>
      <w:r>
        <w:rPr>
          <w:rFonts w:ascii="仿宋" w:hAnsi="仿宋" w:eastAsia="仿宋" w:cs="仿宋"/>
          <w:color w:val="auto"/>
          <w:spacing w:val="1"/>
          <w:sz w:val="23"/>
          <w:szCs w:val="23"/>
          <w14:textOutline w14:w="4356" w14:cap="sq" w14:cmpd="sng" w14:algn="ctr">
            <w14:solidFill>
              <w14:srgbClr w14:val="000000"/>
            </w14:solidFill>
            <w14:prstDash w14:val="solid"/>
            <w14:bevel/>
          </w14:textOutline>
        </w:rPr>
        <w:t>说明：</w:t>
      </w:r>
      <w:bookmarkEnd w:id="45"/>
    </w:p>
    <w:p>
      <w:pPr>
        <w:widowControl/>
        <w:spacing w:line="360" w:lineRule="atLeast"/>
        <w:jc w:val="left"/>
        <w:rPr>
          <w:rFonts w:hint="eastAsia" w:ascii="宋体"/>
          <w:color w:val="auto"/>
          <w:sz w:val="24"/>
          <w:lang w:val="en-US" w:eastAsia="zh-CN"/>
        </w:rPr>
      </w:pPr>
      <w:r>
        <w:rPr>
          <w:rFonts w:hint="eastAsia" w:ascii="宋体"/>
          <w:color w:val="auto"/>
          <w:sz w:val="24"/>
          <w:lang w:val="en-US" w:eastAsia="zh-CN"/>
        </w:rPr>
        <w:t>1、此页不作为响应文件的组成部分，可不附在响应文件中。</w:t>
      </w:r>
    </w:p>
    <w:p>
      <w:pPr>
        <w:widowControl/>
        <w:spacing w:line="360" w:lineRule="atLeast"/>
        <w:jc w:val="left"/>
        <w:rPr>
          <w:rFonts w:hint="eastAsia" w:ascii="宋体"/>
          <w:color w:val="auto"/>
          <w:sz w:val="24"/>
          <w:lang w:val="en-US" w:eastAsia="zh-CN"/>
        </w:rPr>
      </w:pPr>
      <w:r>
        <w:rPr>
          <w:rFonts w:hint="eastAsia" w:ascii="宋体"/>
          <w:color w:val="auto"/>
          <w:sz w:val="24"/>
          <w:lang w:val="en-US" w:eastAsia="zh-CN"/>
        </w:rPr>
        <w:t>2、供应商与协商小组进行协商后，供应商按照此格式自行提供最后报价，密封后在递交最后报价单时提交。</w:t>
      </w:r>
    </w:p>
    <w:p>
      <w:pPr>
        <w:pStyle w:val="77"/>
        <w:jc w:val="center"/>
        <w:outlineLvl w:val="9"/>
        <w:rPr>
          <w:b/>
          <w:color w:val="auto"/>
          <w:sz w:val="36"/>
        </w:rPr>
      </w:pPr>
    </w:p>
    <w:p>
      <w:pPr>
        <w:pStyle w:val="77"/>
        <w:jc w:val="center"/>
        <w:outlineLvl w:val="9"/>
        <w:rPr>
          <w:b/>
          <w:color w:val="auto"/>
          <w:sz w:val="36"/>
        </w:rPr>
      </w:pPr>
    </w:p>
    <w:p>
      <w:pPr>
        <w:pStyle w:val="77"/>
        <w:jc w:val="center"/>
        <w:outlineLvl w:val="9"/>
        <w:rPr>
          <w:b/>
          <w:color w:val="auto"/>
          <w:sz w:val="36"/>
        </w:rPr>
      </w:pPr>
    </w:p>
    <w:p>
      <w:pPr>
        <w:pStyle w:val="77"/>
        <w:jc w:val="center"/>
        <w:outlineLvl w:val="9"/>
        <w:rPr>
          <w:b/>
          <w:color w:val="auto"/>
          <w:sz w:val="36"/>
        </w:rPr>
      </w:pPr>
    </w:p>
    <w:p>
      <w:pPr>
        <w:pStyle w:val="77"/>
        <w:jc w:val="center"/>
        <w:outlineLvl w:val="9"/>
        <w:rPr>
          <w:b/>
          <w:color w:val="auto"/>
          <w:sz w:val="36"/>
        </w:rPr>
      </w:pPr>
    </w:p>
    <w:p>
      <w:pPr>
        <w:pStyle w:val="77"/>
        <w:jc w:val="center"/>
        <w:outlineLvl w:val="9"/>
        <w:rPr>
          <w:b/>
          <w:color w:val="auto"/>
          <w:sz w:val="36"/>
        </w:rPr>
      </w:pPr>
    </w:p>
    <w:p>
      <w:pPr>
        <w:pStyle w:val="77"/>
        <w:jc w:val="center"/>
        <w:outlineLvl w:val="9"/>
        <w:rPr>
          <w:b/>
          <w:color w:val="auto"/>
          <w:sz w:val="36"/>
        </w:rPr>
      </w:pPr>
    </w:p>
    <w:p>
      <w:pPr>
        <w:pStyle w:val="77"/>
        <w:jc w:val="center"/>
        <w:outlineLvl w:val="0"/>
        <w:rPr>
          <w:color w:val="auto"/>
        </w:rPr>
      </w:pPr>
      <w:bookmarkStart w:id="46" w:name="_Toc11217"/>
      <w:r>
        <w:rPr>
          <w:rFonts w:hint="eastAsia"/>
          <w:b/>
          <w:color w:val="auto"/>
          <w:sz w:val="36"/>
          <w:lang w:val="en-US" w:eastAsia="zh-CN"/>
        </w:rPr>
        <w:t xml:space="preserve">第五章 </w:t>
      </w:r>
      <w:r>
        <w:rPr>
          <w:b/>
          <w:color w:val="auto"/>
          <w:sz w:val="36"/>
        </w:rPr>
        <w:t>协商办法</w:t>
      </w:r>
      <w:bookmarkEnd w:id="46"/>
    </w:p>
    <w:p>
      <w:pPr>
        <w:pStyle w:val="77"/>
        <w:outlineLvl w:val="3"/>
        <w:rPr>
          <w:rFonts w:hint="eastAsia"/>
          <w:b/>
          <w:color w:val="auto"/>
          <w:sz w:val="24"/>
          <w:lang w:val="en-US" w:eastAsia="zh-CN"/>
        </w:rPr>
      </w:pPr>
      <w:r>
        <w:rPr>
          <w:rFonts w:hint="eastAsia"/>
          <w:b/>
          <w:color w:val="auto"/>
          <w:sz w:val="24"/>
          <w:lang w:val="en-US" w:eastAsia="zh-CN"/>
        </w:rPr>
        <w:t>（一）总则</w:t>
      </w:r>
    </w:p>
    <w:p>
      <w:pPr>
        <w:pStyle w:val="77"/>
        <w:ind w:firstLine="480"/>
        <w:rPr>
          <w:color w:val="auto"/>
        </w:rPr>
      </w:pPr>
      <w:r>
        <w:rPr>
          <w:rFonts w:hint="eastAsia"/>
          <w:color w:val="auto"/>
          <w:lang w:val="en-US" w:eastAsia="zh-CN"/>
        </w:rPr>
        <w:t>1、</w:t>
      </w:r>
      <w:r>
        <w:rPr>
          <w:color w:val="auto"/>
        </w:rPr>
        <w:t>根据《中华人民共和国政府采购法》《中华人民共和国政府采购法实施条例》《政府采购非招标采购方式管理办法》《四川省政府采购评审工作规程（修订）》等法律规章，结合采购项目特点制定本办法。</w:t>
      </w:r>
    </w:p>
    <w:p>
      <w:pPr>
        <w:pStyle w:val="77"/>
        <w:ind w:firstLine="480"/>
        <w:rPr>
          <w:color w:val="auto"/>
        </w:rPr>
      </w:pPr>
      <w:r>
        <w:rPr>
          <w:rFonts w:hint="eastAsia"/>
          <w:color w:val="auto"/>
          <w:lang w:val="en-US" w:eastAsia="zh-CN"/>
        </w:rPr>
        <w:t>2、</w:t>
      </w:r>
      <w:r>
        <w:rPr>
          <w:color w:val="auto"/>
        </w:rPr>
        <w:t>协商工作由</w:t>
      </w:r>
      <w:r>
        <w:rPr>
          <w:rFonts w:hint="eastAsia"/>
          <w:color w:val="auto"/>
          <w:lang w:val="en-US" w:eastAsia="zh-CN"/>
        </w:rPr>
        <w:t>采购人</w:t>
      </w:r>
      <w:r>
        <w:rPr>
          <w:color w:val="auto"/>
        </w:rPr>
        <w:t>负责组织，具体协商事务由协商小组负责。</w:t>
      </w:r>
    </w:p>
    <w:p>
      <w:pPr>
        <w:pStyle w:val="77"/>
        <w:outlineLvl w:val="3"/>
        <w:rPr>
          <w:rFonts w:hint="eastAsia"/>
          <w:b/>
          <w:color w:val="auto"/>
          <w:sz w:val="24"/>
          <w:lang w:val="en-US" w:eastAsia="zh-CN"/>
        </w:rPr>
      </w:pPr>
      <w:r>
        <w:rPr>
          <w:rFonts w:hint="eastAsia"/>
          <w:b/>
          <w:color w:val="auto"/>
          <w:sz w:val="24"/>
          <w:lang w:val="en-US" w:eastAsia="zh-CN"/>
        </w:rPr>
        <w:t>（二）协商程序</w:t>
      </w:r>
    </w:p>
    <w:p>
      <w:pPr>
        <w:pStyle w:val="77"/>
        <w:outlineLvl w:val="3"/>
        <w:rPr>
          <w:rFonts w:hint="eastAsia"/>
          <w:b/>
          <w:color w:val="auto"/>
          <w:sz w:val="24"/>
          <w:lang w:val="en-US" w:eastAsia="zh-CN"/>
        </w:rPr>
      </w:pPr>
      <w:r>
        <w:rPr>
          <w:rFonts w:hint="eastAsia"/>
          <w:b/>
          <w:color w:val="auto"/>
          <w:sz w:val="24"/>
          <w:lang w:val="en-US" w:eastAsia="zh-CN"/>
        </w:rPr>
        <w:t>1、协商小组</w:t>
      </w:r>
    </w:p>
    <w:p>
      <w:pPr>
        <w:pStyle w:val="77"/>
        <w:ind w:firstLine="480"/>
        <w:rPr>
          <w:color w:val="auto"/>
        </w:rPr>
      </w:pPr>
      <w:r>
        <w:rPr>
          <w:color w:val="auto"/>
        </w:rPr>
        <w:t xml:space="preserve"> 按《中华人民共和国政府采购法》的规定组建协商小组，本项目协商小组成员人数由采购人自行确定。</w:t>
      </w:r>
    </w:p>
    <w:p>
      <w:pPr>
        <w:pStyle w:val="77"/>
        <w:ind w:firstLine="480"/>
        <w:jc w:val="left"/>
        <w:rPr>
          <w:color w:val="auto"/>
        </w:rPr>
      </w:pPr>
      <w:r>
        <w:rPr>
          <w:color w:val="auto"/>
        </w:rPr>
        <w:t xml:space="preserve"> 协商小组按照单一来源采购文件规定的协商程序、评审方法和标准进行评审，并独立履行下列职责：</w:t>
      </w:r>
    </w:p>
    <w:p>
      <w:pPr>
        <w:pStyle w:val="77"/>
        <w:numPr>
          <w:ilvl w:val="0"/>
          <w:numId w:val="3"/>
        </w:numPr>
        <w:ind w:left="0" w:leftChars="0" w:firstLine="400" w:firstLineChars="200"/>
        <w:rPr>
          <w:color w:val="auto"/>
        </w:rPr>
      </w:pPr>
      <w:r>
        <w:rPr>
          <w:color w:val="auto"/>
        </w:rPr>
        <w:t>熟悉和理解单一来源采购文件；</w:t>
      </w:r>
    </w:p>
    <w:p>
      <w:pPr>
        <w:pStyle w:val="77"/>
        <w:numPr>
          <w:ilvl w:val="0"/>
          <w:numId w:val="3"/>
        </w:numPr>
        <w:ind w:left="0" w:leftChars="0" w:firstLine="400" w:firstLineChars="200"/>
        <w:rPr>
          <w:color w:val="auto"/>
        </w:rPr>
      </w:pPr>
      <w:r>
        <w:rPr>
          <w:color w:val="auto"/>
        </w:rPr>
        <w:t>审查供应商响应文件等是否满足单一来源采购文件要求，并作出评价；</w:t>
      </w:r>
    </w:p>
    <w:p>
      <w:pPr>
        <w:pStyle w:val="77"/>
        <w:numPr>
          <w:ilvl w:val="0"/>
          <w:numId w:val="3"/>
        </w:numPr>
        <w:ind w:left="0" w:leftChars="0" w:firstLine="400" w:firstLineChars="200"/>
        <w:rPr>
          <w:color w:val="auto"/>
        </w:rPr>
      </w:pPr>
      <w:r>
        <w:rPr>
          <w:color w:val="auto"/>
        </w:rPr>
        <w:t>根据需要要求</w:t>
      </w:r>
      <w:r>
        <w:rPr>
          <w:rFonts w:hint="eastAsia"/>
          <w:color w:val="auto"/>
          <w:lang w:val="en-US" w:eastAsia="zh-CN"/>
        </w:rPr>
        <w:t>采购人</w:t>
      </w:r>
      <w:r>
        <w:rPr>
          <w:color w:val="auto"/>
        </w:rPr>
        <w:t>对单一来源采购文件作出解释；根据需要要求供应商对响应文件有关事项作出澄清、说明或者更正；</w:t>
      </w:r>
    </w:p>
    <w:p>
      <w:pPr>
        <w:pStyle w:val="77"/>
        <w:numPr>
          <w:ilvl w:val="0"/>
          <w:numId w:val="3"/>
        </w:numPr>
        <w:ind w:left="0" w:leftChars="0" w:firstLine="400" w:firstLineChars="200"/>
        <w:rPr>
          <w:color w:val="auto"/>
        </w:rPr>
      </w:pPr>
      <w:r>
        <w:rPr>
          <w:color w:val="auto"/>
        </w:rPr>
        <w:t>推荐成交候选供应商，或者受采购人委托确定成交供应商；</w:t>
      </w:r>
    </w:p>
    <w:p>
      <w:pPr>
        <w:pStyle w:val="77"/>
        <w:numPr>
          <w:ilvl w:val="0"/>
          <w:numId w:val="3"/>
        </w:numPr>
        <w:ind w:left="0" w:leftChars="0" w:firstLine="400" w:firstLineChars="200"/>
        <w:rPr>
          <w:color w:val="auto"/>
        </w:rPr>
      </w:pPr>
      <w:r>
        <w:rPr>
          <w:color w:val="auto"/>
        </w:rPr>
        <w:t>起草资格审查报告、评审报告并进行签署；</w:t>
      </w:r>
    </w:p>
    <w:p>
      <w:pPr>
        <w:pStyle w:val="77"/>
        <w:numPr>
          <w:ilvl w:val="0"/>
          <w:numId w:val="3"/>
        </w:numPr>
        <w:ind w:left="0" w:leftChars="0" w:firstLine="400" w:firstLineChars="200"/>
        <w:rPr>
          <w:color w:val="auto"/>
        </w:rPr>
      </w:pPr>
      <w:r>
        <w:rPr>
          <w:color w:val="auto"/>
        </w:rPr>
        <w:t>向采购</w:t>
      </w:r>
      <w:r>
        <w:rPr>
          <w:rFonts w:hint="eastAsia"/>
          <w:color w:val="auto"/>
          <w:lang w:val="en-US" w:eastAsia="zh-CN"/>
        </w:rPr>
        <w:t>人</w:t>
      </w:r>
      <w:r>
        <w:rPr>
          <w:color w:val="auto"/>
        </w:rPr>
        <w:t>监督部门报告非法干预评审工作的行为；</w:t>
      </w:r>
    </w:p>
    <w:p>
      <w:pPr>
        <w:pStyle w:val="77"/>
        <w:numPr>
          <w:ilvl w:val="0"/>
          <w:numId w:val="3"/>
        </w:numPr>
        <w:ind w:left="0" w:leftChars="0" w:firstLine="400" w:firstLineChars="200"/>
        <w:rPr>
          <w:color w:val="auto"/>
        </w:rPr>
      </w:pPr>
      <w:r>
        <w:rPr>
          <w:color w:val="auto"/>
        </w:rPr>
        <w:t>法律、法规和规章规定的其他职责。</w:t>
      </w:r>
    </w:p>
    <w:p>
      <w:pPr>
        <w:pStyle w:val="77"/>
        <w:outlineLvl w:val="3"/>
        <w:rPr>
          <w:b/>
          <w:color w:val="auto"/>
          <w:sz w:val="24"/>
        </w:rPr>
      </w:pPr>
      <w:r>
        <w:rPr>
          <w:rFonts w:hint="eastAsia"/>
          <w:b/>
          <w:color w:val="auto"/>
          <w:sz w:val="24"/>
          <w:lang w:val="en-US" w:eastAsia="zh-CN"/>
        </w:rPr>
        <w:t>2、</w:t>
      </w:r>
      <w:r>
        <w:rPr>
          <w:b/>
          <w:color w:val="auto"/>
          <w:sz w:val="24"/>
        </w:rPr>
        <w:t>熟悉和理解采购文件和停止评审</w:t>
      </w:r>
    </w:p>
    <w:p>
      <w:pPr>
        <w:pStyle w:val="77"/>
        <w:ind w:firstLine="480"/>
        <w:rPr>
          <w:color w:val="auto"/>
        </w:rPr>
      </w:pPr>
      <w:r>
        <w:rPr>
          <w:rFonts w:hint="eastAsia"/>
          <w:color w:val="auto"/>
          <w:lang w:val="en-US" w:eastAsia="zh-CN"/>
        </w:rPr>
        <w:t>①</w:t>
      </w:r>
      <w:r>
        <w:rPr>
          <w:color w:val="auto"/>
        </w:rPr>
        <w:t>协商小组正式评审前，应当对</w:t>
      </w:r>
      <w:r>
        <w:rPr>
          <w:rFonts w:hint="eastAsia"/>
          <w:color w:val="auto"/>
          <w:lang w:val="en-US" w:eastAsia="zh-CN"/>
        </w:rPr>
        <w:t>采购</w:t>
      </w:r>
      <w:r>
        <w:rPr>
          <w:color w:val="auto"/>
        </w:rPr>
        <w:t>文件进行熟悉和理解，内容主要包括采购文件中供应商资格条件要求、采购项目技术、服务和商务要求</w:t>
      </w:r>
      <w:r>
        <w:rPr>
          <w:rFonts w:hint="eastAsia"/>
          <w:color w:val="auto"/>
          <w:lang w:val="en-US" w:eastAsia="zh-CN"/>
        </w:rPr>
        <w:t>以及</w:t>
      </w:r>
      <w:r>
        <w:rPr>
          <w:color w:val="auto"/>
        </w:rPr>
        <w:t>采购合同主要条款等。</w:t>
      </w:r>
    </w:p>
    <w:p>
      <w:pPr>
        <w:pStyle w:val="77"/>
        <w:ind w:firstLine="480"/>
        <w:rPr>
          <w:color w:val="auto"/>
        </w:rPr>
      </w:pPr>
      <w:r>
        <w:rPr>
          <w:rFonts w:hint="eastAsia"/>
          <w:color w:val="auto"/>
          <w:lang w:val="en-US" w:eastAsia="zh-CN"/>
        </w:rPr>
        <w:t>②</w:t>
      </w:r>
      <w:r>
        <w:rPr>
          <w:color w:val="auto"/>
        </w:rPr>
        <w:t>本采购文件有下列情形之一的，协商小组应当停止评审：</w:t>
      </w:r>
    </w:p>
    <w:p>
      <w:pPr>
        <w:pStyle w:val="77"/>
        <w:ind w:firstLine="480"/>
        <w:rPr>
          <w:color w:val="auto"/>
        </w:rPr>
      </w:pPr>
      <w:r>
        <w:rPr>
          <w:rFonts w:hint="eastAsia"/>
          <w:color w:val="auto"/>
          <w:lang w:val="en-US" w:eastAsia="zh-CN"/>
        </w:rPr>
        <w:t>2.1</w:t>
      </w:r>
      <w:r>
        <w:rPr>
          <w:color w:val="auto"/>
        </w:rPr>
        <w:t>采购文件的规定存在歧义、重大缺陷的；</w:t>
      </w:r>
    </w:p>
    <w:p>
      <w:pPr>
        <w:pStyle w:val="77"/>
        <w:ind w:firstLine="480"/>
        <w:rPr>
          <w:color w:val="auto"/>
        </w:rPr>
      </w:pPr>
      <w:r>
        <w:rPr>
          <w:rFonts w:hint="eastAsia"/>
          <w:color w:val="auto"/>
          <w:lang w:val="en-US" w:eastAsia="zh-CN"/>
        </w:rPr>
        <w:t>2.2</w:t>
      </w:r>
      <w:r>
        <w:rPr>
          <w:color w:val="auto"/>
        </w:rPr>
        <w:t>采购文件明显以不合理条件对供应商实行差别待遇或者歧视待遇的；</w:t>
      </w:r>
    </w:p>
    <w:p>
      <w:pPr>
        <w:pStyle w:val="77"/>
        <w:ind w:firstLine="480"/>
        <w:rPr>
          <w:color w:val="auto"/>
        </w:rPr>
      </w:pPr>
      <w:r>
        <w:rPr>
          <w:rFonts w:hint="eastAsia"/>
          <w:color w:val="auto"/>
          <w:lang w:val="en-US" w:eastAsia="zh-CN"/>
        </w:rPr>
        <w:t>2.3</w:t>
      </w:r>
      <w:r>
        <w:rPr>
          <w:color w:val="auto"/>
        </w:rPr>
        <w:t>采购文件有违反国家其他有关强制性规定的情形。</w:t>
      </w:r>
    </w:p>
    <w:p>
      <w:pPr>
        <w:pStyle w:val="77"/>
        <w:ind w:firstLine="480"/>
        <w:rPr>
          <w:color w:val="auto"/>
        </w:rPr>
      </w:pPr>
      <w:r>
        <w:rPr>
          <w:color w:val="auto"/>
        </w:rPr>
        <w:t>出现上述应当停止评审情形的，协商小组应当向采购</w:t>
      </w:r>
      <w:r>
        <w:rPr>
          <w:rFonts w:hint="eastAsia"/>
          <w:color w:val="auto"/>
          <w:lang w:val="en-US" w:eastAsia="zh-CN"/>
        </w:rPr>
        <w:t>人</w:t>
      </w:r>
      <w:r>
        <w:rPr>
          <w:color w:val="auto"/>
        </w:rPr>
        <w:t>提交相关说明材料，说明停止评审的情形和具体理由。除上述情形外，协商小组不得以任何方式和理由停止评审。</w:t>
      </w:r>
    </w:p>
    <w:p>
      <w:pPr>
        <w:pStyle w:val="77"/>
        <w:outlineLvl w:val="3"/>
        <w:rPr>
          <w:color w:val="auto"/>
        </w:rPr>
      </w:pPr>
      <w:r>
        <w:rPr>
          <w:rFonts w:hint="eastAsia"/>
          <w:b/>
          <w:color w:val="auto"/>
          <w:sz w:val="24"/>
          <w:lang w:eastAsia="zh-CN"/>
        </w:rPr>
        <w:t>（</w:t>
      </w:r>
      <w:r>
        <w:rPr>
          <w:rFonts w:hint="eastAsia"/>
          <w:b/>
          <w:color w:val="auto"/>
          <w:sz w:val="24"/>
          <w:lang w:val="en-US" w:eastAsia="zh-CN"/>
        </w:rPr>
        <w:t>三</w:t>
      </w:r>
      <w:r>
        <w:rPr>
          <w:rFonts w:hint="eastAsia"/>
          <w:b/>
          <w:color w:val="auto"/>
          <w:sz w:val="24"/>
          <w:lang w:eastAsia="zh-CN"/>
        </w:rPr>
        <w:t>）</w:t>
      </w:r>
      <w:r>
        <w:rPr>
          <w:b/>
          <w:color w:val="auto"/>
          <w:sz w:val="24"/>
        </w:rPr>
        <w:t>资格审查</w:t>
      </w:r>
    </w:p>
    <w:p>
      <w:pPr>
        <w:pStyle w:val="77"/>
        <w:outlineLvl w:val="3"/>
        <w:rPr>
          <w:color w:val="auto"/>
        </w:rPr>
      </w:pPr>
      <w:r>
        <w:rPr>
          <w:rFonts w:hint="eastAsia"/>
          <w:b/>
          <w:color w:val="auto"/>
          <w:sz w:val="24"/>
          <w:lang w:val="en-US" w:eastAsia="zh-CN"/>
        </w:rPr>
        <w:t>1、</w:t>
      </w:r>
      <w:r>
        <w:rPr>
          <w:b/>
          <w:color w:val="auto"/>
          <w:sz w:val="24"/>
        </w:rPr>
        <w:t>一般资格审查</w:t>
      </w:r>
    </w:p>
    <w:p>
      <w:pPr>
        <w:pStyle w:val="77"/>
        <w:ind w:firstLine="480"/>
        <w:rPr>
          <w:color w:val="auto"/>
        </w:rPr>
      </w:pPr>
      <w:r>
        <w:rPr>
          <w:color w:val="auto"/>
        </w:rPr>
        <w:t>采购包1：</w:t>
      </w:r>
    </w:p>
    <w:p>
      <w:pPr>
        <w:pStyle w:val="77"/>
        <w:ind w:firstLine="480"/>
        <w:rPr>
          <w:color w:val="auto"/>
        </w:rPr>
      </w:pPr>
      <w:r>
        <w:rPr>
          <w:rFonts w:hint="eastAsia"/>
          <w:color w:val="auto"/>
        </w:rPr>
        <w:t>资格性检查。依据</w:t>
      </w:r>
      <w:r>
        <w:rPr>
          <w:rFonts w:hint="eastAsia"/>
          <w:color w:val="auto"/>
          <w:lang w:val="en-US" w:eastAsia="zh-CN"/>
        </w:rPr>
        <w:t>采购</w:t>
      </w:r>
      <w:r>
        <w:rPr>
          <w:rFonts w:hint="eastAsia"/>
          <w:color w:val="auto"/>
        </w:rPr>
        <w:t>文件的规定，对</w:t>
      </w:r>
      <w:r>
        <w:rPr>
          <w:rFonts w:hint="eastAsia"/>
          <w:color w:val="auto"/>
          <w:lang w:val="en-US" w:eastAsia="zh-CN"/>
        </w:rPr>
        <w:t>响应</w:t>
      </w:r>
      <w:r>
        <w:rPr>
          <w:rFonts w:hint="eastAsia"/>
          <w:color w:val="auto"/>
        </w:rPr>
        <w:t>文件中的资格证明文件进行审查，以确定</w:t>
      </w:r>
      <w:r>
        <w:rPr>
          <w:rFonts w:hint="eastAsia"/>
          <w:color w:val="auto"/>
          <w:lang w:val="en-US" w:eastAsia="zh-CN"/>
        </w:rPr>
        <w:t>供应商</w:t>
      </w:r>
      <w:r>
        <w:rPr>
          <w:rFonts w:hint="eastAsia"/>
          <w:color w:val="auto"/>
        </w:rPr>
        <w:t>是否具备资格。</w:t>
      </w:r>
      <w:r>
        <w:rPr>
          <w:rFonts w:hint="eastAsia"/>
          <w:color w:val="auto"/>
          <w:lang w:val="en-US" w:eastAsia="zh-CN"/>
        </w:rPr>
        <w:t>资格</w:t>
      </w:r>
      <w:r>
        <w:rPr>
          <w:color w:val="auto"/>
        </w:rPr>
        <w:t>审查标准见下表（按以下顺序审查）</w:t>
      </w:r>
    </w:p>
    <w:tbl>
      <w:tblPr>
        <w:tblStyle w:val="32"/>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954"/>
        <w:gridCol w:w="992"/>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序号</w:t>
            </w:r>
          </w:p>
        </w:tc>
        <w:tc>
          <w:tcPr>
            <w:tcW w:w="5954" w:type="dxa"/>
            <w:vMerge w:val="restart"/>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资格审查内容</w:t>
            </w:r>
          </w:p>
        </w:tc>
        <w:tc>
          <w:tcPr>
            <w:tcW w:w="1893" w:type="dxa"/>
            <w:gridSpan w:val="2"/>
            <w:noWrap w:val="0"/>
            <w:vAlign w:val="center"/>
          </w:tcPr>
          <w:p>
            <w:pPr>
              <w:pStyle w:val="77"/>
              <w:ind w:firstLine="480"/>
              <w:rPr>
                <w:color w:val="auto"/>
              </w:rPr>
            </w:pPr>
            <w:r>
              <w:rPr>
                <w:rFonts w:hint="eastAsia"/>
                <w:color w:val="auto"/>
              </w:rPr>
              <w:t>审查情况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noWrap w:val="0"/>
            <w:vAlign w:val="center"/>
          </w:tcPr>
          <w:p>
            <w:pPr>
              <w:rPr>
                <w:rFonts w:hint="eastAsia" w:ascii="Times New Roman" w:hAnsi="Times New Roman" w:eastAsia="宋体" w:cs="Times New Roman"/>
                <w:color w:val="auto"/>
                <w:lang w:val="en-US" w:eastAsia="zh-CN"/>
              </w:rPr>
            </w:pPr>
          </w:p>
        </w:tc>
        <w:tc>
          <w:tcPr>
            <w:tcW w:w="5954" w:type="dxa"/>
            <w:vMerge w:val="continue"/>
            <w:noWrap w:val="0"/>
            <w:vAlign w:val="center"/>
          </w:tcPr>
          <w:p>
            <w:pPr>
              <w:rPr>
                <w:rFonts w:hint="eastAsia" w:ascii="Times New Roman" w:hAnsi="Times New Roman" w:eastAsia="宋体" w:cs="Times New Roman"/>
                <w:color w:val="auto"/>
                <w:lang w:val="en-US" w:eastAsia="zh-CN"/>
              </w:rPr>
            </w:pPr>
          </w:p>
        </w:tc>
        <w:tc>
          <w:tcPr>
            <w:tcW w:w="992" w:type="dxa"/>
            <w:noWrap w:val="0"/>
            <w:vAlign w:val="center"/>
          </w:tcPr>
          <w:p>
            <w:pPr>
              <w:pStyle w:val="77"/>
              <w:rPr>
                <w:color w:val="auto"/>
              </w:rPr>
            </w:pPr>
            <w:r>
              <w:rPr>
                <w:rFonts w:hint="eastAsia"/>
                <w:color w:val="auto"/>
              </w:rPr>
              <w:t>通过</w:t>
            </w:r>
          </w:p>
        </w:tc>
        <w:tc>
          <w:tcPr>
            <w:tcW w:w="901" w:type="dxa"/>
            <w:noWrap w:val="0"/>
            <w:vAlign w:val="center"/>
          </w:tcPr>
          <w:p>
            <w:pPr>
              <w:pStyle w:val="77"/>
              <w:rPr>
                <w:color w:val="auto"/>
              </w:rPr>
            </w:pPr>
            <w:r>
              <w:rPr>
                <w:rFonts w:hint="eastAsia"/>
                <w:color w:val="auto"/>
              </w:rPr>
              <w:t>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1</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具有独立承担民事责任的能力</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2</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具有良好的商业信誉</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3</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具有健全的财务会计制度。</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具有履行合同所必需的设备和专业技术能力。</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5</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有依法缴纳税收和社会保障资金的良好记录。</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6</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参加政府采购活动前三年内，在经营活动中没有重大违法记录。</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7</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法律、行政法规规定的其他条件</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8</w:t>
            </w:r>
          </w:p>
        </w:tc>
        <w:tc>
          <w:tcPr>
            <w:tcW w:w="5954" w:type="dxa"/>
            <w:noWrap w:val="0"/>
            <w:vAlign w:val="center"/>
          </w:tcPr>
          <w:p>
            <w:pPr>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提供法定代表人证明书或授权书等材料</w:t>
            </w:r>
          </w:p>
        </w:tc>
        <w:tc>
          <w:tcPr>
            <w:tcW w:w="992" w:type="dxa"/>
            <w:noWrap w:val="0"/>
            <w:vAlign w:val="center"/>
          </w:tcPr>
          <w:p>
            <w:pPr>
              <w:pStyle w:val="77"/>
              <w:ind w:firstLine="480"/>
              <w:rPr>
                <w:color w:val="auto"/>
              </w:rPr>
            </w:pPr>
          </w:p>
        </w:tc>
        <w:tc>
          <w:tcPr>
            <w:tcW w:w="901" w:type="dxa"/>
            <w:noWrap w:val="0"/>
            <w:vAlign w:val="center"/>
          </w:tcPr>
          <w:p>
            <w:pPr>
              <w:pStyle w:val="77"/>
              <w:ind w:firstLine="480"/>
              <w:rPr>
                <w:color w:val="auto"/>
              </w:rPr>
            </w:pPr>
          </w:p>
        </w:tc>
      </w:tr>
    </w:tbl>
    <w:p>
      <w:pPr>
        <w:pStyle w:val="77"/>
        <w:rPr>
          <w:color w:val="auto"/>
        </w:rPr>
      </w:pPr>
    </w:p>
    <w:p>
      <w:pPr>
        <w:pStyle w:val="77"/>
        <w:outlineLvl w:val="3"/>
        <w:rPr>
          <w:color w:val="auto"/>
        </w:rPr>
      </w:pPr>
      <w:r>
        <w:rPr>
          <w:rFonts w:hint="eastAsia"/>
          <w:b/>
          <w:color w:val="auto"/>
          <w:sz w:val="24"/>
          <w:lang w:val="en-US" w:eastAsia="zh-CN"/>
        </w:rPr>
        <w:t>2、</w:t>
      </w:r>
      <w:r>
        <w:rPr>
          <w:b/>
          <w:color w:val="auto"/>
          <w:sz w:val="24"/>
        </w:rPr>
        <w:t>符合性审查</w:t>
      </w:r>
    </w:p>
    <w:p>
      <w:pPr>
        <w:pStyle w:val="77"/>
        <w:ind w:firstLine="480"/>
        <w:rPr>
          <w:color w:val="auto"/>
        </w:rPr>
      </w:pPr>
      <w:r>
        <w:rPr>
          <w:color w:val="auto"/>
        </w:rPr>
        <w:t xml:space="preserve"> 协商小组依据采购文件的实质性要求，对符合资格的响应文件进行审查，以确定其是否满足本采购文件的实质性要求。本项目符合性审查事项，必须以本采购文件的明确规定的实质性要求作为依据。在符合性审查过程中，如果出现协商小组成员意见不一致的情况，按照少数服从多数的原则确定，但不得违背政府采购基本原则和采购文件规定。符合性审查标准见下表（按以下顺序审查）：</w:t>
      </w:r>
    </w:p>
    <w:p>
      <w:pPr>
        <w:pStyle w:val="77"/>
        <w:rPr>
          <w:color w:val="auto"/>
        </w:rPr>
      </w:pPr>
      <w:r>
        <w:rPr>
          <w:color w:val="auto"/>
        </w:rPr>
        <w:t>采购包1：</w:t>
      </w:r>
    </w:p>
    <w:tbl>
      <w:tblPr>
        <w:tblStyle w:val="32"/>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5954"/>
        <w:gridCol w:w="992"/>
        <w:gridCol w:w="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restart"/>
            <w:noWrap w:val="0"/>
            <w:vAlign w:val="center"/>
          </w:tcPr>
          <w:p>
            <w:pPr>
              <w:jc w:val="center"/>
              <w:rPr>
                <w:b/>
                <w:color w:val="auto"/>
              </w:rPr>
            </w:pPr>
            <w:r>
              <w:rPr>
                <w:rFonts w:hint="eastAsia"/>
                <w:b/>
                <w:color w:val="auto"/>
              </w:rPr>
              <w:t>序号</w:t>
            </w:r>
          </w:p>
        </w:tc>
        <w:tc>
          <w:tcPr>
            <w:tcW w:w="5954" w:type="dxa"/>
            <w:vMerge w:val="restart"/>
            <w:noWrap w:val="0"/>
            <w:vAlign w:val="center"/>
          </w:tcPr>
          <w:p>
            <w:pPr>
              <w:jc w:val="center"/>
              <w:rPr>
                <w:b/>
                <w:color w:val="auto"/>
              </w:rPr>
            </w:pPr>
            <w:r>
              <w:rPr>
                <w:rFonts w:hint="eastAsia"/>
                <w:b/>
                <w:color w:val="auto"/>
              </w:rPr>
              <w:t>符合性审查内容</w:t>
            </w:r>
          </w:p>
        </w:tc>
        <w:tc>
          <w:tcPr>
            <w:tcW w:w="1893" w:type="dxa"/>
            <w:gridSpan w:val="2"/>
            <w:noWrap w:val="0"/>
            <w:vAlign w:val="center"/>
          </w:tcPr>
          <w:p>
            <w:pPr>
              <w:jc w:val="center"/>
              <w:rPr>
                <w:b/>
                <w:color w:val="auto"/>
              </w:rPr>
            </w:pPr>
            <w:r>
              <w:rPr>
                <w:rFonts w:hint="eastAsia"/>
                <w:b/>
                <w:color w:val="auto"/>
              </w:rPr>
              <w:t>审查情况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75" w:type="dxa"/>
            <w:vMerge w:val="continue"/>
            <w:noWrap w:val="0"/>
            <w:vAlign w:val="center"/>
          </w:tcPr>
          <w:p>
            <w:pPr>
              <w:jc w:val="center"/>
              <w:rPr>
                <w:b/>
                <w:color w:val="auto"/>
              </w:rPr>
            </w:pPr>
          </w:p>
        </w:tc>
        <w:tc>
          <w:tcPr>
            <w:tcW w:w="5954" w:type="dxa"/>
            <w:vMerge w:val="continue"/>
            <w:noWrap w:val="0"/>
            <w:vAlign w:val="center"/>
          </w:tcPr>
          <w:p>
            <w:pPr>
              <w:jc w:val="center"/>
              <w:rPr>
                <w:b/>
                <w:color w:val="auto"/>
              </w:rPr>
            </w:pPr>
          </w:p>
        </w:tc>
        <w:tc>
          <w:tcPr>
            <w:tcW w:w="992" w:type="dxa"/>
            <w:noWrap w:val="0"/>
            <w:vAlign w:val="center"/>
          </w:tcPr>
          <w:p>
            <w:pPr>
              <w:jc w:val="center"/>
              <w:rPr>
                <w:b/>
                <w:color w:val="auto"/>
              </w:rPr>
            </w:pPr>
            <w:r>
              <w:rPr>
                <w:rFonts w:hint="eastAsia"/>
                <w:b/>
                <w:color w:val="auto"/>
              </w:rPr>
              <w:t>通过</w:t>
            </w:r>
          </w:p>
        </w:tc>
        <w:tc>
          <w:tcPr>
            <w:tcW w:w="901" w:type="dxa"/>
            <w:noWrap w:val="0"/>
            <w:vAlign w:val="center"/>
          </w:tcPr>
          <w:p>
            <w:pPr>
              <w:jc w:val="center"/>
              <w:rPr>
                <w:b/>
                <w:color w:val="auto"/>
              </w:rPr>
            </w:pPr>
            <w:r>
              <w:rPr>
                <w:rFonts w:hint="eastAsia"/>
                <w:b/>
                <w:color w:val="auto"/>
              </w:rPr>
              <w:t>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1</w:t>
            </w:r>
          </w:p>
        </w:tc>
        <w:tc>
          <w:tcPr>
            <w:tcW w:w="5954" w:type="dxa"/>
            <w:noWrap w:val="0"/>
            <w:vAlign w:val="center"/>
          </w:tcPr>
          <w:p>
            <w:pPr>
              <w:rPr>
                <w:color w:val="auto"/>
              </w:rPr>
            </w:pPr>
            <w:r>
              <w:rPr>
                <w:rFonts w:hint="eastAsia"/>
                <w:color w:val="auto"/>
                <w:lang w:val="en-US" w:eastAsia="zh-CN"/>
              </w:rPr>
              <w:t>响应</w:t>
            </w:r>
            <w:r>
              <w:rPr>
                <w:rFonts w:hint="eastAsia"/>
                <w:color w:val="auto"/>
              </w:rPr>
              <w:t>文件正副本以及电子文档数量是否符合比选文件规定</w:t>
            </w:r>
          </w:p>
        </w:tc>
        <w:tc>
          <w:tcPr>
            <w:tcW w:w="992" w:type="dxa"/>
            <w:noWrap w:val="0"/>
            <w:vAlign w:val="center"/>
          </w:tcPr>
          <w:p>
            <w:pPr>
              <w:rPr>
                <w:color w:val="auto"/>
              </w:rPr>
            </w:pPr>
          </w:p>
        </w:tc>
        <w:tc>
          <w:tcPr>
            <w:tcW w:w="901"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2</w:t>
            </w:r>
          </w:p>
        </w:tc>
        <w:tc>
          <w:tcPr>
            <w:tcW w:w="5954" w:type="dxa"/>
            <w:noWrap w:val="0"/>
            <w:vAlign w:val="center"/>
          </w:tcPr>
          <w:p>
            <w:pPr>
              <w:rPr>
                <w:color w:val="auto"/>
              </w:rPr>
            </w:pPr>
            <w:r>
              <w:rPr>
                <w:rFonts w:hint="eastAsia"/>
                <w:color w:val="auto"/>
                <w:lang w:val="en-US" w:eastAsia="zh-CN"/>
              </w:rPr>
              <w:t>响应</w:t>
            </w:r>
            <w:r>
              <w:rPr>
                <w:rFonts w:hint="eastAsia"/>
                <w:color w:val="auto"/>
              </w:rPr>
              <w:t>文件的比选响应有效期是否符合比选文件规定</w:t>
            </w:r>
          </w:p>
        </w:tc>
        <w:tc>
          <w:tcPr>
            <w:tcW w:w="992" w:type="dxa"/>
            <w:noWrap w:val="0"/>
            <w:vAlign w:val="center"/>
          </w:tcPr>
          <w:p>
            <w:pPr>
              <w:rPr>
                <w:color w:val="auto"/>
              </w:rPr>
            </w:pPr>
          </w:p>
        </w:tc>
        <w:tc>
          <w:tcPr>
            <w:tcW w:w="901"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3</w:t>
            </w:r>
          </w:p>
        </w:tc>
        <w:tc>
          <w:tcPr>
            <w:tcW w:w="5954" w:type="dxa"/>
            <w:noWrap w:val="0"/>
            <w:vAlign w:val="center"/>
          </w:tcPr>
          <w:p>
            <w:pPr>
              <w:rPr>
                <w:color w:val="auto"/>
              </w:rPr>
            </w:pPr>
            <w:r>
              <w:rPr>
                <w:rFonts w:hint="eastAsia"/>
                <w:color w:val="auto"/>
                <w:lang w:val="en-US" w:eastAsia="zh-CN"/>
              </w:rPr>
              <w:t>响应</w:t>
            </w:r>
            <w:r>
              <w:rPr>
                <w:rFonts w:hint="eastAsia"/>
                <w:color w:val="auto"/>
              </w:rPr>
              <w:t>文件签署、盖章是否符合比选文件规定</w:t>
            </w:r>
          </w:p>
        </w:tc>
        <w:tc>
          <w:tcPr>
            <w:tcW w:w="992" w:type="dxa"/>
            <w:noWrap w:val="0"/>
            <w:vAlign w:val="center"/>
          </w:tcPr>
          <w:p>
            <w:pPr>
              <w:rPr>
                <w:color w:val="auto"/>
              </w:rPr>
            </w:pPr>
          </w:p>
        </w:tc>
        <w:tc>
          <w:tcPr>
            <w:tcW w:w="901" w:type="dxa"/>
            <w:noWrap w:val="0"/>
            <w:vAlign w:val="center"/>
          </w:tcPr>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jc w:val="center"/>
        </w:trPr>
        <w:tc>
          <w:tcPr>
            <w:tcW w:w="675" w:type="dxa"/>
            <w:noWrap w:val="0"/>
            <w:vAlign w:val="center"/>
          </w:tcPr>
          <w:p>
            <w:pPr>
              <w:rPr>
                <w:color w:val="auto"/>
              </w:rPr>
            </w:pPr>
            <w:r>
              <w:rPr>
                <w:rFonts w:hint="eastAsia"/>
                <w:color w:val="auto"/>
              </w:rPr>
              <w:t>4</w:t>
            </w:r>
          </w:p>
        </w:tc>
        <w:tc>
          <w:tcPr>
            <w:tcW w:w="5954" w:type="dxa"/>
            <w:noWrap w:val="0"/>
            <w:vAlign w:val="center"/>
          </w:tcPr>
          <w:p>
            <w:pPr>
              <w:rPr>
                <w:color w:val="auto"/>
              </w:rPr>
            </w:pPr>
            <w:r>
              <w:rPr>
                <w:rFonts w:hint="eastAsia"/>
                <w:color w:val="auto"/>
                <w:lang w:val="en-US" w:eastAsia="zh-CN"/>
              </w:rPr>
              <w:t>响应</w:t>
            </w:r>
            <w:r>
              <w:rPr>
                <w:rFonts w:hint="eastAsia"/>
                <w:color w:val="auto"/>
              </w:rPr>
              <w:t>文件是否完全满足本项目的实质性要求</w:t>
            </w:r>
          </w:p>
        </w:tc>
        <w:tc>
          <w:tcPr>
            <w:tcW w:w="992" w:type="dxa"/>
            <w:noWrap w:val="0"/>
            <w:vAlign w:val="center"/>
          </w:tcPr>
          <w:p>
            <w:pPr>
              <w:rPr>
                <w:color w:val="auto"/>
              </w:rPr>
            </w:pPr>
          </w:p>
        </w:tc>
        <w:tc>
          <w:tcPr>
            <w:tcW w:w="901" w:type="dxa"/>
            <w:noWrap w:val="0"/>
            <w:vAlign w:val="center"/>
          </w:tcPr>
          <w:p>
            <w:pPr>
              <w:rPr>
                <w:color w:val="auto"/>
              </w:rPr>
            </w:pPr>
          </w:p>
        </w:tc>
      </w:tr>
    </w:tbl>
    <w:p>
      <w:pPr>
        <w:pStyle w:val="77"/>
        <w:outlineLvl w:val="9"/>
        <w:rPr>
          <w:rFonts w:hint="eastAsia"/>
          <w:b/>
          <w:color w:val="auto"/>
          <w:sz w:val="24"/>
          <w:lang w:eastAsia="zh-CN"/>
        </w:rPr>
      </w:pPr>
    </w:p>
    <w:p>
      <w:pPr>
        <w:pStyle w:val="77"/>
        <w:outlineLvl w:val="9"/>
        <w:rPr>
          <w:color w:val="auto"/>
        </w:rPr>
      </w:pPr>
      <w:r>
        <w:rPr>
          <w:rFonts w:hint="eastAsia"/>
          <w:b/>
          <w:color w:val="auto"/>
          <w:sz w:val="24"/>
          <w:lang w:eastAsia="zh-CN"/>
        </w:rPr>
        <w:t>（</w:t>
      </w:r>
      <w:r>
        <w:rPr>
          <w:rFonts w:hint="eastAsia"/>
          <w:b/>
          <w:color w:val="auto"/>
          <w:sz w:val="24"/>
          <w:lang w:val="en-US" w:eastAsia="zh-CN"/>
        </w:rPr>
        <w:t>四</w:t>
      </w:r>
      <w:r>
        <w:rPr>
          <w:rFonts w:hint="eastAsia"/>
          <w:b/>
          <w:color w:val="auto"/>
          <w:sz w:val="24"/>
          <w:lang w:eastAsia="zh-CN"/>
        </w:rPr>
        <w:t>）</w:t>
      </w:r>
      <w:r>
        <w:rPr>
          <w:b/>
          <w:color w:val="auto"/>
          <w:sz w:val="24"/>
        </w:rPr>
        <w:t>协商</w:t>
      </w:r>
    </w:p>
    <w:p>
      <w:pPr>
        <w:pStyle w:val="77"/>
        <w:ind w:firstLine="480"/>
        <w:outlineLvl w:val="9"/>
        <w:rPr>
          <w:color w:val="auto"/>
        </w:rPr>
      </w:pPr>
      <w:r>
        <w:rPr>
          <w:rFonts w:hint="eastAsia"/>
          <w:color w:val="auto"/>
          <w:lang w:val="en-US" w:eastAsia="zh-CN"/>
        </w:rPr>
        <w:t>1</w:t>
      </w:r>
      <w:r>
        <w:rPr>
          <w:color w:val="auto"/>
        </w:rPr>
        <w:t>、协商小组按照采购文件的规定与邀请参加协商的供应商进行协商。</w:t>
      </w:r>
    </w:p>
    <w:p>
      <w:pPr>
        <w:pStyle w:val="77"/>
        <w:ind w:firstLine="480"/>
        <w:outlineLvl w:val="9"/>
        <w:rPr>
          <w:color w:val="auto"/>
        </w:rPr>
      </w:pPr>
      <w:r>
        <w:rPr>
          <w:rFonts w:hint="eastAsia"/>
          <w:color w:val="auto"/>
          <w:lang w:val="en-US" w:eastAsia="zh-CN"/>
        </w:rPr>
        <w:t>2</w:t>
      </w:r>
      <w:r>
        <w:rPr>
          <w:color w:val="auto"/>
        </w:rPr>
        <w:t>、协商小组负责与供应商（邀请参加单一来源采购的供应商为资格条件符合采购人要求的合格供应商）就第三章“</w:t>
      </w:r>
      <w:r>
        <w:rPr>
          <w:rFonts w:hint="eastAsia"/>
          <w:color w:val="auto"/>
          <w:lang w:val="en-US" w:eastAsia="zh-CN"/>
        </w:rPr>
        <w:t>采购</w:t>
      </w:r>
      <w:r>
        <w:rPr>
          <w:color w:val="auto"/>
        </w:rPr>
        <w:t>要求”、第六章“拟签订的合同文本”等方面进行协商确定成交价格。</w:t>
      </w:r>
    </w:p>
    <w:p>
      <w:pPr>
        <w:pStyle w:val="77"/>
        <w:ind w:firstLine="480"/>
        <w:outlineLvl w:val="9"/>
        <w:rPr>
          <w:color w:val="auto"/>
        </w:rPr>
      </w:pPr>
      <w:r>
        <w:rPr>
          <w:rFonts w:hint="eastAsia"/>
          <w:color w:val="auto"/>
          <w:lang w:val="en-US" w:eastAsia="zh-CN"/>
        </w:rPr>
        <w:t>3</w:t>
      </w:r>
      <w:r>
        <w:rPr>
          <w:color w:val="auto"/>
        </w:rPr>
        <w:t>、协商过程中，供应商可以根据协商情况变更其响应文件，并将变更内容以澄清函形式提交协商小组。澄清函作为响应文件的一部分，应加盖供应商（法定名称）</w:t>
      </w:r>
      <w:r>
        <w:rPr>
          <w:rFonts w:hint="eastAsia"/>
          <w:color w:val="auto"/>
          <w:lang w:val="en-US" w:eastAsia="zh-CN"/>
        </w:rPr>
        <w:t>公章</w:t>
      </w:r>
      <w:r>
        <w:rPr>
          <w:color w:val="auto"/>
        </w:rPr>
        <w:t>，否则无效。</w:t>
      </w:r>
    </w:p>
    <w:p>
      <w:pPr>
        <w:pStyle w:val="77"/>
        <w:outlineLvl w:val="9"/>
        <w:rPr>
          <w:color w:val="auto"/>
        </w:rPr>
      </w:pPr>
      <w:r>
        <w:rPr>
          <w:rFonts w:hint="eastAsia"/>
          <w:b/>
          <w:color w:val="auto"/>
          <w:sz w:val="24"/>
          <w:lang w:val="en-US" w:eastAsia="zh-CN"/>
        </w:rPr>
        <w:t>（五）</w:t>
      </w:r>
      <w:r>
        <w:rPr>
          <w:b/>
          <w:color w:val="auto"/>
          <w:sz w:val="24"/>
        </w:rPr>
        <w:t>最后报价</w:t>
      </w:r>
    </w:p>
    <w:p>
      <w:pPr>
        <w:pStyle w:val="77"/>
        <w:ind w:firstLine="480"/>
        <w:outlineLvl w:val="9"/>
        <w:rPr>
          <w:color w:val="auto"/>
        </w:rPr>
      </w:pPr>
      <w:r>
        <w:rPr>
          <w:rFonts w:hint="eastAsia"/>
          <w:color w:val="auto"/>
          <w:lang w:val="en-US" w:eastAsia="zh-CN"/>
        </w:rPr>
        <w:t>1</w:t>
      </w:r>
      <w:r>
        <w:rPr>
          <w:color w:val="auto"/>
        </w:rPr>
        <w:t>、协商结束后，协商小组可以根据协商情况要求供应商在规定时间内进行最后报价。</w:t>
      </w:r>
    </w:p>
    <w:p>
      <w:pPr>
        <w:pStyle w:val="77"/>
        <w:ind w:firstLine="480"/>
        <w:outlineLvl w:val="9"/>
        <w:rPr>
          <w:color w:val="auto"/>
        </w:rPr>
      </w:pPr>
      <w:r>
        <w:rPr>
          <w:rFonts w:hint="eastAsia"/>
          <w:color w:val="auto"/>
          <w:lang w:val="en-US" w:eastAsia="zh-CN"/>
        </w:rPr>
        <w:t>2</w:t>
      </w:r>
      <w:r>
        <w:rPr>
          <w:color w:val="auto"/>
        </w:rPr>
        <w:t>、供应商未在响应文件提交截止时间内提交报价或未按要求进行报价的，视为无效响应，由供应商自行承担不利后果。供应商在未提高响应文件中承诺的标准情况下，其最后报价不得高于对该项目之前的报价，否则，</w:t>
      </w:r>
      <w:r>
        <w:rPr>
          <w:rFonts w:hint="eastAsia"/>
          <w:color w:val="auto"/>
          <w:lang w:val="en-US" w:eastAsia="zh-CN"/>
        </w:rPr>
        <w:t>协商</w:t>
      </w:r>
      <w:r>
        <w:rPr>
          <w:color w:val="auto"/>
        </w:rPr>
        <w:t>小组应当对其响应文件作无效处理。</w:t>
      </w:r>
    </w:p>
    <w:p>
      <w:pPr>
        <w:pStyle w:val="77"/>
        <w:ind w:firstLine="480"/>
        <w:outlineLvl w:val="9"/>
        <w:rPr>
          <w:color w:val="auto"/>
        </w:rPr>
      </w:pPr>
      <w:r>
        <w:rPr>
          <w:rFonts w:hint="eastAsia"/>
          <w:color w:val="auto"/>
          <w:lang w:val="en-US" w:eastAsia="zh-CN"/>
        </w:rPr>
        <w:t>3</w:t>
      </w:r>
      <w:r>
        <w:rPr>
          <w:color w:val="auto"/>
        </w:rPr>
        <w:t>、供应商未按协商小组要求在规定时间内提交最后报价的，视为其退出协商。</w:t>
      </w:r>
    </w:p>
    <w:p>
      <w:pPr>
        <w:pStyle w:val="77"/>
        <w:ind w:firstLine="480"/>
        <w:outlineLvl w:val="9"/>
        <w:rPr>
          <w:color w:val="auto"/>
        </w:rPr>
      </w:pPr>
      <w:r>
        <w:rPr>
          <w:rFonts w:hint="eastAsia"/>
          <w:color w:val="auto"/>
          <w:lang w:val="en-US" w:eastAsia="zh-CN"/>
        </w:rPr>
        <w:t>4</w:t>
      </w:r>
      <w:r>
        <w:rPr>
          <w:color w:val="auto"/>
        </w:rPr>
        <w:t>、最后报价一旦提交后，供应商不得以任何理由撤回。</w:t>
      </w:r>
    </w:p>
    <w:p>
      <w:pPr>
        <w:pStyle w:val="77"/>
        <w:ind w:firstLine="480"/>
        <w:outlineLvl w:val="9"/>
        <w:rPr>
          <w:color w:val="auto"/>
        </w:rPr>
      </w:pPr>
      <w:r>
        <w:rPr>
          <w:rFonts w:hint="eastAsia"/>
          <w:color w:val="auto"/>
          <w:lang w:val="en-US" w:eastAsia="zh-CN"/>
        </w:rPr>
        <w:t>5</w:t>
      </w:r>
      <w:r>
        <w:rPr>
          <w:color w:val="auto"/>
        </w:rPr>
        <w:t>、最后报价为有效报价应符合下列条件：</w:t>
      </w:r>
    </w:p>
    <w:p>
      <w:pPr>
        <w:pStyle w:val="77"/>
        <w:ind w:firstLine="480"/>
        <w:outlineLvl w:val="9"/>
        <w:rPr>
          <w:color w:val="auto"/>
        </w:rPr>
      </w:pPr>
      <w:r>
        <w:rPr>
          <w:rFonts w:hint="eastAsia"/>
          <w:color w:val="auto"/>
          <w:lang w:val="en-US" w:eastAsia="zh-CN"/>
        </w:rPr>
        <w:t>①</w:t>
      </w:r>
      <w:r>
        <w:rPr>
          <w:color w:val="auto"/>
        </w:rPr>
        <w:t>供应商所提供的最后报价是在规定的时间内提交。</w:t>
      </w:r>
    </w:p>
    <w:p>
      <w:pPr>
        <w:pStyle w:val="77"/>
        <w:ind w:firstLine="480"/>
        <w:outlineLvl w:val="9"/>
        <w:rPr>
          <w:color w:val="auto"/>
        </w:rPr>
      </w:pPr>
      <w:r>
        <w:rPr>
          <w:rFonts w:hint="eastAsia"/>
          <w:color w:val="auto"/>
          <w:lang w:val="en-US" w:eastAsia="zh-CN"/>
        </w:rPr>
        <w:t>②</w:t>
      </w:r>
      <w:r>
        <w:rPr>
          <w:color w:val="auto"/>
        </w:rPr>
        <w:t>供应商的最后报价应加盖供应商（法定名称）</w:t>
      </w:r>
      <w:r>
        <w:rPr>
          <w:rFonts w:hint="eastAsia"/>
          <w:color w:val="auto"/>
          <w:lang w:val="en-US" w:eastAsia="zh-CN"/>
        </w:rPr>
        <w:t>公章</w:t>
      </w:r>
      <w:r>
        <w:rPr>
          <w:color w:val="auto"/>
        </w:rPr>
        <w:t>。</w:t>
      </w:r>
    </w:p>
    <w:p>
      <w:pPr>
        <w:pStyle w:val="77"/>
        <w:ind w:firstLine="480"/>
        <w:outlineLvl w:val="9"/>
        <w:rPr>
          <w:color w:val="auto"/>
        </w:rPr>
      </w:pPr>
      <w:r>
        <w:rPr>
          <w:rFonts w:hint="eastAsia"/>
          <w:color w:val="auto"/>
          <w:lang w:val="en-US" w:eastAsia="zh-CN"/>
        </w:rPr>
        <w:t>③</w:t>
      </w:r>
      <w:r>
        <w:rPr>
          <w:color w:val="auto"/>
        </w:rPr>
        <w:t>供应商的最后报价符合采购文件的要求。</w:t>
      </w:r>
    </w:p>
    <w:p>
      <w:pPr>
        <w:pStyle w:val="77"/>
        <w:ind w:firstLine="480"/>
        <w:outlineLvl w:val="9"/>
        <w:rPr>
          <w:color w:val="auto"/>
        </w:rPr>
      </w:pPr>
      <w:r>
        <w:rPr>
          <w:rFonts w:hint="eastAsia"/>
          <w:color w:val="auto"/>
          <w:lang w:val="en-US" w:eastAsia="zh-CN"/>
        </w:rPr>
        <w:t>④</w:t>
      </w:r>
      <w:r>
        <w:rPr>
          <w:color w:val="auto"/>
        </w:rPr>
        <w:t>最后报价唯一，且不高于最高限价。</w:t>
      </w:r>
    </w:p>
    <w:p>
      <w:pPr>
        <w:pStyle w:val="77"/>
        <w:ind w:firstLine="480"/>
        <w:outlineLvl w:val="9"/>
        <w:rPr>
          <w:color w:val="auto"/>
        </w:rPr>
      </w:pPr>
      <w:r>
        <w:rPr>
          <w:color w:val="auto"/>
        </w:rPr>
        <w:t xml:space="preserve"> </w:t>
      </w:r>
      <w:r>
        <w:rPr>
          <w:rFonts w:hint="eastAsia"/>
          <w:color w:val="auto"/>
          <w:lang w:val="en-US" w:eastAsia="zh-CN"/>
        </w:rPr>
        <w:t>6</w:t>
      </w:r>
      <w:r>
        <w:rPr>
          <w:color w:val="auto"/>
        </w:rPr>
        <w:t>、最后报价出现下列情况的，不需要供应商澄清，按以下原则处理：</w:t>
      </w:r>
    </w:p>
    <w:p>
      <w:pPr>
        <w:pStyle w:val="77"/>
        <w:ind w:firstLine="480"/>
        <w:outlineLvl w:val="9"/>
        <w:rPr>
          <w:color w:val="auto"/>
        </w:rPr>
      </w:pPr>
      <w:r>
        <w:rPr>
          <w:rFonts w:hint="eastAsia"/>
          <w:color w:val="auto"/>
          <w:lang w:val="en-US" w:eastAsia="zh-CN"/>
        </w:rPr>
        <w:t>①</w:t>
      </w:r>
      <w:r>
        <w:rPr>
          <w:color w:val="auto"/>
        </w:rPr>
        <w:t>报价中的大写金额和小写金额不一致的，以大写金额为准，但大写金额出现文字错误，导致金额无法判断的除外；</w:t>
      </w:r>
    </w:p>
    <w:p>
      <w:pPr>
        <w:pStyle w:val="77"/>
        <w:ind w:firstLine="480"/>
        <w:outlineLvl w:val="9"/>
        <w:rPr>
          <w:color w:val="auto"/>
        </w:rPr>
      </w:pPr>
      <w:r>
        <w:rPr>
          <w:rFonts w:hint="eastAsia"/>
          <w:color w:val="auto"/>
          <w:lang w:val="en-US" w:eastAsia="zh-CN"/>
        </w:rPr>
        <w:t>②</w:t>
      </w:r>
      <w:r>
        <w:rPr>
          <w:color w:val="auto"/>
        </w:rPr>
        <w:t>单价金额小数点或者百分比有明显错位的，应以总价为准，并修改单价；</w:t>
      </w:r>
    </w:p>
    <w:p>
      <w:pPr>
        <w:pStyle w:val="77"/>
        <w:ind w:firstLine="480"/>
        <w:outlineLvl w:val="9"/>
        <w:rPr>
          <w:color w:val="auto"/>
        </w:rPr>
      </w:pPr>
      <w:r>
        <w:rPr>
          <w:rFonts w:hint="eastAsia"/>
          <w:color w:val="auto"/>
          <w:lang w:val="en-US" w:eastAsia="zh-CN"/>
        </w:rPr>
        <w:t>③</w:t>
      </w:r>
      <w:r>
        <w:rPr>
          <w:color w:val="auto"/>
        </w:rPr>
        <w:t>总价金额与按单价汇总金额不一致的，以单价汇总金额计算结果为准；</w:t>
      </w:r>
    </w:p>
    <w:p>
      <w:pPr>
        <w:pStyle w:val="77"/>
        <w:ind w:firstLine="480"/>
        <w:outlineLvl w:val="9"/>
        <w:rPr>
          <w:color w:val="auto"/>
        </w:rPr>
      </w:pPr>
      <w:r>
        <w:rPr>
          <w:color w:val="auto"/>
        </w:rPr>
        <w:t xml:space="preserve"> 同时出现两种以上不一致的，按照前款规定的顺序修正。修正后的最后报价经加盖供应商（法定名称）</w:t>
      </w:r>
      <w:r>
        <w:rPr>
          <w:rFonts w:hint="eastAsia"/>
          <w:color w:val="auto"/>
          <w:lang w:val="en-US" w:eastAsia="zh-CN"/>
        </w:rPr>
        <w:t>公章</w:t>
      </w:r>
      <w:r>
        <w:rPr>
          <w:color w:val="auto"/>
        </w:rPr>
        <w:t>后产生约束力，供应商不确认的，其最后报价无效。</w:t>
      </w:r>
    </w:p>
    <w:p>
      <w:pPr>
        <w:pStyle w:val="77"/>
        <w:ind w:firstLine="480"/>
        <w:outlineLvl w:val="9"/>
        <w:rPr>
          <w:color w:val="auto"/>
        </w:rPr>
      </w:pPr>
      <w:r>
        <w:rPr>
          <w:rFonts w:hint="eastAsia"/>
          <w:color w:val="auto"/>
          <w:lang w:val="en-US" w:eastAsia="zh-CN"/>
        </w:rPr>
        <w:t>7</w:t>
      </w:r>
      <w:r>
        <w:rPr>
          <w:color w:val="auto"/>
        </w:rPr>
        <w:t>、供应商最后报价无效的，本次采购活动终止，并发布终止公告。</w:t>
      </w:r>
    </w:p>
    <w:p>
      <w:pPr>
        <w:pStyle w:val="77"/>
        <w:outlineLvl w:val="9"/>
        <w:rPr>
          <w:color w:val="auto"/>
        </w:rPr>
      </w:pPr>
      <w:r>
        <w:rPr>
          <w:rFonts w:hint="eastAsia"/>
          <w:b/>
          <w:color w:val="auto"/>
          <w:sz w:val="24"/>
          <w:lang w:eastAsia="zh-CN"/>
        </w:rPr>
        <w:t>（</w:t>
      </w:r>
      <w:r>
        <w:rPr>
          <w:rFonts w:hint="eastAsia"/>
          <w:b/>
          <w:color w:val="auto"/>
          <w:sz w:val="24"/>
          <w:lang w:val="en-US" w:eastAsia="zh-CN"/>
        </w:rPr>
        <w:t>六</w:t>
      </w:r>
      <w:r>
        <w:rPr>
          <w:rFonts w:hint="eastAsia"/>
          <w:b/>
          <w:color w:val="auto"/>
          <w:sz w:val="24"/>
          <w:lang w:eastAsia="zh-CN"/>
        </w:rPr>
        <w:t>）</w:t>
      </w:r>
      <w:r>
        <w:rPr>
          <w:b/>
          <w:color w:val="auto"/>
          <w:sz w:val="24"/>
        </w:rPr>
        <w:t>解释、澄清、说明的有关问题</w:t>
      </w:r>
    </w:p>
    <w:p>
      <w:pPr>
        <w:pStyle w:val="77"/>
        <w:ind w:firstLine="480"/>
        <w:outlineLvl w:val="9"/>
        <w:rPr>
          <w:color w:val="auto"/>
        </w:rPr>
      </w:pPr>
      <w:r>
        <w:rPr>
          <w:rFonts w:hint="eastAsia"/>
          <w:color w:val="auto"/>
          <w:lang w:val="en-US" w:eastAsia="zh-CN"/>
        </w:rPr>
        <w:t>1</w:t>
      </w:r>
      <w:r>
        <w:rPr>
          <w:color w:val="auto"/>
        </w:rPr>
        <w:t>、协商过程中，协商小组认为采购文件有关事项表述不明确或需要说明的，可以提请</w:t>
      </w:r>
      <w:r>
        <w:rPr>
          <w:rFonts w:hint="eastAsia"/>
          <w:color w:val="auto"/>
          <w:lang w:val="en-US" w:eastAsia="zh-CN"/>
        </w:rPr>
        <w:t>采购人</w:t>
      </w:r>
      <w:r>
        <w:rPr>
          <w:color w:val="auto"/>
        </w:rPr>
        <w:t>书面解释。</w:t>
      </w:r>
      <w:r>
        <w:rPr>
          <w:rFonts w:hint="eastAsia"/>
          <w:color w:val="auto"/>
          <w:lang w:val="en-US" w:eastAsia="zh-CN"/>
        </w:rPr>
        <w:t>采购人</w:t>
      </w:r>
      <w:r>
        <w:rPr>
          <w:color w:val="auto"/>
        </w:rPr>
        <w:t>的解释不得改变采购文件的原义或者影响公平、公正，解释事项如果涉及供应商权益的以有利于供应商的原则进行解释。</w:t>
      </w:r>
    </w:p>
    <w:p>
      <w:pPr>
        <w:pStyle w:val="77"/>
        <w:ind w:firstLine="480"/>
        <w:outlineLvl w:val="9"/>
        <w:rPr>
          <w:color w:val="auto"/>
        </w:rPr>
      </w:pPr>
      <w:r>
        <w:rPr>
          <w:rFonts w:hint="eastAsia"/>
          <w:color w:val="auto"/>
          <w:lang w:val="en-US" w:eastAsia="zh-CN"/>
        </w:rPr>
        <w:t>2</w:t>
      </w:r>
      <w:r>
        <w:rPr>
          <w:color w:val="auto"/>
        </w:rPr>
        <w:t>、协商小组在对响应文件的符合性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pStyle w:val="77"/>
        <w:ind w:firstLine="480"/>
        <w:outlineLvl w:val="9"/>
        <w:rPr>
          <w:color w:val="auto"/>
        </w:rPr>
      </w:pPr>
      <w:r>
        <w:rPr>
          <w:rFonts w:hint="eastAsia"/>
          <w:color w:val="auto"/>
          <w:lang w:val="en-US" w:eastAsia="zh-CN"/>
        </w:rPr>
        <w:t>3</w:t>
      </w:r>
      <w:r>
        <w:rPr>
          <w:color w:val="auto"/>
        </w:rPr>
        <w:t>、协商小组应当积极履行澄清、说明或者更正的职责，不得滥用权力。</w:t>
      </w:r>
    </w:p>
    <w:p>
      <w:pPr>
        <w:pStyle w:val="77"/>
        <w:outlineLvl w:val="9"/>
        <w:rPr>
          <w:color w:val="auto"/>
        </w:rPr>
      </w:pPr>
      <w:r>
        <w:rPr>
          <w:rFonts w:hint="eastAsia"/>
          <w:b/>
          <w:color w:val="auto"/>
          <w:sz w:val="24"/>
          <w:lang w:eastAsia="zh-CN"/>
        </w:rPr>
        <w:t>（</w:t>
      </w:r>
      <w:r>
        <w:rPr>
          <w:rFonts w:hint="eastAsia"/>
          <w:b/>
          <w:color w:val="auto"/>
          <w:sz w:val="24"/>
          <w:lang w:val="en-US" w:eastAsia="zh-CN"/>
        </w:rPr>
        <w:t>七</w:t>
      </w:r>
      <w:r>
        <w:rPr>
          <w:rFonts w:hint="eastAsia"/>
          <w:b/>
          <w:color w:val="auto"/>
          <w:sz w:val="24"/>
          <w:lang w:eastAsia="zh-CN"/>
        </w:rPr>
        <w:t>）</w:t>
      </w:r>
      <w:r>
        <w:rPr>
          <w:b/>
          <w:color w:val="auto"/>
          <w:sz w:val="24"/>
        </w:rPr>
        <w:t>编写协商情况记录</w:t>
      </w:r>
    </w:p>
    <w:p>
      <w:pPr>
        <w:pStyle w:val="77"/>
        <w:ind w:firstLine="400" w:firstLineChars="200"/>
        <w:outlineLvl w:val="9"/>
        <w:rPr>
          <w:color w:val="auto"/>
        </w:rPr>
      </w:pPr>
      <w:r>
        <w:rPr>
          <w:rFonts w:hint="eastAsia"/>
          <w:color w:val="auto"/>
          <w:lang w:val="en-US" w:eastAsia="zh-CN"/>
        </w:rPr>
        <w:t>1、</w:t>
      </w:r>
      <w:r>
        <w:rPr>
          <w:color w:val="auto"/>
        </w:rPr>
        <w:t>协商小组编制评审情况，生成协商情况记录。</w:t>
      </w:r>
    </w:p>
    <w:p>
      <w:pPr>
        <w:pStyle w:val="77"/>
        <w:ind w:firstLine="400" w:firstLineChars="200"/>
        <w:outlineLvl w:val="9"/>
        <w:rPr>
          <w:color w:val="auto"/>
        </w:rPr>
      </w:pPr>
      <w:r>
        <w:rPr>
          <w:rFonts w:hint="eastAsia"/>
          <w:color w:val="auto"/>
          <w:lang w:val="en-US" w:eastAsia="zh-CN"/>
        </w:rPr>
        <w:t>2、</w:t>
      </w:r>
      <w:r>
        <w:rPr>
          <w:color w:val="auto"/>
        </w:rPr>
        <w:t>协商情况记录是协商小组根据全体成员签字的原始协商记录和协商结果编写的报告。根据《政府采购非招标采购方式管理办法》的要求，单一来源采购人员应当编写协商情况记录，主要内容包括：</w:t>
      </w:r>
    </w:p>
    <w:p>
      <w:pPr>
        <w:pStyle w:val="77"/>
        <w:numPr>
          <w:ilvl w:val="0"/>
          <w:numId w:val="4"/>
        </w:numPr>
        <w:ind w:left="0" w:leftChars="0" w:firstLine="400" w:firstLineChars="0"/>
        <w:outlineLvl w:val="9"/>
        <w:rPr>
          <w:color w:val="auto"/>
        </w:rPr>
      </w:pPr>
      <w:r>
        <w:rPr>
          <w:color w:val="auto"/>
        </w:rPr>
        <w:t>协商日期和地点，采购人员名单；</w:t>
      </w:r>
    </w:p>
    <w:p>
      <w:pPr>
        <w:pStyle w:val="77"/>
        <w:numPr>
          <w:ilvl w:val="0"/>
          <w:numId w:val="4"/>
        </w:numPr>
        <w:ind w:left="0" w:leftChars="0" w:firstLine="400" w:firstLineChars="0"/>
        <w:outlineLvl w:val="9"/>
        <w:rPr>
          <w:color w:val="auto"/>
        </w:rPr>
      </w:pPr>
      <w:r>
        <w:rPr>
          <w:color w:val="auto"/>
        </w:rPr>
        <w:t>供应商提供的采购标的成本、同类项目合同价格以及相关专利、专有技术等情况说明；</w:t>
      </w:r>
    </w:p>
    <w:p>
      <w:pPr>
        <w:pStyle w:val="77"/>
        <w:numPr>
          <w:ilvl w:val="0"/>
          <w:numId w:val="4"/>
        </w:numPr>
        <w:ind w:left="0" w:leftChars="0" w:firstLine="400" w:firstLineChars="0"/>
        <w:outlineLvl w:val="9"/>
        <w:rPr>
          <w:color w:val="auto"/>
        </w:rPr>
      </w:pPr>
      <w:r>
        <w:rPr>
          <w:color w:val="auto"/>
        </w:rPr>
        <w:t>合同主要条款及价格商定情况。</w:t>
      </w:r>
    </w:p>
    <w:p>
      <w:pPr>
        <w:pStyle w:val="77"/>
        <w:ind w:firstLine="480"/>
        <w:outlineLvl w:val="9"/>
        <w:rPr>
          <w:color w:val="auto"/>
        </w:rPr>
      </w:pPr>
      <w:r>
        <w:rPr>
          <w:color w:val="auto"/>
        </w:rPr>
        <w:t xml:space="preserve"> 协商情况记录应当由协商小组全体人员签字认可。对记录有异议的协商小组</w:t>
      </w:r>
      <w:r>
        <w:rPr>
          <w:rFonts w:hint="eastAsia"/>
          <w:color w:val="auto"/>
          <w:lang w:val="en-US" w:eastAsia="zh-CN"/>
        </w:rPr>
        <w:t>成员</w:t>
      </w:r>
      <w:r>
        <w:rPr>
          <w:color w:val="auto"/>
        </w:rPr>
        <w:t>，应当签署不同意见并说明理由。协商小组</w:t>
      </w:r>
      <w:r>
        <w:rPr>
          <w:rFonts w:hint="eastAsia"/>
          <w:color w:val="auto"/>
          <w:lang w:val="en-US" w:eastAsia="zh-CN"/>
        </w:rPr>
        <w:t>成员</w:t>
      </w:r>
      <w:r>
        <w:rPr>
          <w:color w:val="auto"/>
        </w:rPr>
        <w:t>拒绝在记录上签字又不书面说明其不同意见和理由的，视为同意。</w:t>
      </w:r>
    </w:p>
    <w:p>
      <w:pPr>
        <w:pStyle w:val="77"/>
        <w:outlineLvl w:val="9"/>
        <w:rPr>
          <w:color w:val="auto"/>
        </w:rPr>
      </w:pPr>
      <w:r>
        <w:rPr>
          <w:rFonts w:hint="eastAsia"/>
          <w:b/>
          <w:color w:val="auto"/>
          <w:sz w:val="24"/>
          <w:lang w:eastAsia="zh-CN"/>
        </w:rPr>
        <w:t>（</w:t>
      </w:r>
      <w:r>
        <w:rPr>
          <w:rFonts w:hint="eastAsia"/>
          <w:b/>
          <w:color w:val="auto"/>
          <w:sz w:val="24"/>
          <w:lang w:val="en-US" w:eastAsia="zh-CN"/>
        </w:rPr>
        <w:t>八</w:t>
      </w:r>
      <w:r>
        <w:rPr>
          <w:rFonts w:hint="eastAsia"/>
          <w:b/>
          <w:color w:val="auto"/>
          <w:sz w:val="24"/>
          <w:lang w:eastAsia="zh-CN"/>
        </w:rPr>
        <w:t>）</w:t>
      </w:r>
      <w:r>
        <w:rPr>
          <w:b/>
          <w:color w:val="auto"/>
          <w:sz w:val="24"/>
        </w:rPr>
        <w:t>争议处理规则</w:t>
      </w:r>
    </w:p>
    <w:p>
      <w:pPr>
        <w:pStyle w:val="77"/>
        <w:ind w:firstLine="480"/>
        <w:outlineLvl w:val="9"/>
        <w:rPr>
          <w:color w:val="auto"/>
        </w:rPr>
      </w:pPr>
      <w:r>
        <w:rPr>
          <w:color w:val="auto"/>
        </w:rPr>
        <w:t>在协商过程中少数服从多数原则，但不得违背政府采购基本原则和采购文件规定。有不同意见的协商小组成员认为认定过程和结果不符合法律法规或者采购文件规定的，应当在协商情况记录中予以反映。</w:t>
      </w:r>
    </w:p>
    <w:p>
      <w:pPr>
        <w:pStyle w:val="77"/>
        <w:outlineLvl w:val="9"/>
        <w:rPr>
          <w:color w:val="auto"/>
        </w:rPr>
      </w:pPr>
      <w:r>
        <w:rPr>
          <w:rFonts w:hint="eastAsia"/>
          <w:b/>
          <w:color w:val="auto"/>
          <w:sz w:val="24"/>
          <w:lang w:eastAsia="zh-CN"/>
        </w:rPr>
        <w:t>（</w:t>
      </w:r>
      <w:r>
        <w:rPr>
          <w:rFonts w:hint="eastAsia"/>
          <w:b/>
          <w:color w:val="auto"/>
          <w:sz w:val="24"/>
          <w:lang w:val="en-US" w:eastAsia="zh-CN"/>
        </w:rPr>
        <w:t>九</w:t>
      </w:r>
      <w:r>
        <w:rPr>
          <w:rFonts w:hint="eastAsia"/>
          <w:b/>
          <w:color w:val="auto"/>
          <w:sz w:val="24"/>
          <w:lang w:eastAsia="zh-CN"/>
        </w:rPr>
        <w:t>）</w:t>
      </w:r>
      <w:r>
        <w:rPr>
          <w:b/>
          <w:color w:val="auto"/>
          <w:sz w:val="24"/>
        </w:rPr>
        <w:t>终止采购活动情形</w:t>
      </w:r>
    </w:p>
    <w:p>
      <w:pPr>
        <w:pStyle w:val="77"/>
        <w:ind w:firstLine="480"/>
        <w:outlineLvl w:val="9"/>
        <w:rPr>
          <w:color w:val="auto"/>
        </w:rPr>
      </w:pPr>
      <w:r>
        <w:rPr>
          <w:color w:val="auto"/>
        </w:rPr>
        <w:t>出现下列情况之一的，协商小组应当终止采购活动，发布项目终止公告并说明原因，重新开展采购活动：</w:t>
      </w:r>
    </w:p>
    <w:p>
      <w:pPr>
        <w:pStyle w:val="77"/>
        <w:ind w:firstLine="480"/>
        <w:outlineLvl w:val="9"/>
        <w:rPr>
          <w:color w:val="auto"/>
        </w:rPr>
      </w:pPr>
      <w:r>
        <w:rPr>
          <w:color w:val="auto"/>
        </w:rPr>
        <w:t>一、因情况变化，不再符合规定的单一来源采购方式使用情形的；</w:t>
      </w:r>
    </w:p>
    <w:p>
      <w:pPr>
        <w:pStyle w:val="77"/>
        <w:ind w:firstLine="480"/>
        <w:outlineLvl w:val="9"/>
        <w:rPr>
          <w:color w:val="auto"/>
        </w:rPr>
      </w:pPr>
      <w:r>
        <w:rPr>
          <w:color w:val="auto"/>
        </w:rPr>
        <w:t>二、出现影响采购公正的违法、违规行为的；</w:t>
      </w:r>
    </w:p>
    <w:p>
      <w:pPr>
        <w:pStyle w:val="77"/>
        <w:ind w:firstLine="480"/>
        <w:outlineLvl w:val="9"/>
        <w:rPr>
          <w:color w:val="auto"/>
        </w:rPr>
      </w:pPr>
      <w:r>
        <w:rPr>
          <w:color w:val="auto"/>
        </w:rPr>
        <w:t>三、报价超过采购预算的。</w:t>
      </w:r>
    </w:p>
    <w:p>
      <w:pPr>
        <w:pStyle w:val="77"/>
        <w:ind w:firstLine="480"/>
        <w:outlineLvl w:val="9"/>
        <w:rPr>
          <w:color w:val="auto"/>
        </w:rPr>
      </w:pPr>
      <w:r>
        <w:rPr>
          <w:color w:val="auto"/>
        </w:rPr>
        <w:t>四、无法商定合理的成交价格或者无法保证采购项目质量。</w:t>
      </w:r>
    </w:p>
    <w:p>
      <w:pPr>
        <w:pStyle w:val="77"/>
        <w:outlineLvl w:val="9"/>
        <w:rPr>
          <w:color w:val="auto"/>
        </w:rPr>
      </w:pPr>
      <w:r>
        <w:rPr>
          <w:rFonts w:hint="eastAsia"/>
          <w:b/>
          <w:color w:val="auto"/>
          <w:sz w:val="24"/>
          <w:lang w:eastAsia="zh-CN"/>
        </w:rPr>
        <w:t>（</w:t>
      </w:r>
      <w:r>
        <w:rPr>
          <w:rFonts w:hint="eastAsia"/>
          <w:b/>
          <w:color w:val="auto"/>
          <w:sz w:val="24"/>
          <w:lang w:val="en-US" w:eastAsia="zh-CN"/>
        </w:rPr>
        <w:t>十</w:t>
      </w:r>
      <w:r>
        <w:rPr>
          <w:rFonts w:hint="eastAsia"/>
          <w:b/>
          <w:color w:val="auto"/>
          <w:sz w:val="24"/>
          <w:lang w:eastAsia="zh-CN"/>
        </w:rPr>
        <w:t>）</w:t>
      </w:r>
      <w:r>
        <w:rPr>
          <w:b/>
          <w:color w:val="auto"/>
          <w:sz w:val="24"/>
        </w:rPr>
        <w:t>确定成交供应商</w:t>
      </w:r>
    </w:p>
    <w:p>
      <w:pPr>
        <w:pStyle w:val="77"/>
        <w:outlineLvl w:val="9"/>
        <w:rPr>
          <w:color w:val="auto"/>
        </w:rPr>
      </w:pPr>
      <w:r>
        <w:rPr>
          <w:color w:val="auto"/>
        </w:rPr>
        <w:t>本项目授权协商小组直接确认成交供应商，确认后</w:t>
      </w:r>
      <w:r>
        <w:rPr>
          <w:rFonts w:hint="eastAsia"/>
          <w:color w:val="auto"/>
          <w:lang w:val="en-US" w:eastAsia="zh-CN"/>
        </w:rPr>
        <w:t>采购人</w:t>
      </w:r>
      <w:r>
        <w:rPr>
          <w:color w:val="auto"/>
        </w:rPr>
        <w:t>在</w:t>
      </w:r>
      <w:r>
        <w:rPr>
          <w:rFonts w:hint="eastAsia"/>
          <w:color w:val="auto"/>
          <w:lang w:val="en-US" w:eastAsia="zh-CN"/>
        </w:rPr>
        <w:t>金堂县第一人民医院官网上</w:t>
      </w:r>
      <w:r>
        <w:rPr>
          <w:color w:val="auto"/>
        </w:rPr>
        <w:t>发布成交结果公告，同时向成交供应商发出成交通知书。</w:t>
      </w:r>
    </w:p>
    <w:p>
      <w:pPr>
        <w:pStyle w:val="77"/>
        <w:outlineLvl w:val="9"/>
        <w:rPr>
          <w:color w:val="auto"/>
        </w:rPr>
      </w:pPr>
      <w:r>
        <w:rPr>
          <w:rFonts w:hint="eastAsia"/>
          <w:b/>
          <w:color w:val="auto"/>
          <w:sz w:val="24"/>
          <w:lang w:eastAsia="zh-CN"/>
        </w:rPr>
        <w:t>（</w:t>
      </w:r>
      <w:r>
        <w:rPr>
          <w:rFonts w:hint="eastAsia"/>
          <w:b/>
          <w:color w:val="auto"/>
          <w:sz w:val="24"/>
          <w:lang w:val="en-US" w:eastAsia="zh-CN"/>
        </w:rPr>
        <w:t>十一</w:t>
      </w:r>
      <w:r>
        <w:rPr>
          <w:rFonts w:hint="eastAsia"/>
          <w:b/>
          <w:color w:val="auto"/>
          <w:sz w:val="24"/>
          <w:lang w:eastAsia="zh-CN"/>
        </w:rPr>
        <w:t>）</w:t>
      </w:r>
      <w:r>
        <w:rPr>
          <w:b/>
          <w:color w:val="auto"/>
          <w:sz w:val="24"/>
        </w:rPr>
        <w:t>协商小组成员义务</w:t>
      </w:r>
    </w:p>
    <w:p>
      <w:pPr>
        <w:pStyle w:val="77"/>
        <w:ind w:firstLine="480"/>
        <w:outlineLvl w:val="9"/>
        <w:rPr>
          <w:color w:val="auto"/>
        </w:rPr>
      </w:pPr>
      <w:r>
        <w:rPr>
          <w:color w:val="auto"/>
        </w:rPr>
        <w:t>一、遵守评审工作纪律；</w:t>
      </w:r>
    </w:p>
    <w:p>
      <w:pPr>
        <w:pStyle w:val="77"/>
        <w:ind w:firstLine="480"/>
        <w:outlineLvl w:val="9"/>
        <w:rPr>
          <w:color w:val="auto"/>
        </w:rPr>
      </w:pPr>
      <w:r>
        <w:rPr>
          <w:color w:val="auto"/>
        </w:rPr>
        <w:t>二、按照客观、公正、审慎的原则，根据采购文件规定的评审程序、评审方法和评审标准进行独立评审；</w:t>
      </w:r>
    </w:p>
    <w:p>
      <w:pPr>
        <w:pStyle w:val="77"/>
        <w:ind w:firstLine="480"/>
        <w:outlineLvl w:val="9"/>
        <w:rPr>
          <w:color w:val="auto"/>
        </w:rPr>
      </w:pPr>
      <w:r>
        <w:rPr>
          <w:color w:val="auto"/>
        </w:rPr>
        <w:t>三、不得泄露评审文件、评审情况和在评审过程中获悉的商业秘密；</w:t>
      </w:r>
    </w:p>
    <w:p>
      <w:pPr>
        <w:pStyle w:val="77"/>
        <w:ind w:firstLine="480"/>
        <w:outlineLvl w:val="9"/>
        <w:rPr>
          <w:color w:val="auto"/>
        </w:rPr>
      </w:pPr>
      <w:r>
        <w:rPr>
          <w:color w:val="auto"/>
        </w:rPr>
        <w:t>四、及时向监督管理部门报告评审过程中的违法违规情况，包括采购组织单位向评审专家作出倾向性、误导性的解释或者说明情况，供应商行贿、提供虚假材料或者串通情况，其他非法干预评审情况等；</w:t>
      </w:r>
    </w:p>
    <w:p>
      <w:pPr>
        <w:pStyle w:val="77"/>
        <w:ind w:firstLine="480"/>
        <w:outlineLvl w:val="9"/>
        <w:rPr>
          <w:color w:val="auto"/>
        </w:rPr>
      </w:pPr>
      <w:r>
        <w:rPr>
          <w:color w:val="auto"/>
        </w:rPr>
        <w:t>五、发现采购文件内容违反国家有关强制性规定或者存在歧义、重大缺陷导致评审工作无法进行时，停止评审并通过项目电子化交易系统向采购组织单位书面说明情况，说明停止评审的情形和具体理由；</w:t>
      </w:r>
    </w:p>
    <w:p>
      <w:pPr>
        <w:pStyle w:val="77"/>
        <w:ind w:firstLine="480"/>
        <w:outlineLvl w:val="9"/>
        <w:rPr>
          <w:color w:val="auto"/>
        </w:rPr>
      </w:pPr>
      <w:r>
        <w:rPr>
          <w:color w:val="auto"/>
        </w:rPr>
        <w:t>六、配合答复处理供应商的询问、质疑和投诉等事项；</w:t>
      </w:r>
    </w:p>
    <w:p>
      <w:pPr>
        <w:pStyle w:val="77"/>
        <w:ind w:firstLine="480"/>
        <w:outlineLvl w:val="9"/>
        <w:rPr>
          <w:color w:val="auto"/>
        </w:rPr>
      </w:pPr>
      <w:r>
        <w:rPr>
          <w:color w:val="auto"/>
        </w:rPr>
        <w:t>七、法律、法规和规章规定的其他义务。</w:t>
      </w:r>
    </w:p>
    <w:p>
      <w:pPr>
        <w:pStyle w:val="77"/>
        <w:outlineLvl w:val="9"/>
        <w:rPr>
          <w:color w:val="auto"/>
        </w:rPr>
      </w:pPr>
      <w:r>
        <w:rPr>
          <w:rFonts w:hint="eastAsia"/>
          <w:b/>
          <w:color w:val="auto"/>
          <w:sz w:val="24"/>
          <w:lang w:eastAsia="zh-CN"/>
        </w:rPr>
        <w:t>（</w:t>
      </w:r>
      <w:r>
        <w:rPr>
          <w:rFonts w:hint="eastAsia"/>
          <w:b/>
          <w:color w:val="auto"/>
          <w:sz w:val="24"/>
          <w:lang w:val="en-US" w:eastAsia="zh-CN"/>
        </w:rPr>
        <w:t>十二</w:t>
      </w:r>
      <w:r>
        <w:rPr>
          <w:rFonts w:hint="eastAsia"/>
          <w:b/>
          <w:color w:val="auto"/>
          <w:sz w:val="24"/>
          <w:lang w:eastAsia="zh-CN"/>
        </w:rPr>
        <w:t>）</w:t>
      </w:r>
      <w:r>
        <w:rPr>
          <w:b/>
          <w:color w:val="auto"/>
          <w:sz w:val="24"/>
        </w:rPr>
        <w:t>协商纪律</w:t>
      </w:r>
    </w:p>
    <w:p>
      <w:pPr>
        <w:pStyle w:val="77"/>
        <w:ind w:firstLine="480"/>
        <w:outlineLvl w:val="9"/>
        <w:rPr>
          <w:color w:val="auto"/>
        </w:rPr>
      </w:pPr>
      <w:r>
        <w:rPr>
          <w:color w:val="auto"/>
        </w:rPr>
        <w:t>协商小组成员在政府采购活动中应当遵守以下工作纪律：</w:t>
      </w:r>
    </w:p>
    <w:p>
      <w:pPr>
        <w:pStyle w:val="77"/>
        <w:ind w:firstLine="480"/>
        <w:outlineLvl w:val="9"/>
        <w:rPr>
          <w:color w:val="auto"/>
        </w:rPr>
      </w:pPr>
      <w:r>
        <w:rPr>
          <w:color w:val="auto"/>
        </w:rPr>
        <w:t>一、遵行《中华人民共和国政府采购法》第十二条和《中华人民共和国政府采购法实施条例》第九条及财政部关于回避的规定。</w:t>
      </w:r>
    </w:p>
    <w:p>
      <w:pPr>
        <w:pStyle w:val="77"/>
        <w:ind w:firstLine="480"/>
        <w:outlineLvl w:val="9"/>
        <w:rPr>
          <w:color w:val="auto"/>
        </w:rPr>
      </w:pPr>
      <w:r>
        <w:rPr>
          <w:color w:val="auto"/>
        </w:rPr>
        <w:t>二、评审前，应当将通讯工具或者相关电子设备交由</w:t>
      </w:r>
      <w:r>
        <w:rPr>
          <w:rFonts w:hint="eastAsia"/>
          <w:color w:val="auto"/>
          <w:lang w:val="en-US" w:eastAsia="zh-CN"/>
        </w:rPr>
        <w:t>采购人监督代表</w:t>
      </w:r>
      <w:r>
        <w:rPr>
          <w:color w:val="auto"/>
        </w:rPr>
        <w:t>统一保管。</w:t>
      </w:r>
    </w:p>
    <w:p>
      <w:pPr>
        <w:pStyle w:val="77"/>
        <w:ind w:firstLine="480"/>
        <w:outlineLvl w:val="9"/>
        <w:rPr>
          <w:color w:val="auto"/>
        </w:rPr>
      </w:pPr>
      <w:r>
        <w:rPr>
          <w:color w:val="auto"/>
        </w:rPr>
        <w:t>三、评审过程中，不得与外界联系，因发生不可预见情况，确实需要与外界联系的，应当在监督人员监督之下办理。</w:t>
      </w:r>
    </w:p>
    <w:p>
      <w:pPr>
        <w:pStyle w:val="77"/>
        <w:ind w:firstLine="480"/>
        <w:outlineLvl w:val="9"/>
        <w:rPr>
          <w:color w:val="auto"/>
        </w:rPr>
      </w:pPr>
      <w:r>
        <w:rPr>
          <w:color w:val="auto"/>
        </w:rPr>
        <w:t>四、评审过程中，不得干预或者影响正常评审工作， 不得发表倾向性、引导性意见，不得修改或细化采购文件确定的评审程序、评审方法、评审因素和评审标准，不得接受供应商主动提出的澄清和解释，不得征询采购人代表的意见，不得协商评分，不得违反规定的评审格式评分和撰写评审意见，不得拒绝对自己的评审意见签字确认。</w:t>
      </w:r>
    </w:p>
    <w:p>
      <w:pPr>
        <w:pStyle w:val="77"/>
        <w:ind w:firstLine="480"/>
        <w:outlineLvl w:val="9"/>
        <w:rPr>
          <w:color w:val="auto"/>
        </w:rPr>
      </w:pPr>
      <w:r>
        <w:rPr>
          <w:color w:val="auto"/>
        </w:rPr>
        <w:t>五、在评审过程中和评审结束后，不得记录、复制或带走任何评审资料，除因配合答复处理供应商的询问、质疑和投诉等事项外，不得向外界透露评审内容。</w:t>
      </w:r>
    </w:p>
    <w:p>
      <w:pPr>
        <w:pStyle w:val="77"/>
        <w:ind w:firstLine="480"/>
        <w:outlineLvl w:val="9"/>
        <w:rPr>
          <w:color w:val="auto"/>
        </w:rPr>
      </w:pPr>
      <w:r>
        <w:rPr>
          <w:color w:val="auto"/>
        </w:rPr>
        <w:t>六、服从评审现场采购组织单位的现场秩序管理，接受评审现场监督人员的合法监督。</w:t>
      </w:r>
    </w:p>
    <w:p>
      <w:pPr>
        <w:pStyle w:val="77"/>
        <w:ind w:firstLine="480"/>
        <w:outlineLvl w:val="9"/>
        <w:rPr>
          <w:color w:val="auto"/>
        </w:rPr>
      </w:pPr>
      <w:r>
        <w:rPr>
          <w:color w:val="auto"/>
        </w:rPr>
        <w:t>七、遵守有关廉洁自律规定，不得私下接触供应商， 不得收受供应商及有关业务单位和个人的财物或好处，不得接受采购组织单位的请托。</w:t>
      </w:r>
    </w:p>
    <w:p>
      <w:pPr>
        <w:widowControl/>
        <w:jc w:val="left"/>
        <w:outlineLvl w:val="9"/>
        <w:rPr>
          <w:color w:val="auto"/>
        </w:rPr>
      </w:pPr>
    </w:p>
    <w:p>
      <w:pPr>
        <w:pStyle w:val="25"/>
        <w:numPr>
          <w:ilvl w:val="0"/>
          <w:numId w:val="0"/>
        </w:numPr>
        <w:ind w:leftChars="0"/>
        <w:jc w:val="center"/>
        <w:outlineLvl w:val="0"/>
        <w:rPr>
          <w:rFonts w:hint="eastAsia" w:asciiTheme="minorHAnsi" w:hAnsiTheme="minorHAnsi" w:eastAsiaTheme="minorEastAsia" w:cstheme="minorBidi"/>
          <w:b/>
          <w:bCs w:val="0"/>
          <w:color w:val="auto"/>
          <w:kern w:val="0"/>
          <w:sz w:val="36"/>
          <w:szCs w:val="20"/>
          <w:lang w:val="en-US" w:eastAsia="zh-CN" w:bidi="ar-SA"/>
        </w:rPr>
      </w:pPr>
      <w:bookmarkStart w:id="47" w:name="_Toc15801"/>
      <w:r>
        <w:rPr>
          <w:rFonts w:hint="eastAsia" w:asciiTheme="minorHAnsi" w:hAnsiTheme="minorHAnsi" w:eastAsiaTheme="minorEastAsia" w:cstheme="minorBidi"/>
          <w:b/>
          <w:bCs w:val="0"/>
          <w:color w:val="auto"/>
          <w:kern w:val="0"/>
          <w:sz w:val="36"/>
          <w:szCs w:val="20"/>
          <w:lang w:val="en-US" w:eastAsia="zh-CN" w:bidi="ar-SA"/>
        </w:rPr>
        <w:t>第六章 合同主要条款（草案）</w:t>
      </w:r>
      <w:bookmarkEnd w:id="47"/>
    </w:p>
    <w:p>
      <w:pPr>
        <w:spacing w:line="480" w:lineRule="exact"/>
        <w:rPr>
          <w:rFonts w:asciiTheme="majorEastAsia" w:hAnsiTheme="majorEastAsia" w:eastAsiaTheme="majorEastAsia" w:cstheme="majorEastAsia"/>
          <w:color w:val="auto"/>
          <w:sz w:val="24"/>
        </w:rPr>
      </w:pPr>
    </w:p>
    <w:p>
      <w:pPr>
        <w:spacing w:line="48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合同编号：</w:t>
      </w:r>
    </w:p>
    <w:p>
      <w:pPr>
        <w:spacing w:line="48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甲方：                           </w:t>
      </w:r>
    </w:p>
    <w:p>
      <w:pPr>
        <w:spacing w:line="480" w:lineRule="exac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乙方：</w:t>
      </w:r>
    </w:p>
    <w:p>
      <w:pPr>
        <w:pStyle w:val="15"/>
        <w:rPr>
          <w:color w:val="auto"/>
        </w:rPr>
      </w:pPr>
    </w:p>
    <w:p>
      <w:pPr>
        <w:tabs>
          <w:tab w:val="left" w:pos="1050"/>
          <w:tab w:val="center" w:pos="4563"/>
        </w:tabs>
        <w:spacing w:line="360" w:lineRule="auto"/>
        <w:ind w:firstLine="480" w:firstLineChars="200"/>
        <w:jc w:val="left"/>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根据《中华人民共和国民法典》及金堂县第一人民医院</w:t>
      </w:r>
      <w:r>
        <w:rPr>
          <w:rFonts w:hint="eastAsia" w:asciiTheme="majorEastAsia" w:hAnsiTheme="majorEastAsia" w:eastAsiaTheme="majorEastAsia" w:cstheme="majorEastAsia"/>
          <w:color w:val="auto"/>
          <w:sz w:val="24"/>
          <w:u w:val="single"/>
          <w:lang w:val="en-US" w:eastAsia="zh-CN"/>
        </w:rPr>
        <w:t>XXXXX</w:t>
      </w:r>
      <w:r>
        <w:rPr>
          <w:rFonts w:hint="eastAsia" w:asciiTheme="majorEastAsia" w:hAnsiTheme="majorEastAsia" w:eastAsiaTheme="majorEastAsia" w:cstheme="majorEastAsia"/>
          <w:color w:val="auto"/>
          <w:sz w:val="24"/>
          <w:u w:val="single"/>
        </w:rPr>
        <w:t>采购项目</w:t>
      </w:r>
      <w:r>
        <w:rPr>
          <w:rFonts w:hint="eastAsia" w:asciiTheme="majorEastAsia" w:hAnsiTheme="majorEastAsia" w:eastAsiaTheme="majorEastAsia" w:cstheme="majorEastAsia"/>
          <w:color w:val="auto"/>
          <w:sz w:val="24"/>
        </w:rPr>
        <w:t>（项目编号：</w:t>
      </w:r>
      <w:r>
        <w:rPr>
          <w:rFonts w:hint="eastAsia" w:asciiTheme="majorEastAsia" w:hAnsiTheme="majorEastAsia" w:eastAsiaTheme="majorEastAsia" w:cstheme="majorEastAsia"/>
          <w:color w:val="auto"/>
          <w:sz w:val="24"/>
          <w:lang w:val="en-US" w:eastAsia="zh-CN"/>
        </w:rPr>
        <w:t>XXX</w:t>
      </w:r>
      <w:r>
        <w:rPr>
          <w:rFonts w:hint="eastAsia" w:asciiTheme="majorEastAsia" w:hAnsiTheme="majorEastAsia" w:eastAsiaTheme="majorEastAsia" w:cstheme="majorEastAsia"/>
          <w:color w:val="auto"/>
          <w:sz w:val="24"/>
        </w:rPr>
        <w:t>）的《采购文件》、乙方的《</w:t>
      </w:r>
      <w:r>
        <w:rPr>
          <w:rFonts w:hint="eastAsia" w:asciiTheme="majorEastAsia" w:hAnsiTheme="majorEastAsia" w:eastAsiaTheme="majorEastAsia" w:cstheme="majorEastAsia"/>
          <w:color w:val="auto"/>
          <w:sz w:val="24"/>
          <w:lang w:val="en-US" w:eastAsia="zh-CN"/>
        </w:rPr>
        <w:t>响应</w:t>
      </w:r>
      <w:r>
        <w:rPr>
          <w:rFonts w:hint="eastAsia" w:asciiTheme="majorEastAsia" w:hAnsiTheme="majorEastAsia" w:eastAsiaTheme="majorEastAsia" w:cstheme="majorEastAsia"/>
          <w:color w:val="auto"/>
          <w:sz w:val="24"/>
        </w:rPr>
        <w:t>文件》及《成交通知书》，甲、乙双方同意签订本合同。详细技术说明及其他有关合同项目的特定信息由合同附件予以说明，合同附件及本项目的《采购文件》、《</w:t>
      </w:r>
      <w:r>
        <w:rPr>
          <w:rFonts w:hint="eastAsia" w:asciiTheme="majorEastAsia" w:hAnsiTheme="majorEastAsia" w:eastAsiaTheme="majorEastAsia" w:cstheme="majorEastAsia"/>
          <w:color w:val="auto"/>
          <w:sz w:val="24"/>
          <w:lang w:val="en-US" w:eastAsia="zh-CN"/>
        </w:rPr>
        <w:t>响应</w:t>
      </w:r>
      <w:r>
        <w:rPr>
          <w:rFonts w:hint="eastAsia" w:asciiTheme="majorEastAsia" w:hAnsiTheme="majorEastAsia" w:eastAsiaTheme="majorEastAsia" w:cstheme="majorEastAsia"/>
          <w:color w:val="auto"/>
          <w:sz w:val="24"/>
        </w:rPr>
        <w:t>文件》、《成交通知书》均为本合同不可分割的部分。双方同意共同遵守如下条款：</w:t>
      </w:r>
    </w:p>
    <w:p>
      <w:pPr>
        <w:pStyle w:val="15"/>
        <w:rPr>
          <w:color w:val="auto"/>
        </w:rPr>
      </w:pP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一、合同服务包内容</w:t>
      </w:r>
    </w:p>
    <w:tbl>
      <w:tblPr>
        <w:tblStyle w:val="32"/>
        <w:tblW w:w="9020"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0"/>
        <w:gridCol w:w="1913"/>
        <w:gridCol w:w="1675"/>
        <w:gridCol w:w="18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 w:hRule="atLeast"/>
        </w:trPr>
        <w:tc>
          <w:tcPr>
            <w:tcW w:w="3580"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项目名称</w:t>
            </w:r>
          </w:p>
        </w:tc>
        <w:tc>
          <w:tcPr>
            <w:tcW w:w="1913"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服务年费（元）</w:t>
            </w:r>
          </w:p>
        </w:tc>
        <w:tc>
          <w:tcPr>
            <w:tcW w:w="1675"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服务年限（年）</w:t>
            </w:r>
          </w:p>
        </w:tc>
        <w:tc>
          <w:tcPr>
            <w:tcW w:w="1852" w:type="dxa"/>
            <w:vAlign w:val="center"/>
          </w:tcPr>
          <w:p>
            <w:pPr>
              <w:spacing w:line="480" w:lineRule="exact"/>
              <w:jc w:val="center"/>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总计（元）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7" w:hRule="atLeast"/>
        </w:trPr>
        <w:tc>
          <w:tcPr>
            <w:tcW w:w="3580" w:type="dxa"/>
            <w:vAlign w:val="center"/>
          </w:tcPr>
          <w:p>
            <w:pPr>
              <w:spacing w:line="480" w:lineRule="exact"/>
              <w:rPr>
                <w:rFonts w:hint="default" w:asciiTheme="majorEastAsia" w:hAnsiTheme="majorEastAsia" w:eastAsiaTheme="majorEastAsia" w:cstheme="majorEastAsia"/>
                <w:color w:val="auto"/>
                <w:sz w:val="24"/>
                <w:lang w:val="en-US" w:eastAsia="zh-CN"/>
              </w:rPr>
            </w:pPr>
            <w:r>
              <w:rPr>
                <w:rFonts w:hint="eastAsia" w:asciiTheme="majorEastAsia" w:hAnsiTheme="majorEastAsia" w:eastAsiaTheme="majorEastAsia" w:cstheme="majorEastAsia"/>
                <w:color w:val="auto"/>
                <w:sz w:val="21"/>
                <w:szCs w:val="21"/>
                <w:lang w:val="en-US" w:eastAsia="zh-CN"/>
              </w:rPr>
              <w:t>XXX</w:t>
            </w:r>
          </w:p>
        </w:tc>
        <w:tc>
          <w:tcPr>
            <w:tcW w:w="1913" w:type="dxa"/>
            <w:vAlign w:val="center"/>
          </w:tcPr>
          <w:p>
            <w:pPr>
              <w:spacing w:line="480" w:lineRule="exact"/>
              <w:jc w:val="center"/>
              <w:rPr>
                <w:rFonts w:hint="default" w:asciiTheme="majorEastAsia" w:hAnsiTheme="majorEastAsia" w:eastAsiaTheme="majorEastAsia" w:cstheme="majorEastAsia"/>
                <w:color w:val="auto"/>
                <w:sz w:val="24"/>
                <w:lang w:val="en-US"/>
              </w:rPr>
            </w:pPr>
            <w:r>
              <w:rPr>
                <w:rFonts w:hint="eastAsia" w:asciiTheme="majorEastAsia" w:hAnsiTheme="majorEastAsia" w:eastAsiaTheme="majorEastAsia" w:cstheme="majorEastAsia"/>
                <w:color w:val="auto"/>
                <w:sz w:val="24"/>
                <w:lang w:val="en-US" w:eastAsia="zh-CN"/>
              </w:rPr>
              <w:t>XX</w:t>
            </w:r>
          </w:p>
        </w:tc>
        <w:tc>
          <w:tcPr>
            <w:tcW w:w="1675" w:type="dxa"/>
            <w:vAlign w:val="center"/>
          </w:tcPr>
          <w:p>
            <w:pPr>
              <w:spacing w:line="480" w:lineRule="exact"/>
              <w:jc w:val="center"/>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XX</w:t>
            </w:r>
            <w:r>
              <w:rPr>
                <w:rFonts w:hint="eastAsia" w:asciiTheme="majorEastAsia" w:hAnsiTheme="majorEastAsia" w:eastAsiaTheme="majorEastAsia" w:cstheme="majorEastAsia"/>
                <w:color w:val="auto"/>
                <w:sz w:val="24"/>
              </w:rPr>
              <w:t xml:space="preserve">   </w:t>
            </w:r>
          </w:p>
        </w:tc>
        <w:tc>
          <w:tcPr>
            <w:tcW w:w="1852" w:type="dxa"/>
            <w:vAlign w:val="center"/>
          </w:tcPr>
          <w:p>
            <w:pPr>
              <w:spacing w:line="480" w:lineRule="exact"/>
              <w:jc w:val="center"/>
              <w:rPr>
                <w:rFonts w:hint="default" w:asciiTheme="majorEastAsia" w:hAnsiTheme="majorEastAsia" w:eastAsiaTheme="majorEastAsia" w:cstheme="majorEastAsia"/>
                <w:color w:val="auto"/>
                <w:sz w:val="24"/>
                <w:lang w:val="en-US" w:eastAsia="zh-CN"/>
              </w:rPr>
            </w:pPr>
            <w:r>
              <w:rPr>
                <w:rFonts w:hint="eastAsia" w:asciiTheme="majorEastAsia" w:hAnsiTheme="majorEastAsia" w:eastAsiaTheme="majorEastAsia" w:cstheme="majorEastAsia"/>
                <w:color w:val="auto"/>
                <w:sz w:val="24"/>
                <w:lang w:val="en-US" w:eastAsia="zh-CN"/>
              </w:rPr>
              <w:t>XXX</w:t>
            </w:r>
          </w:p>
        </w:tc>
      </w:tr>
    </w:tbl>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二、合同总价</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XXXX</w:t>
      </w:r>
      <w:r>
        <w:rPr>
          <w:rFonts w:hint="eastAsia" w:asciiTheme="majorEastAsia" w:hAnsiTheme="majorEastAsia" w:eastAsiaTheme="majorEastAsia" w:cstheme="majorEastAsia"/>
          <w:color w:val="auto"/>
          <w:sz w:val="24"/>
        </w:rPr>
        <w:t>。</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三、服务期限</w:t>
      </w:r>
    </w:p>
    <w:p>
      <w:pPr>
        <w:numPr>
          <w:ilvl w:val="255"/>
          <w:numId w:val="0"/>
        </w:num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lang w:val="en-US" w:eastAsia="zh-CN"/>
        </w:rPr>
        <w:t>XXXXX</w:t>
      </w:r>
      <w:r>
        <w:rPr>
          <w:rFonts w:hint="eastAsia" w:asciiTheme="majorEastAsia" w:hAnsiTheme="majorEastAsia" w:eastAsiaTheme="majorEastAsia" w:cstheme="majorEastAsia"/>
          <w:color w:val="auto"/>
          <w:sz w:val="24"/>
        </w:rPr>
        <w:t>。</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四、付款方式</w:t>
      </w:r>
    </w:p>
    <w:p>
      <w:pPr>
        <w:pStyle w:val="18"/>
        <w:snapToGrid w:val="0"/>
        <w:spacing w:line="480" w:lineRule="exact"/>
        <w:ind w:firstLine="480" w:firstLineChars="200"/>
        <w:rPr>
          <w:rFonts w:asciiTheme="majorEastAsia" w:hAnsiTheme="majorEastAsia" w:eastAsiaTheme="majorEastAsia" w:cstheme="majorEastAsia"/>
          <w:color w:val="auto"/>
        </w:rPr>
      </w:pPr>
      <w:r>
        <w:rPr>
          <w:rFonts w:hint="eastAsia" w:asciiTheme="majorEastAsia" w:hAnsiTheme="majorEastAsia" w:eastAsiaTheme="majorEastAsia" w:cstheme="majorEastAsia"/>
          <w:color w:val="auto"/>
          <w:lang w:val="en-US" w:eastAsia="zh-CN"/>
        </w:rPr>
        <w:t>XXXXX</w:t>
      </w:r>
      <w:r>
        <w:rPr>
          <w:rFonts w:hint="eastAsia" w:asciiTheme="majorEastAsia" w:hAnsiTheme="majorEastAsia" w:eastAsiaTheme="majorEastAsia" w:cstheme="majorEastAsia"/>
          <w:color w:val="auto"/>
        </w:rPr>
        <w:t xml:space="preserve">。 </w:t>
      </w:r>
    </w:p>
    <w:p>
      <w:pPr>
        <w:pStyle w:val="18"/>
        <w:snapToGrid w:val="0"/>
        <w:spacing w:line="480" w:lineRule="exact"/>
        <w:ind w:firstLine="480" w:firstLineChars="200"/>
        <w:rPr>
          <w:rFonts w:hint="eastAsia" w:asciiTheme="majorEastAsia" w:hAnsiTheme="majorEastAsia" w:eastAsiaTheme="majorEastAsia" w:cstheme="majorEastAsia"/>
          <w:b/>
          <w:bCs/>
          <w:color w:val="auto"/>
          <w:sz w:val="24"/>
        </w:rPr>
      </w:pPr>
      <w:r>
        <w:rPr>
          <w:rFonts w:hint="eastAsia" w:asciiTheme="majorEastAsia" w:hAnsiTheme="majorEastAsia" w:eastAsiaTheme="majorEastAsia" w:cstheme="majorEastAsia"/>
          <w:color w:val="auto"/>
        </w:rPr>
        <w:t xml:space="preserve"> </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五、服务内容</w:t>
      </w:r>
    </w:p>
    <w:p>
      <w:pPr>
        <w:pStyle w:val="18"/>
        <w:snapToGrid w:val="0"/>
        <w:ind w:firstLine="480" w:firstLineChars="200"/>
        <w:rPr>
          <w:rFonts w:hint="eastAsia" w:asciiTheme="majorEastAsia" w:hAnsiTheme="majorEastAsia" w:eastAsiaTheme="majorEastAsia" w:cstheme="majorEastAsia"/>
          <w:color w:val="auto"/>
          <w:kern w:val="2"/>
          <w:sz w:val="24"/>
          <w:szCs w:val="24"/>
          <w:lang w:val="en-US" w:eastAsia="zh-CN" w:bidi="ar-SA"/>
        </w:rPr>
      </w:pPr>
      <w:r>
        <w:rPr>
          <w:rFonts w:hint="eastAsia" w:asciiTheme="majorEastAsia" w:hAnsiTheme="majorEastAsia" w:eastAsiaTheme="majorEastAsia" w:cstheme="majorEastAsia"/>
          <w:color w:val="auto"/>
          <w:kern w:val="2"/>
          <w:sz w:val="24"/>
          <w:szCs w:val="24"/>
          <w:lang w:val="en-US" w:eastAsia="zh-CN" w:bidi="ar-SA"/>
        </w:rPr>
        <w:t>XXXXX。</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lang w:val="en-US" w:eastAsia="zh-CN"/>
        </w:rPr>
        <w:t>六、</w:t>
      </w:r>
      <w:r>
        <w:rPr>
          <w:rFonts w:hint="eastAsia" w:asciiTheme="majorEastAsia" w:hAnsiTheme="majorEastAsia" w:eastAsiaTheme="majorEastAsia" w:cstheme="majorEastAsia"/>
          <w:b/>
          <w:bCs/>
          <w:color w:val="auto"/>
          <w:sz w:val="24"/>
        </w:rPr>
        <w:t xml:space="preserve">  无产权瑕疵条款</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乙方保证所提供的服务的所有权完全属于乙方且无任何抵押、查封等产权瑕疵。如有产权瑕疵的，视为乙方违约。乙方应负担由此而产生的相应损失。</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lang w:val="en-US" w:eastAsia="zh-CN"/>
        </w:rPr>
        <w:t>七、</w:t>
      </w:r>
      <w:r>
        <w:rPr>
          <w:rFonts w:hint="eastAsia" w:asciiTheme="majorEastAsia" w:hAnsiTheme="majorEastAsia" w:eastAsiaTheme="majorEastAsia" w:cstheme="majorEastAsia"/>
          <w:b/>
          <w:bCs/>
          <w:color w:val="auto"/>
          <w:sz w:val="24"/>
        </w:rPr>
        <w:t xml:space="preserve">  违约责任</w:t>
      </w:r>
    </w:p>
    <w:p>
      <w:pPr>
        <w:spacing w:line="480" w:lineRule="exact"/>
        <w:ind w:firstLine="480" w:firstLineChars="200"/>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lang w:val="en-US" w:eastAsia="zh-CN"/>
        </w:rPr>
        <w:t>八、</w:t>
      </w:r>
      <w:r>
        <w:rPr>
          <w:rFonts w:hint="eastAsia" w:asciiTheme="majorEastAsia" w:hAnsiTheme="majorEastAsia" w:eastAsiaTheme="majorEastAsia" w:cstheme="majorEastAsia"/>
          <w:b/>
          <w:bCs/>
          <w:color w:val="auto"/>
          <w:sz w:val="24"/>
        </w:rPr>
        <w:t xml:space="preserve"> 不可抗力事件处理</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（一）在合同有效期内，任何一方因不可抗力事件导致不能履行合同，则合同履行期可延长，其延长期与不可抗力影响期相同。</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（二）不可抗力事件发生后，应立即书面通知对方，并寄送有关权威机构出具的证明。</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（三）不可抗力事件延续120天以上，双方应通过友好协商，确定是否继续履行合同。</w:t>
      </w:r>
    </w:p>
    <w:p>
      <w:pPr>
        <w:spacing w:line="480" w:lineRule="exact"/>
        <w:ind w:firstLine="480" w:firstLineChars="200"/>
        <w:rPr>
          <w:rFonts w:asciiTheme="majorEastAsia" w:hAnsiTheme="majorEastAsia" w:eastAsiaTheme="majorEastAsia" w:cstheme="majorEastAsia"/>
          <w:b/>
          <w:bCs/>
          <w:color w:val="auto"/>
          <w:sz w:val="24"/>
        </w:rPr>
      </w:pPr>
      <w:bookmarkStart w:id="48" w:name="_Toc225244857"/>
      <w:bookmarkStart w:id="49" w:name="_Toc232492933"/>
      <w:bookmarkStart w:id="50" w:name="_Toc211854454"/>
      <w:bookmarkStart w:id="51" w:name="_Toc239233919"/>
      <w:bookmarkStart w:id="52" w:name="_Toc212019599"/>
      <w:bookmarkStart w:id="53" w:name="_Toc237145411"/>
      <w:bookmarkStart w:id="54" w:name="_Toc225654649"/>
      <w:bookmarkStart w:id="55" w:name="_Toc185395254"/>
      <w:bookmarkStart w:id="56" w:name="_Toc239568423"/>
      <w:bookmarkStart w:id="57" w:name="_Toc241833908"/>
      <w:bookmarkStart w:id="58" w:name="_Toc251768867"/>
      <w:bookmarkStart w:id="59" w:name="_Toc286993792"/>
      <w:bookmarkStart w:id="60" w:name="_Toc238984980"/>
      <w:bookmarkStart w:id="61" w:name="_Toc247334846"/>
      <w:bookmarkStart w:id="62" w:name="_Toc211911353"/>
      <w:bookmarkStart w:id="63" w:name="_Toc225670756"/>
      <w:r>
        <w:rPr>
          <w:rFonts w:hint="eastAsia" w:asciiTheme="majorEastAsia" w:hAnsiTheme="majorEastAsia" w:eastAsiaTheme="majorEastAsia" w:cstheme="majorEastAsia"/>
          <w:b/>
          <w:bCs/>
          <w:color w:val="auto"/>
          <w:sz w:val="24"/>
          <w:lang w:val="en-US" w:eastAsia="zh-CN"/>
        </w:rPr>
        <w:t>九、、</w:t>
      </w:r>
      <w:r>
        <w:rPr>
          <w:rFonts w:hint="eastAsia" w:asciiTheme="majorEastAsia" w:hAnsiTheme="majorEastAsia" w:eastAsiaTheme="majorEastAsia" w:cstheme="majorEastAsia"/>
          <w:b/>
          <w:bCs/>
          <w:color w:val="auto"/>
          <w:sz w:val="24"/>
        </w:rPr>
        <w:t xml:space="preserve"> 解决合同纠纷的方式</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在执行本合同中发生的或与本合同有关的争端，双方应通过友好协商解决。经协商在60天内不能达成协议时，应向甲方所在地人民法院提起诉讼。  </w:t>
      </w:r>
    </w:p>
    <w:p>
      <w:pPr>
        <w:spacing w:line="480" w:lineRule="exact"/>
        <w:ind w:firstLine="480" w:firstLineChars="200"/>
        <w:rPr>
          <w:rFonts w:asciiTheme="majorEastAsia" w:hAnsiTheme="majorEastAsia" w:eastAsiaTheme="majorEastAsia" w:cstheme="majorEastAsia"/>
          <w:b/>
          <w:bCs/>
          <w:color w:val="auto"/>
          <w:sz w:val="24"/>
        </w:rPr>
      </w:pPr>
      <w:bookmarkStart w:id="64" w:name="_Toc251768868"/>
      <w:bookmarkStart w:id="65" w:name="_Toc211911354"/>
      <w:bookmarkStart w:id="66" w:name="_Toc283019219"/>
      <w:bookmarkStart w:id="67" w:name="_Toc212019600"/>
      <w:bookmarkStart w:id="68" w:name="_Toc211854455"/>
      <w:bookmarkStart w:id="69" w:name="_Toc239233920"/>
      <w:bookmarkStart w:id="70" w:name="_Toc247334847"/>
      <w:bookmarkStart w:id="71" w:name="_Toc225654650"/>
      <w:bookmarkStart w:id="72" w:name="_Toc241833909"/>
      <w:bookmarkStart w:id="73" w:name="_Toc185395255"/>
      <w:bookmarkStart w:id="74" w:name="_Toc282696231"/>
      <w:bookmarkStart w:id="75" w:name="_Toc238984981"/>
      <w:bookmarkStart w:id="76" w:name="_Toc232492934"/>
      <w:bookmarkStart w:id="77" w:name="_Toc286993793"/>
      <w:bookmarkStart w:id="78" w:name="_Toc225670757"/>
      <w:bookmarkStart w:id="79" w:name="_Toc239568424"/>
      <w:bookmarkStart w:id="80" w:name="_Toc237145412"/>
      <w:bookmarkStart w:id="81" w:name="_Toc225244858"/>
      <w:r>
        <w:rPr>
          <w:rFonts w:hint="eastAsia" w:asciiTheme="majorEastAsia" w:hAnsiTheme="majorEastAsia" w:eastAsiaTheme="majorEastAsia" w:cstheme="majorEastAsia"/>
          <w:b/>
          <w:bCs/>
          <w:color w:val="auto"/>
          <w:sz w:val="24"/>
          <w:lang w:val="en-US" w:eastAsia="zh-CN"/>
        </w:rPr>
        <w:t>十、</w:t>
      </w:r>
      <w:r>
        <w:rPr>
          <w:rFonts w:hint="eastAsia" w:asciiTheme="majorEastAsia" w:hAnsiTheme="majorEastAsia" w:eastAsiaTheme="majorEastAsia" w:cstheme="majorEastAsia"/>
          <w:b/>
          <w:bCs/>
          <w:color w:val="auto"/>
          <w:sz w:val="24"/>
        </w:rPr>
        <w:t xml:space="preserve"> 合同</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asciiTheme="majorEastAsia" w:hAnsiTheme="majorEastAsia" w:eastAsiaTheme="majorEastAsia" w:cstheme="majorEastAsia"/>
          <w:b/>
          <w:bCs/>
          <w:color w:val="auto"/>
          <w:sz w:val="24"/>
        </w:rPr>
        <w:t>生效及其他</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 xml:space="preserve">（一）合同经双方法定代表或授权委托代理人签字并加盖单位公章后生效。 </w:t>
      </w:r>
    </w:p>
    <w:p>
      <w:pPr>
        <w:spacing w:line="480" w:lineRule="exact"/>
        <w:ind w:firstLine="480" w:firstLineChars="200"/>
        <w:rPr>
          <w:rFonts w:asciiTheme="majorEastAsia" w:hAnsiTheme="majorEastAsia" w:eastAsiaTheme="majorEastAsia" w:cstheme="majorEastAsia"/>
          <w:color w:val="auto"/>
          <w:sz w:val="24"/>
        </w:rPr>
      </w:pPr>
      <w:r>
        <w:rPr>
          <w:rFonts w:hint="eastAsia" w:asciiTheme="majorEastAsia" w:hAnsiTheme="majorEastAsia" w:eastAsiaTheme="majorEastAsia" w:cstheme="majorEastAsia"/>
          <w:color w:val="auto"/>
          <w:sz w:val="24"/>
        </w:rPr>
        <w:t>（二）本合同一式陆份，甲方执肆份，乙方执贰份，具有同等法律效力。</w:t>
      </w:r>
    </w:p>
    <w:p>
      <w:pPr>
        <w:spacing w:line="480" w:lineRule="exact"/>
        <w:ind w:firstLine="480" w:firstLineChars="200"/>
        <w:rPr>
          <w:color w:val="auto"/>
        </w:rPr>
      </w:pPr>
      <w:r>
        <w:rPr>
          <w:rFonts w:hint="eastAsia" w:asciiTheme="majorEastAsia" w:hAnsiTheme="majorEastAsia" w:eastAsiaTheme="majorEastAsia" w:cstheme="majorEastAsia"/>
          <w:color w:val="auto"/>
          <w:sz w:val="24"/>
        </w:rPr>
        <w:t>（三）其他未尽事宜，由双方协商一致后签订补充合同。补充合同与本合同具有同等法律效力。</w:t>
      </w:r>
    </w:p>
    <w:tbl>
      <w:tblPr>
        <w:tblStyle w:val="33"/>
        <w:tblW w:w="926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379"/>
        <w:gridCol w:w="402"/>
        <w:gridCol w:w="447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甲方： （盖章）</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乙方：（盖章）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法定代表人（授权代表）：</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法定代表人（授权代表）：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地    址：</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地    址：</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 xml:space="preserve">开户银行： </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开户银行：</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账号：</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账号：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电话：</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43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签约日期：     年     月    日</w:t>
            </w:r>
          </w:p>
        </w:tc>
        <w:tc>
          <w:tcPr>
            <w:tcW w:w="402" w:type="dxa"/>
          </w:tcPr>
          <w:p>
            <w:pPr>
              <w:spacing w:line="480" w:lineRule="exact"/>
              <w:rPr>
                <w:rFonts w:asciiTheme="majorEastAsia" w:hAnsiTheme="majorEastAsia" w:eastAsiaTheme="majorEastAsia" w:cstheme="majorEastAsia"/>
                <w:b/>
                <w:bCs/>
                <w:color w:val="auto"/>
                <w:sz w:val="24"/>
              </w:rPr>
            </w:pPr>
          </w:p>
        </w:tc>
        <w:tc>
          <w:tcPr>
            <w:tcW w:w="4479" w:type="dxa"/>
          </w:tcPr>
          <w:p>
            <w:pPr>
              <w:spacing w:line="480" w:lineRule="exact"/>
              <w:rPr>
                <w:rFonts w:asciiTheme="majorEastAsia" w:hAnsiTheme="majorEastAsia" w:eastAsiaTheme="majorEastAsia" w:cstheme="majorEastAsia"/>
                <w:b/>
                <w:bCs/>
                <w:color w:val="auto"/>
                <w:sz w:val="24"/>
              </w:rPr>
            </w:pPr>
            <w:r>
              <w:rPr>
                <w:rFonts w:hint="eastAsia" w:asciiTheme="majorEastAsia" w:hAnsiTheme="majorEastAsia" w:eastAsiaTheme="majorEastAsia" w:cstheme="majorEastAsia"/>
                <w:b/>
                <w:bCs/>
                <w:color w:val="auto"/>
                <w:sz w:val="24"/>
              </w:rPr>
              <w:t>签约日期：      年    月    日</w:t>
            </w:r>
          </w:p>
        </w:tc>
      </w:tr>
    </w:tbl>
    <w:p>
      <w:pPr>
        <w:rPr>
          <w:rFonts w:hint="eastAsia" w:eastAsiaTheme="minorEastAsia"/>
          <w:color w:val="auto"/>
          <w:lang w:val="en-US" w:eastAsia="zh-CN"/>
        </w:rPr>
      </w:pPr>
      <w:r>
        <w:rPr>
          <w:rFonts w:hint="eastAsia"/>
          <w:color w:val="auto"/>
          <w:lang w:val="en-US" w:eastAsia="zh-CN"/>
        </w:rPr>
        <w:t xml:space="preserve"> </w:t>
      </w:r>
    </w:p>
    <w:p>
      <w:pPr>
        <w:outlineLvl w:val="9"/>
        <w:rPr>
          <w:color w:val="auto"/>
        </w:rPr>
      </w:pPr>
    </w:p>
    <w:bookmarkEnd w:id="82"/>
    <w:sectPr>
      <w:headerReference r:id="rId10" w:type="default"/>
      <w:footerReference r:id="rId11" w:type="default"/>
      <w:footerReference r:id="rId12" w:type="even"/>
      <w:pgSz w:w="11906" w:h="16838"/>
      <w:pgMar w:top="720" w:right="1274" w:bottom="720" w:left="1276"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Tms Rmn">
    <w:altName w:val="Segoe Print"/>
    <w:panose1 w:val="02020603040505020304"/>
    <w:charset w:val="00"/>
    <w:family w:val="roman"/>
    <w:pitch w:val="default"/>
    <w:sig w:usb0="00000000" w:usb1="00000000" w:usb2="00000000" w:usb3="00000000" w:csb0="00000001" w:csb1="00000000"/>
  </w:font>
  <w:font w:name="Eʩ">
    <w:altName w:val="微软雅黑"/>
    <w:panose1 w:val="00000000000000000000"/>
    <w:charset w:val="00"/>
    <w:family w:val="auto"/>
    <w:pitch w:val="default"/>
    <w:sig w:usb0="00000000" w:usb1="00000000" w:usb2="00000000" w:usb3="00000000" w:csb0="00040001"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楷体à.ā">
    <w:altName w:val="黑体"/>
    <w:panose1 w:val="00000000000000000000"/>
    <w:charset w:val="86"/>
    <w:family w:val="decorative"/>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幼圆">
    <w:altName w:val="宋体"/>
    <w:panose1 w:val="0201050906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14935" cy="131445"/>
              <wp:effectExtent l="0" t="0" r="0" b="0"/>
              <wp:wrapNone/>
              <wp:docPr id="29" name="文本框 4"/>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2"/>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4" o:spid="_x0000_s1026" o:spt="202" type="#_x0000_t202" style="position:absolute;left:0pt;margin-top:0pt;height:10.35pt;width:9.05pt;mso-position-horizontal:center;mso-position-horizontal-relative:margin;mso-wrap-style:none;z-index:251660288;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D5X5J&#10;0AAAAAMBAAAPAAAAAAAAAAEAIAAAACIAAABkcnMvZG93bnJldi54bWxQSwECFAAUAAAACACHTuJA&#10;QSEoG/ABAAC1AwAADgAAAAAAAAABACAAAAAfAQAAZHJzL2Uyb0RvYy54bWxQSwUGAAAAAAYABgBZ&#10;AQAAgQUAAAAA&#10;">
              <v:fill on="f" focussize="0,0"/>
              <v:stroke on="f"/>
              <v:imagedata o:title=""/>
              <o:lock v:ext="edit" aspectratio="f"/>
              <v:textbox inset="0mm,0mm,0mm,0mm" style="mso-fit-shape-to-text:t;">
                <w:txbxContent>
                  <w:p>
                    <w:pPr>
                      <w:pStyle w:val="22"/>
                    </w:pPr>
                    <w:r>
                      <w:rPr>
                        <w:rFonts w:hint="eastAsia"/>
                      </w:rPr>
                      <w:fldChar w:fldCharType="begin"/>
                    </w:r>
                    <w:r>
                      <w:rPr>
                        <w:rFonts w:hint="eastAsia"/>
                      </w:rPr>
                      <w:instrText xml:space="preserve"> PAGE  \* MERGEFORMAT </w:instrText>
                    </w:r>
                    <w:r>
                      <w:rPr>
                        <w:rFonts w:hint="eastAsia"/>
                      </w:rPr>
                      <w:fldChar w:fldCharType="separate"/>
                    </w:r>
                    <w:r>
                      <w:t>15</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14935" cy="131445"/>
              <wp:effectExtent l="0" t="0" r="0" b="0"/>
              <wp:wrapNone/>
              <wp:docPr id="28"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14935" cy="131445"/>
                      </a:xfrm>
                      <a:prstGeom prst="rect">
                        <a:avLst/>
                      </a:prstGeom>
                      <a:noFill/>
                      <a:ln>
                        <a:noFill/>
                      </a:ln>
                    </wps:spPr>
                    <wps:txbx>
                      <w:txbxContent>
                        <w:p>
                          <w:pPr>
                            <w:pStyle w:val="22"/>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wps:txbx>
                    <wps:bodyPr rot="0" vert="horz" wrap="none" lIns="0" tIns="0" rIns="0" bIns="0" anchor="t" anchorCtr="0" upright="1">
                      <a:spAutoFit/>
                    </wps:bodyPr>
                  </wps:wsp>
                </a:graphicData>
              </a:graphic>
            </wp:anchor>
          </w:drawing>
        </mc:Choice>
        <mc:Fallback>
          <w:pict>
            <v:shape id="文本框 5" o:spid="_x0000_s1026" o:spt="202" type="#_x0000_t202" style="position:absolute;left:0pt;margin-top:0pt;height:10.35pt;width:9.05pt;mso-position-horizontal:center;mso-position-horizontal-relative:margin;mso-wrap-style:none;z-index:251661312;mso-width-relative:page;mso-height-relative:page;" filled="f" stroked="f" coordsize="21600,21600" o:gfxdata="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EPlfknQ&#10;AAAAAwEAAA8AAAAAAAAAAQAgAAAAIgAAAGRycy9kb3ducmV2LnhtbFBLAQIUABQAAAAIAIdO4kA5&#10;lJtZ7wEAALUDAAAOAAAAAAAAAAEAIAAAAB8BAABkcnMvZTJvRG9jLnhtbFBLBQYAAAAABgAGAFkB&#10;AACABQAAAAA=&#10;">
              <v:fill on="f" focussize="0,0"/>
              <v:stroke on="f"/>
              <v:imagedata o:title=""/>
              <o:lock v:ext="edit" aspectratio="f"/>
              <v:textbox inset="0mm,0mm,0mm,0mm" style="mso-fit-shape-to-text:t;">
                <w:txbxContent>
                  <w:p>
                    <w:pPr>
                      <w:pStyle w:val="22"/>
                    </w:pPr>
                    <w:r>
                      <w:rPr>
                        <w:rFonts w:hint="eastAsia"/>
                      </w:rPr>
                      <w:fldChar w:fldCharType="begin"/>
                    </w:r>
                    <w:r>
                      <w:rPr>
                        <w:rFonts w:hint="eastAsia"/>
                      </w:rPr>
                      <w:instrText xml:space="preserve"> PAGE  \* MERGEFORMAT </w:instrText>
                    </w:r>
                    <w:r>
                      <w:rPr>
                        <w:rFonts w:hint="eastAsia"/>
                      </w:rPr>
                      <w:fldChar w:fldCharType="separate"/>
                    </w:r>
                    <w:r>
                      <w:t>16</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rPr>
        <w:rFonts w:hint="eastAsia"/>
      </w:rPr>
      <w:fldChar w:fldCharType="begin"/>
    </w:r>
    <w:r>
      <w:rPr>
        <w:rFonts w:hint="eastAsia"/>
      </w:rPr>
      <w:instrText xml:space="preserve"> PAGE  \* MERGEFORMAT </w:instrText>
    </w:r>
    <w:r>
      <w:rPr>
        <w:rFonts w:hint="eastAsia"/>
      </w:rPr>
      <w:fldChar w:fldCharType="separate"/>
    </w:r>
    <w:r>
      <w:t>17</w:t>
    </w:r>
    <w:r>
      <w:rPr>
        <w:rFonts w:hint="eastAs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right" w:y="1"/>
      <w:rPr>
        <w:rStyle w:val="35"/>
      </w:rPr>
    </w:pPr>
    <w:r>
      <w:fldChar w:fldCharType="begin"/>
    </w:r>
    <w:r>
      <w:rPr>
        <w:rStyle w:val="35"/>
      </w:rPr>
      <w:instrText xml:space="preserve">PAGE  </w:instrText>
    </w:r>
    <w:r>
      <w:fldChar w:fldCharType="end"/>
    </w:r>
  </w:p>
  <w:p>
    <w:pPr>
      <w:pStyle w:val="2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5"/>
      </w:rPr>
    </w:pPr>
    <w:r>
      <w:fldChar w:fldCharType="begin"/>
    </w:r>
    <w:r>
      <w:rPr>
        <w:rStyle w:val="35"/>
      </w:rPr>
      <w:instrText xml:space="preserve">PAGE  </w:instrText>
    </w:r>
    <w:r>
      <w:fldChar w:fldCharType="separate"/>
    </w:r>
    <w:r>
      <w:rPr>
        <w:rStyle w:val="35"/>
      </w:rPr>
      <w:t>54</w:t>
    </w:r>
    <w:r>
      <w:fldChar w:fldCharType="end"/>
    </w:r>
  </w:p>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35"/>
      </w:rPr>
    </w:pPr>
    <w:r>
      <w:fldChar w:fldCharType="begin"/>
    </w:r>
    <w:r>
      <w:rPr>
        <w:rStyle w:val="35"/>
      </w:rPr>
      <w:instrText xml:space="preserve">PAGE  </w:instrText>
    </w:r>
    <w:r>
      <w:fldChar w:fldCharType="separate"/>
    </w:r>
    <w:r>
      <w:rPr>
        <w:rStyle w:val="35"/>
      </w:rPr>
      <w:t>20</w:t>
    </w:r>
    <w:r>
      <w:fldChar w:fldCharType="end"/>
    </w:r>
  </w:p>
  <w:p>
    <w:pPr>
      <w:pStyle w:val="22"/>
      <w:ind w:right="360"/>
    </w:pPr>
  </w:p>
  <w:p/>
  <w:p/>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tabs>
        <w:tab w:val="right" w:pos="8640"/>
        <w:tab w:val="clear" w:pos="8306"/>
      </w:tabs>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8"/>
      <w:widowControl w:val="0"/>
      <w:spacing w:line="540" w:lineRule="exact"/>
      <w:jc w:val="center"/>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374015</wp:posOffset>
              </wp:positionV>
              <wp:extent cx="5829300" cy="0"/>
              <wp:effectExtent l="0" t="4445" r="0" b="5080"/>
              <wp:wrapNone/>
              <wp:docPr id="3" name="直接连接符 3"/>
              <wp:cNvGraphicFramePr/>
              <a:graphic xmlns:a="http://schemas.openxmlformats.org/drawingml/2006/main">
                <a:graphicData uri="http://schemas.microsoft.com/office/word/2010/wordprocessingShape">
                  <wps:wsp>
                    <wps:cNvCnPr>
                      <a:cxnSpLocks noChangeShapeType="1"/>
                    </wps:cNvCnPr>
                    <wps:spPr bwMode="auto">
                      <a:xfrm>
                        <a:off x="0" y="0"/>
                        <a:ext cx="5829300" cy="0"/>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0pt;margin-top:29.45pt;height:0pt;width:459pt;z-index:251659264;mso-width-relative:page;mso-height-relative:page;" filled="f" stroked="t" coordsize="21600,21600" o:gfxdata="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LuaGXTAAAABgEAAA8AAAAAAAAAAQAgAAAAIgAAAGRycy9k&#10;b3ducmV2LnhtbFBLAQIUABQAAAAIAIdO4kDorZymzgEAAGoDAAAOAAAAAAAAAAEAIAAAACIBAABk&#10;cnMvZTJvRG9jLnhtbFBLBQYAAAAABgAGAFkBAABiBQAAAAA=&#10;">
              <v:fill on="f" focussize="0,0"/>
              <v:stroke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567E4"/>
    <w:multiLevelType w:val="singleLevel"/>
    <w:tmpl w:val="830567E4"/>
    <w:lvl w:ilvl="0" w:tentative="0">
      <w:start w:val="1"/>
      <w:numFmt w:val="decimalEnclosedCircleChinese"/>
      <w:suff w:val="nothing"/>
      <w:lvlText w:val="%1　"/>
      <w:lvlJc w:val="left"/>
      <w:pPr>
        <w:ind w:left="0" w:firstLine="400"/>
      </w:pPr>
      <w:rPr>
        <w:rFonts w:hint="eastAsia"/>
      </w:rPr>
    </w:lvl>
  </w:abstractNum>
  <w:abstractNum w:abstractNumId="1">
    <w:nsid w:val="87FBC899"/>
    <w:multiLevelType w:val="singleLevel"/>
    <w:tmpl w:val="87FBC899"/>
    <w:lvl w:ilvl="0" w:tentative="0">
      <w:start w:val="1"/>
      <w:numFmt w:val="chineseCounting"/>
      <w:suff w:val="nothing"/>
      <w:lvlText w:val="%1、"/>
      <w:lvlJc w:val="left"/>
      <w:rPr>
        <w:rFonts w:hint="eastAsia"/>
      </w:rPr>
    </w:lvl>
  </w:abstractNum>
  <w:abstractNum w:abstractNumId="2">
    <w:nsid w:val="A833BE57"/>
    <w:multiLevelType w:val="singleLevel"/>
    <w:tmpl w:val="A833BE57"/>
    <w:lvl w:ilvl="0" w:tentative="0">
      <w:start w:val="1"/>
      <w:numFmt w:val="decimalEnclosedCircleChinese"/>
      <w:suff w:val="nothing"/>
      <w:lvlText w:val="%1　"/>
      <w:lvlJc w:val="left"/>
      <w:pPr>
        <w:ind w:left="0" w:firstLine="400"/>
      </w:pPr>
      <w:rPr>
        <w:rFonts w:hint="eastAsia"/>
      </w:rPr>
    </w:lvl>
  </w:abstractNum>
  <w:abstractNum w:abstractNumId="3">
    <w:nsid w:val="74344862"/>
    <w:multiLevelType w:val="multilevel"/>
    <w:tmpl w:val="74344862"/>
    <w:lvl w:ilvl="0" w:tentative="0">
      <w:start w:val="1"/>
      <w:numFmt w:val="decimal"/>
      <w:pStyle w:val="3"/>
      <w:isLgl/>
      <w:lvlText w:val="%1."/>
      <w:lvlJc w:val="left"/>
      <w:pPr>
        <w:tabs>
          <w:tab w:val="left" w:pos="360"/>
        </w:tabs>
        <w:ind w:left="0" w:firstLine="0"/>
      </w:pPr>
      <w:rPr>
        <w:rFonts w:hint="default" w:ascii="Arial" w:hAnsi="Arial"/>
        <w:b/>
        <w:i w:val="0"/>
        <w:sz w:val="32"/>
      </w:rPr>
    </w:lvl>
    <w:lvl w:ilvl="1" w:tentative="0">
      <w:start w:val="1"/>
      <w:numFmt w:val="decimal"/>
      <w:pStyle w:val="2"/>
      <w:lvlText w:val="%1.%2."/>
      <w:lvlJc w:val="left"/>
      <w:pPr>
        <w:tabs>
          <w:tab w:val="left" w:pos="1146"/>
        </w:tabs>
        <w:ind w:left="993" w:hanging="567"/>
      </w:pPr>
      <w:rPr>
        <w:rFonts w:hint="eastAsia"/>
      </w:rPr>
    </w:lvl>
    <w:lvl w:ilvl="2" w:tentative="0">
      <w:start w:val="1"/>
      <w:numFmt w:val="decimal"/>
      <w:pStyle w:val="4"/>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trackRevisions w:val="1"/>
  <w:documentProtection w:enforcement="0"/>
  <w:defaultTabStop w:val="420"/>
  <w:drawingGridHorizontalSpacing w:val="210"/>
  <w:drawingGridVerticalSpacing w:val="160"/>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I2MmExOGNmNjE1Njg4M2I0ZmZkYWJiMDVhNTlmNGQifQ=="/>
  </w:docVars>
  <w:rsids>
    <w:rsidRoot w:val="006541BA"/>
    <w:rsid w:val="00000CE3"/>
    <w:rsid w:val="00001247"/>
    <w:rsid w:val="0001167F"/>
    <w:rsid w:val="0001626A"/>
    <w:rsid w:val="00017FE5"/>
    <w:rsid w:val="00044782"/>
    <w:rsid w:val="000449EB"/>
    <w:rsid w:val="00053B07"/>
    <w:rsid w:val="00053B24"/>
    <w:rsid w:val="000547DE"/>
    <w:rsid w:val="00055524"/>
    <w:rsid w:val="000612AA"/>
    <w:rsid w:val="00062C5F"/>
    <w:rsid w:val="00066F50"/>
    <w:rsid w:val="000675BB"/>
    <w:rsid w:val="00077FAF"/>
    <w:rsid w:val="00085849"/>
    <w:rsid w:val="00091EFE"/>
    <w:rsid w:val="00094DFD"/>
    <w:rsid w:val="000B50C3"/>
    <w:rsid w:val="000B568B"/>
    <w:rsid w:val="000C739A"/>
    <w:rsid w:val="000D31F2"/>
    <w:rsid w:val="000D3340"/>
    <w:rsid w:val="000D3B9D"/>
    <w:rsid w:val="000E220E"/>
    <w:rsid w:val="000E2607"/>
    <w:rsid w:val="000E7FD0"/>
    <w:rsid w:val="000F04B8"/>
    <w:rsid w:val="000F0CC5"/>
    <w:rsid w:val="000F4100"/>
    <w:rsid w:val="00100562"/>
    <w:rsid w:val="00104AC4"/>
    <w:rsid w:val="00105569"/>
    <w:rsid w:val="001102D1"/>
    <w:rsid w:val="001138E3"/>
    <w:rsid w:val="00117A8D"/>
    <w:rsid w:val="00127470"/>
    <w:rsid w:val="00127E11"/>
    <w:rsid w:val="00133A63"/>
    <w:rsid w:val="00137E02"/>
    <w:rsid w:val="00147B73"/>
    <w:rsid w:val="00147CE6"/>
    <w:rsid w:val="0015228E"/>
    <w:rsid w:val="00152738"/>
    <w:rsid w:val="00152CBA"/>
    <w:rsid w:val="00155E8C"/>
    <w:rsid w:val="00167BFA"/>
    <w:rsid w:val="00172CF0"/>
    <w:rsid w:val="0017339C"/>
    <w:rsid w:val="0017498B"/>
    <w:rsid w:val="001757D2"/>
    <w:rsid w:val="001778F4"/>
    <w:rsid w:val="001855B7"/>
    <w:rsid w:val="00192F93"/>
    <w:rsid w:val="0019492F"/>
    <w:rsid w:val="00195016"/>
    <w:rsid w:val="001A4503"/>
    <w:rsid w:val="001A72E3"/>
    <w:rsid w:val="001B1F2F"/>
    <w:rsid w:val="001B6A76"/>
    <w:rsid w:val="001C05E1"/>
    <w:rsid w:val="001D3CE0"/>
    <w:rsid w:val="001D6486"/>
    <w:rsid w:val="001E260D"/>
    <w:rsid w:val="001E401F"/>
    <w:rsid w:val="001E5100"/>
    <w:rsid w:val="001E7352"/>
    <w:rsid w:val="001E76E8"/>
    <w:rsid w:val="001E7D18"/>
    <w:rsid w:val="001F2255"/>
    <w:rsid w:val="001F32D1"/>
    <w:rsid w:val="001F4F23"/>
    <w:rsid w:val="001F7FBF"/>
    <w:rsid w:val="0020771A"/>
    <w:rsid w:val="00212BAC"/>
    <w:rsid w:val="002160FB"/>
    <w:rsid w:val="002219C7"/>
    <w:rsid w:val="002251B0"/>
    <w:rsid w:val="00227638"/>
    <w:rsid w:val="00230ABE"/>
    <w:rsid w:val="00230DC1"/>
    <w:rsid w:val="0023189D"/>
    <w:rsid w:val="0023501A"/>
    <w:rsid w:val="0024798A"/>
    <w:rsid w:val="0025543C"/>
    <w:rsid w:val="00256367"/>
    <w:rsid w:val="00260E43"/>
    <w:rsid w:val="00262D82"/>
    <w:rsid w:val="00264A50"/>
    <w:rsid w:val="00265321"/>
    <w:rsid w:val="00271E5A"/>
    <w:rsid w:val="00275017"/>
    <w:rsid w:val="00275639"/>
    <w:rsid w:val="00276FB4"/>
    <w:rsid w:val="002860BF"/>
    <w:rsid w:val="002862E2"/>
    <w:rsid w:val="00293AD1"/>
    <w:rsid w:val="00294BCA"/>
    <w:rsid w:val="00294C64"/>
    <w:rsid w:val="00295DBE"/>
    <w:rsid w:val="00296D32"/>
    <w:rsid w:val="00297053"/>
    <w:rsid w:val="002A0571"/>
    <w:rsid w:val="002A1608"/>
    <w:rsid w:val="002A5178"/>
    <w:rsid w:val="002A666B"/>
    <w:rsid w:val="002A6BBC"/>
    <w:rsid w:val="002A75BC"/>
    <w:rsid w:val="002A7D43"/>
    <w:rsid w:val="002B472E"/>
    <w:rsid w:val="002C4FC5"/>
    <w:rsid w:val="002C5403"/>
    <w:rsid w:val="002D1D61"/>
    <w:rsid w:val="002D4224"/>
    <w:rsid w:val="002D5EE6"/>
    <w:rsid w:val="002D7DB0"/>
    <w:rsid w:val="002F1310"/>
    <w:rsid w:val="002F401D"/>
    <w:rsid w:val="002F65FD"/>
    <w:rsid w:val="00303DEC"/>
    <w:rsid w:val="00305C43"/>
    <w:rsid w:val="00306F9A"/>
    <w:rsid w:val="00313E1D"/>
    <w:rsid w:val="00314BD8"/>
    <w:rsid w:val="00324434"/>
    <w:rsid w:val="00324A3C"/>
    <w:rsid w:val="003315BE"/>
    <w:rsid w:val="0033253A"/>
    <w:rsid w:val="003332FF"/>
    <w:rsid w:val="0034014A"/>
    <w:rsid w:val="003411A0"/>
    <w:rsid w:val="00341911"/>
    <w:rsid w:val="00342900"/>
    <w:rsid w:val="00345A49"/>
    <w:rsid w:val="00347692"/>
    <w:rsid w:val="0034793B"/>
    <w:rsid w:val="00351343"/>
    <w:rsid w:val="00356015"/>
    <w:rsid w:val="00356A7C"/>
    <w:rsid w:val="00357538"/>
    <w:rsid w:val="00363012"/>
    <w:rsid w:val="003649AD"/>
    <w:rsid w:val="003652F1"/>
    <w:rsid w:val="00366C8C"/>
    <w:rsid w:val="00371956"/>
    <w:rsid w:val="003751E6"/>
    <w:rsid w:val="00386C16"/>
    <w:rsid w:val="003901DE"/>
    <w:rsid w:val="0039499B"/>
    <w:rsid w:val="003A0E6D"/>
    <w:rsid w:val="003A3936"/>
    <w:rsid w:val="003B20C4"/>
    <w:rsid w:val="003B3A42"/>
    <w:rsid w:val="003B5B0D"/>
    <w:rsid w:val="003B6825"/>
    <w:rsid w:val="003C0814"/>
    <w:rsid w:val="003C1715"/>
    <w:rsid w:val="003C3AE3"/>
    <w:rsid w:val="003C40F6"/>
    <w:rsid w:val="003C66E6"/>
    <w:rsid w:val="003D1C26"/>
    <w:rsid w:val="003D1FA6"/>
    <w:rsid w:val="003D3B2D"/>
    <w:rsid w:val="003D4743"/>
    <w:rsid w:val="003D5978"/>
    <w:rsid w:val="003E2CBA"/>
    <w:rsid w:val="003E4CC0"/>
    <w:rsid w:val="003F0A3B"/>
    <w:rsid w:val="00400E75"/>
    <w:rsid w:val="00405B7B"/>
    <w:rsid w:val="00424B75"/>
    <w:rsid w:val="00425253"/>
    <w:rsid w:val="00425804"/>
    <w:rsid w:val="00437F56"/>
    <w:rsid w:val="00441205"/>
    <w:rsid w:val="004424FB"/>
    <w:rsid w:val="00442A5D"/>
    <w:rsid w:val="00460735"/>
    <w:rsid w:val="00467C57"/>
    <w:rsid w:val="00472157"/>
    <w:rsid w:val="00473E4A"/>
    <w:rsid w:val="00485C1D"/>
    <w:rsid w:val="004862D9"/>
    <w:rsid w:val="004A503D"/>
    <w:rsid w:val="004A5D8C"/>
    <w:rsid w:val="004B2D39"/>
    <w:rsid w:val="004C1E64"/>
    <w:rsid w:val="004C4384"/>
    <w:rsid w:val="004C438A"/>
    <w:rsid w:val="004C4A5C"/>
    <w:rsid w:val="004C4B4D"/>
    <w:rsid w:val="004C5143"/>
    <w:rsid w:val="004C7241"/>
    <w:rsid w:val="004C7966"/>
    <w:rsid w:val="004D2B46"/>
    <w:rsid w:val="004D57C9"/>
    <w:rsid w:val="004D66F0"/>
    <w:rsid w:val="004D7ECB"/>
    <w:rsid w:val="004E52F4"/>
    <w:rsid w:val="004E7F91"/>
    <w:rsid w:val="004F1F26"/>
    <w:rsid w:val="004F43CB"/>
    <w:rsid w:val="00500B08"/>
    <w:rsid w:val="00504FF7"/>
    <w:rsid w:val="00505D2E"/>
    <w:rsid w:val="00506597"/>
    <w:rsid w:val="005104D7"/>
    <w:rsid w:val="00510619"/>
    <w:rsid w:val="0051488E"/>
    <w:rsid w:val="00516DE3"/>
    <w:rsid w:val="00516E48"/>
    <w:rsid w:val="00523C8B"/>
    <w:rsid w:val="00525D0F"/>
    <w:rsid w:val="00525E43"/>
    <w:rsid w:val="00527152"/>
    <w:rsid w:val="00531383"/>
    <w:rsid w:val="00532C9A"/>
    <w:rsid w:val="00535A78"/>
    <w:rsid w:val="005360E9"/>
    <w:rsid w:val="0054066B"/>
    <w:rsid w:val="005422C3"/>
    <w:rsid w:val="00542388"/>
    <w:rsid w:val="00545574"/>
    <w:rsid w:val="00560D4B"/>
    <w:rsid w:val="00562E7D"/>
    <w:rsid w:val="005661E3"/>
    <w:rsid w:val="005664FE"/>
    <w:rsid w:val="00566BB9"/>
    <w:rsid w:val="005701F6"/>
    <w:rsid w:val="00571714"/>
    <w:rsid w:val="005726F5"/>
    <w:rsid w:val="00577ABE"/>
    <w:rsid w:val="0058185E"/>
    <w:rsid w:val="00583C0E"/>
    <w:rsid w:val="00584EDD"/>
    <w:rsid w:val="00591531"/>
    <w:rsid w:val="00594CDA"/>
    <w:rsid w:val="005A1375"/>
    <w:rsid w:val="005A4EAC"/>
    <w:rsid w:val="005A5676"/>
    <w:rsid w:val="005B0227"/>
    <w:rsid w:val="005B2933"/>
    <w:rsid w:val="005C0E89"/>
    <w:rsid w:val="005C3193"/>
    <w:rsid w:val="005C69E9"/>
    <w:rsid w:val="005D14FD"/>
    <w:rsid w:val="005D7225"/>
    <w:rsid w:val="005E2C8C"/>
    <w:rsid w:val="005E45B2"/>
    <w:rsid w:val="005F09F5"/>
    <w:rsid w:val="005F5541"/>
    <w:rsid w:val="005F6D70"/>
    <w:rsid w:val="006030DA"/>
    <w:rsid w:val="0060387D"/>
    <w:rsid w:val="006063C7"/>
    <w:rsid w:val="00610341"/>
    <w:rsid w:val="00610442"/>
    <w:rsid w:val="006169D4"/>
    <w:rsid w:val="006176BB"/>
    <w:rsid w:val="0062312F"/>
    <w:rsid w:val="006330A1"/>
    <w:rsid w:val="006331EF"/>
    <w:rsid w:val="00635CB6"/>
    <w:rsid w:val="006413EE"/>
    <w:rsid w:val="006418B0"/>
    <w:rsid w:val="0064624E"/>
    <w:rsid w:val="0064688E"/>
    <w:rsid w:val="006522A1"/>
    <w:rsid w:val="006541BA"/>
    <w:rsid w:val="00656DEE"/>
    <w:rsid w:val="00657828"/>
    <w:rsid w:val="0066343B"/>
    <w:rsid w:val="00666A3D"/>
    <w:rsid w:val="00680BE5"/>
    <w:rsid w:val="006819B8"/>
    <w:rsid w:val="00683EFF"/>
    <w:rsid w:val="00691166"/>
    <w:rsid w:val="00693E26"/>
    <w:rsid w:val="00693E9F"/>
    <w:rsid w:val="00695B68"/>
    <w:rsid w:val="006A1C98"/>
    <w:rsid w:val="006A720A"/>
    <w:rsid w:val="006C032F"/>
    <w:rsid w:val="006C1DB3"/>
    <w:rsid w:val="006C494A"/>
    <w:rsid w:val="006C6EF5"/>
    <w:rsid w:val="006D2604"/>
    <w:rsid w:val="006D3032"/>
    <w:rsid w:val="006D5413"/>
    <w:rsid w:val="006D72AA"/>
    <w:rsid w:val="006D7AE2"/>
    <w:rsid w:val="006E0770"/>
    <w:rsid w:val="006E0B05"/>
    <w:rsid w:val="006E0E24"/>
    <w:rsid w:val="006F2261"/>
    <w:rsid w:val="006F3B14"/>
    <w:rsid w:val="006F57DB"/>
    <w:rsid w:val="006F7AA7"/>
    <w:rsid w:val="00703DAB"/>
    <w:rsid w:val="00710DE4"/>
    <w:rsid w:val="00712EAD"/>
    <w:rsid w:val="0071381C"/>
    <w:rsid w:val="00714802"/>
    <w:rsid w:val="00715D74"/>
    <w:rsid w:val="0072122A"/>
    <w:rsid w:val="00722448"/>
    <w:rsid w:val="0072392B"/>
    <w:rsid w:val="007265C7"/>
    <w:rsid w:val="00730914"/>
    <w:rsid w:val="007379C1"/>
    <w:rsid w:val="00740CAA"/>
    <w:rsid w:val="00740F23"/>
    <w:rsid w:val="00741485"/>
    <w:rsid w:val="00755E89"/>
    <w:rsid w:val="00755F47"/>
    <w:rsid w:val="00760CCB"/>
    <w:rsid w:val="00762331"/>
    <w:rsid w:val="00774F40"/>
    <w:rsid w:val="00775A62"/>
    <w:rsid w:val="00776ECD"/>
    <w:rsid w:val="0077778D"/>
    <w:rsid w:val="00782489"/>
    <w:rsid w:val="00784C86"/>
    <w:rsid w:val="0078558E"/>
    <w:rsid w:val="00785658"/>
    <w:rsid w:val="00791464"/>
    <w:rsid w:val="00793C38"/>
    <w:rsid w:val="00797C86"/>
    <w:rsid w:val="007A37E6"/>
    <w:rsid w:val="007A5D03"/>
    <w:rsid w:val="007A7DFD"/>
    <w:rsid w:val="007B5B04"/>
    <w:rsid w:val="007B5BED"/>
    <w:rsid w:val="007C09F3"/>
    <w:rsid w:val="007C46F8"/>
    <w:rsid w:val="007C51E4"/>
    <w:rsid w:val="007C7231"/>
    <w:rsid w:val="007D07F6"/>
    <w:rsid w:val="007D1F3D"/>
    <w:rsid w:val="007D2AC1"/>
    <w:rsid w:val="007D3AD8"/>
    <w:rsid w:val="007E232A"/>
    <w:rsid w:val="007E2400"/>
    <w:rsid w:val="007E4ABF"/>
    <w:rsid w:val="007E563A"/>
    <w:rsid w:val="007F0831"/>
    <w:rsid w:val="007F4080"/>
    <w:rsid w:val="007F4360"/>
    <w:rsid w:val="007F446E"/>
    <w:rsid w:val="007F6BCF"/>
    <w:rsid w:val="00801EED"/>
    <w:rsid w:val="00810706"/>
    <w:rsid w:val="00822CFE"/>
    <w:rsid w:val="008234C7"/>
    <w:rsid w:val="00824518"/>
    <w:rsid w:val="008349EC"/>
    <w:rsid w:val="00834B97"/>
    <w:rsid w:val="0083547C"/>
    <w:rsid w:val="00837607"/>
    <w:rsid w:val="00844CE6"/>
    <w:rsid w:val="008457BE"/>
    <w:rsid w:val="00846424"/>
    <w:rsid w:val="00852A2E"/>
    <w:rsid w:val="00864AD7"/>
    <w:rsid w:val="00871517"/>
    <w:rsid w:val="00872754"/>
    <w:rsid w:val="008745DD"/>
    <w:rsid w:val="00881F3F"/>
    <w:rsid w:val="008859B7"/>
    <w:rsid w:val="008912D8"/>
    <w:rsid w:val="008964A4"/>
    <w:rsid w:val="008A2C84"/>
    <w:rsid w:val="008A363F"/>
    <w:rsid w:val="008A4262"/>
    <w:rsid w:val="008A48EC"/>
    <w:rsid w:val="008B1E50"/>
    <w:rsid w:val="008B3150"/>
    <w:rsid w:val="008B52ED"/>
    <w:rsid w:val="008C0D94"/>
    <w:rsid w:val="008C239B"/>
    <w:rsid w:val="008C3872"/>
    <w:rsid w:val="008C4023"/>
    <w:rsid w:val="008C7C02"/>
    <w:rsid w:val="008D7CC9"/>
    <w:rsid w:val="008E0EE7"/>
    <w:rsid w:val="008E260C"/>
    <w:rsid w:val="008E3ADB"/>
    <w:rsid w:val="008E43DF"/>
    <w:rsid w:val="008F3252"/>
    <w:rsid w:val="008F4191"/>
    <w:rsid w:val="008F4272"/>
    <w:rsid w:val="0090029B"/>
    <w:rsid w:val="00902F0A"/>
    <w:rsid w:val="00905A37"/>
    <w:rsid w:val="009077AC"/>
    <w:rsid w:val="00907E14"/>
    <w:rsid w:val="009115F9"/>
    <w:rsid w:val="00912672"/>
    <w:rsid w:val="009205D7"/>
    <w:rsid w:val="009228C4"/>
    <w:rsid w:val="009253ED"/>
    <w:rsid w:val="00925C13"/>
    <w:rsid w:val="00932BA1"/>
    <w:rsid w:val="00932F5F"/>
    <w:rsid w:val="009332E7"/>
    <w:rsid w:val="0094218B"/>
    <w:rsid w:val="00943FBF"/>
    <w:rsid w:val="0095623D"/>
    <w:rsid w:val="00965B8C"/>
    <w:rsid w:val="009661D8"/>
    <w:rsid w:val="00967190"/>
    <w:rsid w:val="00967B4E"/>
    <w:rsid w:val="00973D81"/>
    <w:rsid w:val="00975EDC"/>
    <w:rsid w:val="00977375"/>
    <w:rsid w:val="0098226E"/>
    <w:rsid w:val="00987D0B"/>
    <w:rsid w:val="009929C1"/>
    <w:rsid w:val="009930F6"/>
    <w:rsid w:val="0099428E"/>
    <w:rsid w:val="009A36E9"/>
    <w:rsid w:val="009A72AB"/>
    <w:rsid w:val="009B0EE2"/>
    <w:rsid w:val="009B41FB"/>
    <w:rsid w:val="009C1E86"/>
    <w:rsid w:val="009C586E"/>
    <w:rsid w:val="009D27FE"/>
    <w:rsid w:val="009D47F8"/>
    <w:rsid w:val="009E18D3"/>
    <w:rsid w:val="009E30F2"/>
    <w:rsid w:val="009E75A1"/>
    <w:rsid w:val="009E79AC"/>
    <w:rsid w:val="009F2726"/>
    <w:rsid w:val="00A175AF"/>
    <w:rsid w:val="00A22A87"/>
    <w:rsid w:val="00A25922"/>
    <w:rsid w:val="00A25E1D"/>
    <w:rsid w:val="00A346F5"/>
    <w:rsid w:val="00A414AF"/>
    <w:rsid w:val="00A431C2"/>
    <w:rsid w:val="00A524EB"/>
    <w:rsid w:val="00A53050"/>
    <w:rsid w:val="00A54C69"/>
    <w:rsid w:val="00A66436"/>
    <w:rsid w:val="00A74BE6"/>
    <w:rsid w:val="00A766F4"/>
    <w:rsid w:val="00A80EAE"/>
    <w:rsid w:val="00A85538"/>
    <w:rsid w:val="00A91EF9"/>
    <w:rsid w:val="00A925A3"/>
    <w:rsid w:val="00A9522C"/>
    <w:rsid w:val="00A95561"/>
    <w:rsid w:val="00A971BA"/>
    <w:rsid w:val="00A971C0"/>
    <w:rsid w:val="00A97CE7"/>
    <w:rsid w:val="00AA7AD2"/>
    <w:rsid w:val="00AA7F59"/>
    <w:rsid w:val="00AB2259"/>
    <w:rsid w:val="00AB7DA3"/>
    <w:rsid w:val="00AC262E"/>
    <w:rsid w:val="00AD0526"/>
    <w:rsid w:val="00AD30CB"/>
    <w:rsid w:val="00AE3867"/>
    <w:rsid w:val="00AE6829"/>
    <w:rsid w:val="00AE7937"/>
    <w:rsid w:val="00AF00FE"/>
    <w:rsid w:val="00AF1320"/>
    <w:rsid w:val="00AF2379"/>
    <w:rsid w:val="00AF61A0"/>
    <w:rsid w:val="00B00FC7"/>
    <w:rsid w:val="00B0188C"/>
    <w:rsid w:val="00B02CF4"/>
    <w:rsid w:val="00B069CB"/>
    <w:rsid w:val="00B071B4"/>
    <w:rsid w:val="00B10979"/>
    <w:rsid w:val="00B14D3F"/>
    <w:rsid w:val="00B17FEE"/>
    <w:rsid w:val="00B2232A"/>
    <w:rsid w:val="00B323DD"/>
    <w:rsid w:val="00B32AAB"/>
    <w:rsid w:val="00B373FF"/>
    <w:rsid w:val="00B452A9"/>
    <w:rsid w:val="00B47D61"/>
    <w:rsid w:val="00B53D23"/>
    <w:rsid w:val="00B612DA"/>
    <w:rsid w:val="00B639A3"/>
    <w:rsid w:val="00B64B2B"/>
    <w:rsid w:val="00B651EB"/>
    <w:rsid w:val="00B65673"/>
    <w:rsid w:val="00B80003"/>
    <w:rsid w:val="00B929C4"/>
    <w:rsid w:val="00B938F0"/>
    <w:rsid w:val="00B939B7"/>
    <w:rsid w:val="00B94C62"/>
    <w:rsid w:val="00B96B05"/>
    <w:rsid w:val="00B96F3E"/>
    <w:rsid w:val="00BA068B"/>
    <w:rsid w:val="00BA21CF"/>
    <w:rsid w:val="00BA2FDF"/>
    <w:rsid w:val="00BA3CE1"/>
    <w:rsid w:val="00BA4490"/>
    <w:rsid w:val="00BB6A5A"/>
    <w:rsid w:val="00BB7E6A"/>
    <w:rsid w:val="00BC027A"/>
    <w:rsid w:val="00BC4FFF"/>
    <w:rsid w:val="00BD06A1"/>
    <w:rsid w:val="00BD0748"/>
    <w:rsid w:val="00BD36A6"/>
    <w:rsid w:val="00BD4339"/>
    <w:rsid w:val="00BD6BAB"/>
    <w:rsid w:val="00BE417E"/>
    <w:rsid w:val="00BE69B5"/>
    <w:rsid w:val="00BE70BD"/>
    <w:rsid w:val="00BF29B3"/>
    <w:rsid w:val="00C00249"/>
    <w:rsid w:val="00C008EC"/>
    <w:rsid w:val="00C02014"/>
    <w:rsid w:val="00C028D9"/>
    <w:rsid w:val="00C03E78"/>
    <w:rsid w:val="00C20AB9"/>
    <w:rsid w:val="00C20CCD"/>
    <w:rsid w:val="00C215EB"/>
    <w:rsid w:val="00C353A0"/>
    <w:rsid w:val="00C36772"/>
    <w:rsid w:val="00C367FA"/>
    <w:rsid w:val="00C40AF7"/>
    <w:rsid w:val="00C4146B"/>
    <w:rsid w:val="00C4477E"/>
    <w:rsid w:val="00C53BA5"/>
    <w:rsid w:val="00C55F4E"/>
    <w:rsid w:val="00C5681C"/>
    <w:rsid w:val="00C568D5"/>
    <w:rsid w:val="00C73787"/>
    <w:rsid w:val="00C74E22"/>
    <w:rsid w:val="00C772E0"/>
    <w:rsid w:val="00C81F50"/>
    <w:rsid w:val="00C95556"/>
    <w:rsid w:val="00C97062"/>
    <w:rsid w:val="00CA0808"/>
    <w:rsid w:val="00CA62C6"/>
    <w:rsid w:val="00CA6849"/>
    <w:rsid w:val="00CA71EE"/>
    <w:rsid w:val="00CA78AF"/>
    <w:rsid w:val="00CB2C46"/>
    <w:rsid w:val="00CB4BA4"/>
    <w:rsid w:val="00CC35C1"/>
    <w:rsid w:val="00CD5FF2"/>
    <w:rsid w:val="00CE0AC8"/>
    <w:rsid w:val="00CE76A4"/>
    <w:rsid w:val="00CF06DE"/>
    <w:rsid w:val="00CF0CD7"/>
    <w:rsid w:val="00CF24BB"/>
    <w:rsid w:val="00CF7938"/>
    <w:rsid w:val="00D02625"/>
    <w:rsid w:val="00D02B7B"/>
    <w:rsid w:val="00D0473D"/>
    <w:rsid w:val="00D0635E"/>
    <w:rsid w:val="00D12058"/>
    <w:rsid w:val="00D21C24"/>
    <w:rsid w:val="00D24C3A"/>
    <w:rsid w:val="00D25D95"/>
    <w:rsid w:val="00D436BF"/>
    <w:rsid w:val="00D44C7B"/>
    <w:rsid w:val="00D45D42"/>
    <w:rsid w:val="00D505AF"/>
    <w:rsid w:val="00D51E6D"/>
    <w:rsid w:val="00D609DE"/>
    <w:rsid w:val="00D60C13"/>
    <w:rsid w:val="00D64C5C"/>
    <w:rsid w:val="00D70831"/>
    <w:rsid w:val="00D7162C"/>
    <w:rsid w:val="00D72DC3"/>
    <w:rsid w:val="00D74C2A"/>
    <w:rsid w:val="00D865E7"/>
    <w:rsid w:val="00D86D60"/>
    <w:rsid w:val="00D9103D"/>
    <w:rsid w:val="00D94313"/>
    <w:rsid w:val="00D97B8D"/>
    <w:rsid w:val="00DA2DA1"/>
    <w:rsid w:val="00DA362E"/>
    <w:rsid w:val="00DA6C49"/>
    <w:rsid w:val="00DB053F"/>
    <w:rsid w:val="00DB5DBD"/>
    <w:rsid w:val="00DB74CD"/>
    <w:rsid w:val="00DC3983"/>
    <w:rsid w:val="00DC5592"/>
    <w:rsid w:val="00DC68E3"/>
    <w:rsid w:val="00DD6B8A"/>
    <w:rsid w:val="00DE2331"/>
    <w:rsid w:val="00DE5011"/>
    <w:rsid w:val="00DF5BA4"/>
    <w:rsid w:val="00DF7F3F"/>
    <w:rsid w:val="00E01593"/>
    <w:rsid w:val="00E044A8"/>
    <w:rsid w:val="00E0465B"/>
    <w:rsid w:val="00E1342D"/>
    <w:rsid w:val="00E22E78"/>
    <w:rsid w:val="00E23AA9"/>
    <w:rsid w:val="00E26592"/>
    <w:rsid w:val="00E410B7"/>
    <w:rsid w:val="00E43D99"/>
    <w:rsid w:val="00E45153"/>
    <w:rsid w:val="00E55E54"/>
    <w:rsid w:val="00E65631"/>
    <w:rsid w:val="00E6657B"/>
    <w:rsid w:val="00E70B7E"/>
    <w:rsid w:val="00E723B7"/>
    <w:rsid w:val="00E72F72"/>
    <w:rsid w:val="00E83A00"/>
    <w:rsid w:val="00E84DF5"/>
    <w:rsid w:val="00E84E57"/>
    <w:rsid w:val="00E86DF5"/>
    <w:rsid w:val="00E87C9D"/>
    <w:rsid w:val="00E914EE"/>
    <w:rsid w:val="00E920E3"/>
    <w:rsid w:val="00E93B99"/>
    <w:rsid w:val="00E96156"/>
    <w:rsid w:val="00E9763B"/>
    <w:rsid w:val="00EA176F"/>
    <w:rsid w:val="00EA1964"/>
    <w:rsid w:val="00EA42EC"/>
    <w:rsid w:val="00EB3115"/>
    <w:rsid w:val="00EB352A"/>
    <w:rsid w:val="00EB5571"/>
    <w:rsid w:val="00EB5D3A"/>
    <w:rsid w:val="00EB79FC"/>
    <w:rsid w:val="00EC4F1E"/>
    <w:rsid w:val="00ED054F"/>
    <w:rsid w:val="00EE54FE"/>
    <w:rsid w:val="00EE5655"/>
    <w:rsid w:val="00F03A65"/>
    <w:rsid w:val="00F04E64"/>
    <w:rsid w:val="00F11A57"/>
    <w:rsid w:val="00F148D6"/>
    <w:rsid w:val="00F172BD"/>
    <w:rsid w:val="00F22B70"/>
    <w:rsid w:val="00F27B83"/>
    <w:rsid w:val="00F30CCF"/>
    <w:rsid w:val="00F34151"/>
    <w:rsid w:val="00F40A4E"/>
    <w:rsid w:val="00F42A1A"/>
    <w:rsid w:val="00F43978"/>
    <w:rsid w:val="00F53AD4"/>
    <w:rsid w:val="00F53B80"/>
    <w:rsid w:val="00F645B8"/>
    <w:rsid w:val="00F670F9"/>
    <w:rsid w:val="00F75789"/>
    <w:rsid w:val="00F772D1"/>
    <w:rsid w:val="00F77A3D"/>
    <w:rsid w:val="00F8021F"/>
    <w:rsid w:val="00F81CFD"/>
    <w:rsid w:val="00F82CBF"/>
    <w:rsid w:val="00F8500C"/>
    <w:rsid w:val="00F90D72"/>
    <w:rsid w:val="00FA3CC3"/>
    <w:rsid w:val="00FA7963"/>
    <w:rsid w:val="00FB04CC"/>
    <w:rsid w:val="00FB4AF3"/>
    <w:rsid w:val="00FC205F"/>
    <w:rsid w:val="00FC4FFD"/>
    <w:rsid w:val="00FC743A"/>
    <w:rsid w:val="00FD0CD6"/>
    <w:rsid w:val="00FD12CA"/>
    <w:rsid w:val="00FD2260"/>
    <w:rsid w:val="00FD4A85"/>
    <w:rsid w:val="00FD62E3"/>
    <w:rsid w:val="00FD64CE"/>
    <w:rsid w:val="00FE13A5"/>
    <w:rsid w:val="00FE1979"/>
    <w:rsid w:val="00FE3741"/>
    <w:rsid w:val="00FE4D2C"/>
    <w:rsid w:val="00FE672D"/>
    <w:rsid w:val="00FF0826"/>
    <w:rsid w:val="00FF16C8"/>
    <w:rsid w:val="00FF4876"/>
    <w:rsid w:val="00FF58ED"/>
    <w:rsid w:val="00FF6240"/>
    <w:rsid w:val="00FF7074"/>
    <w:rsid w:val="01101D80"/>
    <w:rsid w:val="014D6857"/>
    <w:rsid w:val="014E082C"/>
    <w:rsid w:val="01A87487"/>
    <w:rsid w:val="01D54965"/>
    <w:rsid w:val="02867317"/>
    <w:rsid w:val="02AB4956"/>
    <w:rsid w:val="02F078CB"/>
    <w:rsid w:val="032927FD"/>
    <w:rsid w:val="032F1019"/>
    <w:rsid w:val="037E332B"/>
    <w:rsid w:val="038E3F29"/>
    <w:rsid w:val="03D8731A"/>
    <w:rsid w:val="03DB5745"/>
    <w:rsid w:val="03E22801"/>
    <w:rsid w:val="04623A96"/>
    <w:rsid w:val="04757E5A"/>
    <w:rsid w:val="047E56AB"/>
    <w:rsid w:val="04A6472B"/>
    <w:rsid w:val="050C5045"/>
    <w:rsid w:val="0515361A"/>
    <w:rsid w:val="05521466"/>
    <w:rsid w:val="05531A5E"/>
    <w:rsid w:val="05A53571"/>
    <w:rsid w:val="05B156C4"/>
    <w:rsid w:val="068271A4"/>
    <w:rsid w:val="06B4057C"/>
    <w:rsid w:val="075068A2"/>
    <w:rsid w:val="07547A5D"/>
    <w:rsid w:val="07CE6041"/>
    <w:rsid w:val="08836E46"/>
    <w:rsid w:val="08A552B2"/>
    <w:rsid w:val="08AF07AD"/>
    <w:rsid w:val="08F67DD0"/>
    <w:rsid w:val="09F474CA"/>
    <w:rsid w:val="0A1C5DD1"/>
    <w:rsid w:val="0AB21865"/>
    <w:rsid w:val="0ABF1CEC"/>
    <w:rsid w:val="0B523273"/>
    <w:rsid w:val="0B557D51"/>
    <w:rsid w:val="0B892A53"/>
    <w:rsid w:val="0BB3266D"/>
    <w:rsid w:val="0BC85179"/>
    <w:rsid w:val="0BFA31AE"/>
    <w:rsid w:val="0C3B75B5"/>
    <w:rsid w:val="0CFD7A04"/>
    <w:rsid w:val="0D1B1ED9"/>
    <w:rsid w:val="0D2569F0"/>
    <w:rsid w:val="0D3044B3"/>
    <w:rsid w:val="0D7A4D1A"/>
    <w:rsid w:val="0D96706B"/>
    <w:rsid w:val="0DAA28E8"/>
    <w:rsid w:val="0DB666A6"/>
    <w:rsid w:val="0DC16DE7"/>
    <w:rsid w:val="0DD90D27"/>
    <w:rsid w:val="0DED5218"/>
    <w:rsid w:val="0E2D69DD"/>
    <w:rsid w:val="0E3A2152"/>
    <w:rsid w:val="0F817691"/>
    <w:rsid w:val="0FA357F0"/>
    <w:rsid w:val="0FE7277A"/>
    <w:rsid w:val="0FFA2900"/>
    <w:rsid w:val="10264904"/>
    <w:rsid w:val="10466C14"/>
    <w:rsid w:val="10A174C3"/>
    <w:rsid w:val="10A267D6"/>
    <w:rsid w:val="10A4751F"/>
    <w:rsid w:val="10AD3649"/>
    <w:rsid w:val="10C125ED"/>
    <w:rsid w:val="10CA0F34"/>
    <w:rsid w:val="10E4161C"/>
    <w:rsid w:val="10F57012"/>
    <w:rsid w:val="11417CDC"/>
    <w:rsid w:val="114535BD"/>
    <w:rsid w:val="12007E45"/>
    <w:rsid w:val="120819FF"/>
    <w:rsid w:val="12413D84"/>
    <w:rsid w:val="12602769"/>
    <w:rsid w:val="12984022"/>
    <w:rsid w:val="12994474"/>
    <w:rsid w:val="129A4083"/>
    <w:rsid w:val="12F26F66"/>
    <w:rsid w:val="130E04BA"/>
    <w:rsid w:val="131677A2"/>
    <w:rsid w:val="13436DD4"/>
    <w:rsid w:val="134A2779"/>
    <w:rsid w:val="1369506B"/>
    <w:rsid w:val="13C97F89"/>
    <w:rsid w:val="1439767B"/>
    <w:rsid w:val="146E0485"/>
    <w:rsid w:val="14701411"/>
    <w:rsid w:val="14832EA6"/>
    <w:rsid w:val="14B153D5"/>
    <w:rsid w:val="15514FBF"/>
    <w:rsid w:val="15965649"/>
    <w:rsid w:val="15A17710"/>
    <w:rsid w:val="15BE1EA8"/>
    <w:rsid w:val="165247B2"/>
    <w:rsid w:val="16AD56BB"/>
    <w:rsid w:val="16E53436"/>
    <w:rsid w:val="171175BC"/>
    <w:rsid w:val="1741447B"/>
    <w:rsid w:val="17697A6C"/>
    <w:rsid w:val="177C6A8A"/>
    <w:rsid w:val="17A40C19"/>
    <w:rsid w:val="17E76C4D"/>
    <w:rsid w:val="17EE005D"/>
    <w:rsid w:val="18297A9C"/>
    <w:rsid w:val="18447977"/>
    <w:rsid w:val="188B1D4E"/>
    <w:rsid w:val="18BF3D79"/>
    <w:rsid w:val="18F52202"/>
    <w:rsid w:val="19197424"/>
    <w:rsid w:val="19400317"/>
    <w:rsid w:val="19852DBA"/>
    <w:rsid w:val="19884FA3"/>
    <w:rsid w:val="19A40969"/>
    <w:rsid w:val="19B76718"/>
    <w:rsid w:val="19EF0FB0"/>
    <w:rsid w:val="1A3B5015"/>
    <w:rsid w:val="1A7F27AB"/>
    <w:rsid w:val="1AD72FC0"/>
    <w:rsid w:val="1B153A75"/>
    <w:rsid w:val="1B3009B8"/>
    <w:rsid w:val="1B366341"/>
    <w:rsid w:val="1B8155AD"/>
    <w:rsid w:val="1BD17376"/>
    <w:rsid w:val="1BE24274"/>
    <w:rsid w:val="1C215E40"/>
    <w:rsid w:val="1C5D7A0C"/>
    <w:rsid w:val="1C98015B"/>
    <w:rsid w:val="1D813BCE"/>
    <w:rsid w:val="1D970A48"/>
    <w:rsid w:val="1D9B60E4"/>
    <w:rsid w:val="1DAB4FC0"/>
    <w:rsid w:val="1DC16C6D"/>
    <w:rsid w:val="1E01113C"/>
    <w:rsid w:val="1EB30B76"/>
    <w:rsid w:val="1ECF211C"/>
    <w:rsid w:val="1EE37153"/>
    <w:rsid w:val="1EF62679"/>
    <w:rsid w:val="1F1442DA"/>
    <w:rsid w:val="1F60686C"/>
    <w:rsid w:val="1F7C33A6"/>
    <w:rsid w:val="1FBE6B6A"/>
    <w:rsid w:val="1FDD5902"/>
    <w:rsid w:val="204175FF"/>
    <w:rsid w:val="207008D4"/>
    <w:rsid w:val="209D59EF"/>
    <w:rsid w:val="20F353E2"/>
    <w:rsid w:val="20F91A4B"/>
    <w:rsid w:val="2123748B"/>
    <w:rsid w:val="214B3369"/>
    <w:rsid w:val="21556A24"/>
    <w:rsid w:val="2165111F"/>
    <w:rsid w:val="217E3124"/>
    <w:rsid w:val="21943C4B"/>
    <w:rsid w:val="21F10A79"/>
    <w:rsid w:val="220C3294"/>
    <w:rsid w:val="223440B2"/>
    <w:rsid w:val="224D1867"/>
    <w:rsid w:val="225A7326"/>
    <w:rsid w:val="22BB3FE0"/>
    <w:rsid w:val="230D6C2E"/>
    <w:rsid w:val="23616662"/>
    <w:rsid w:val="23701008"/>
    <w:rsid w:val="238F56B2"/>
    <w:rsid w:val="24247440"/>
    <w:rsid w:val="24585AF7"/>
    <w:rsid w:val="249D6BAC"/>
    <w:rsid w:val="24CB0051"/>
    <w:rsid w:val="24DC15BA"/>
    <w:rsid w:val="252105A2"/>
    <w:rsid w:val="25757AC0"/>
    <w:rsid w:val="258748DF"/>
    <w:rsid w:val="26220330"/>
    <w:rsid w:val="26350214"/>
    <w:rsid w:val="267741D5"/>
    <w:rsid w:val="26E20633"/>
    <w:rsid w:val="27913592"/>
    <w:rsid w:val="27960F74"/>
    <w:rsid w:val="279779B0"/>
    <w:rsid w:val="27FE4E05"/>
    <w:rsid w:val="281629A2"/>
    <w:rsid w:val="286878E6"/>
    <w:rsid w:val="286F0845"/>
    <w:rsid w:val="28993CA5"/>
    <w:rsid w:val="29074C78"/>
    <w:rsid w:val="295113CE"/>
    <w:rsid w:val="296828D5"/>
    <w:rsid w:val="29E17A81"/>
    <w:rsid w:val="2A03744F"/>
    <w:rsid w:val="2A1C2835"/>
    <w:rsid w:val="2A416282"/>
    <w:rsid w:val="2A8C6900"/>
    <w:rsid w:val="2A944A2D"/>
    <w:rsid w:val="2A9E499A"/>
    <w:rsid w:val="2AC204EC"/>
    <w:rsid w:val="2BFE5EBC"/>
    <w:rsid w:val="2C2074F8"/>
    <w:rsid w:val="2C4B32B5"/>
    <w:rsid w:val="2CB3331A"/>
    <w:rsid w:val="2CD77F1E"/>
    <w:rsid w:val="2CDF35CE"/>
    <w:rsid w:val="2CE04624"/>
    <w:rsid w:val="2D3C0FBA"/>
    <w:rsid w:val="2D5B6473"/>
    <w:rsid w:val="2D784FE5"/>
    <w:rsid w:val="2D7C112D"/>
    <w:rsid w:val="2D9220FF"/>
    <w:rsid w:val="2E1848B6"/>
    <w:rsid w:val="2E7B1F74"/>
    <w:rsid w:val="2E7B243E"/>
    <w:rsid w:val="2EB34A3E"/>
    <w:rsid w:val="2ED94D17"/>
    <w:rsid w:val="2EF312AB"/>
    <w:rsid w:val="2F4E3082"/>
    <w:rsid w:val="2F5D2772"/>
    <w:rsid w:val="2F7D214C"/>
    <w:rsid w:val="30156B9D"/>
    <w:rsid w:val="3030226B"/>
    <w:rsid w:val="30563213"/>
    <w:rsid w:val="307E2FA0"/>
    <w:rsid w:val="30885302"/>
    <w:rsid w:val="30E31AB7"/>
    <w:rsid w:val="30E738F1"/>
    <w:rsid w:val="30F609C2"/>
    <w:rsid w:val="310F5F29"/>
    <w:rsid w:val="315A430D"/>
    <w:rsid w:val="315B0C7E"/>
    <w:rsid w:val="31641830"/>
    <w:rsid w:val="317D4865"/>
    <w:rsid w:val="3258713C"/>
    <w:rsid w:val="32653EB5"/>
    <w:rsid w:val="32DA400F"/>
    <w:rsid w:val="330E5182"/>
    <w:rsid w:val="33224796"/>
    <w:rsid w:val="333F3E08"/>
    <w:rsid w:val="33DA1ABA"/>
    <w:rsid w:val="34553C29"/>
    <w:rsid w:val="34A546E3"/>
    <w:rsid w:val="34C05CF7"/>
    <w:rsid w:val="350A6BE5"/>
    <w:rsid w:val="35533469"/>
    <w:rsid w:val="35930FB7"/>
    <w:rsid w:val="35CA7052"/>
    <w:rsid w:val="35DB0365"/>
    <w:rsid w:val="35EB7BEA"/>
    <w:rsid w:val="36516BA9"/>
    <w:rsid w:val="365C511F"/>
    <w:rsid w:val="366C7686"/>
    <w:rsid w:val="369C44BF"/>
    <w:rsid w:val="36F81A8F"/>
    <w:rsid w:val="3748213C"/>
    <w:rsid w:val="376C2042"/>
    <w:rsid w:val="37757278"/>
    <w:rsid w:val="378A0EB5"/>
    <w:rsid w:val="379D51B5"/>
    <w:rsid w:val="37E405A4"/>
    <w:rsid w:val="388D37B0"/>
    <w:rsid w:val="38EC0A67"/>
    <w:rsid w:val="390A56F1"/>
    <w:rsid w:val="390B0C84"/>
    <w:rsid w:val="390E27CB"/>
    <w:rsid w:val="397217C8"/>
    <w:rsid w:val="39D70964"/>
    <w:rsid w:val="3A005380"/>
    <w:rsid w:val="3A29109A"/>
    <w:rsid w:val="3A5E02FF"/>
    <w:rsid w:val="3A690E1F"/>
    <w:rsid w:val="3AA95E7B"/>
    <w:rsid w:val="3ADE3FB6"/>
    <w:rsid w:val="3BC825AC"/>
    <w:rsid w:val="3BE2529D"/>
    <w:rsid w:val="3BEE6F54"/>
    <w:rsid w:val="3C592EFD"/>
    <w:rsid w:val="3C7E15AD"/>
    <w:rsid w:val="3C926500"/>
    <w:rsid w:val="3CA27248"/>
    <w:rsid w:val="3CF63B78"/>
    <w:rsid w:val="3D0C4F2B"/>
    <w:rsid w:val="3D560432"/>
    <w:rsid w:val="3D5666F7"/>
    <w:rsid w:val="3DC350A4"/>
    <w:rsid w:val="3DFD2186"/>
    <w:rsid w:val="3E335548"/>
    <w:rsid w:val="3E437F68"/>
    <w:rsid w:val="3E70375F"/>
    <w:rsid w:val="3EB75BA7"/>
    <w:rsid w:val="3F16064B"/>
    <w:rsid w:val="3F703A8C"/>
    <w:rsid w:val="3FDA786A"/>
    <w:rsid w:val="3FE8117E"/>
    <w:rsid w:val="407D2AFC"/>
    <w:rsid w:val="40D23AAD"/>
    <w:rsid w:val="411A4BDF"/>
    <w:rsid w:val="41FA5336"/>
    <w:rsid w:val="42C1103D"/>
    <w:rsid w:val="42C3362B"/>
    <w:rsid w:val="433B0798"/>
    <w:rsid w:val="43565585"/>
    <w:rsid w:val="439A004D"/>
    <w:rsid w:val="43B06B0F"/>
    <w:rsid w:val="44536D9B"/>
    <w:rsid w:val="446405E2"/>
    <w:rsid w:val="4475164F"/>
    <w:rsid w:val="45110041"/>
    <w:rsid w:val="45293318"/>
    <w:rsid w:val="452B224E"/>
    <w:rsid w:val="45337438"/>
    <w:rsid w:val="4577784B"/>
    <w:rsid w:val="45793A7C"/>
    <w:rsid w:val="4580092C"/>
    <w:rsid w:val="45A24E9F"/>
    <w:rsid w:val="45C2631A"/>
    <w:rsid w:val="46493F8F"/>
    <w:rsid w:val="464C0566"/>
    <w:rsid w:val="466973FC"/>
    <w:rsid w:val="46F1785B"/>
    <w:rsid w:val="470315E4"/>
    <w:rsid w:val="476D56D7"/>
    <w:rsid w:val="47D815EF"/>
    <w:rsid w:val="47EA5F95"/>
    <w:rsid w:val="481B1C7C"/>
    <w:rsid w:val="481F00EE"/>
    <w:rsid w:val="482E0A8E"/>
    <w:rsid w:val="48770826"/>
    <w:rsid w:val="487C34B0"/>
    <w:rsid w:val="48986846"/>
    <w:rsid w:val="48A9019C"/>
    <w:rsid w:val="48C1005E"/>
    <w:rsid w:val="48D344EF"/>
    <w:rsid w:val="49286D0B"/>
    <w:rsid w:val="4946041E"/>
    <w:rsid w:val="4A532DAC"/>
    <w:rsid w:val="4A743E6A"/>
    <w:rsid w:val="4A8C7427"/>
    <w:rsid w:val="4AAE2606"/>
    <w:rsid w:val="4AC17541"/>
    <w:rsid w:val="4AD972AD"/>
    <w:rsid w:val="4B2D55DB"/>
    <w:rsid w:val="4B416358"/>
    <w:rsid w:val="4B5A66DD"/>
    <w:rsid w:val="4B60048C"/>
    <w:rsid w:val="4C340E8C"/>
    <w:rsid w:val="4C482000"/>
    <w:rsid w:val="4C9D2248"/>
    <w:rsid w:val="4CAB49DF"/>
    <w:rsid w:val="4CAB5158"/>
    <w:rsid w:val="4CCF4510"/>
    <w:rsid w:val="4CE87293"/>
    <w:rsid w:val="4CF34DEF"/>
    <w:rsid w:val="4CFC1A32"/>
    <w:rsid w:val="4D1A7D18"/>
    <w:rsid w:val="4D1E5BC3"/>
    <w:rsid w:val="4D787887"/>
    <w:rsid w:val="4DD55B4E"/>
    <w:rsid w:val="4DDB11A4"/>
    <w:rsid w:val="4DE517AB"/>
    <w:rsid w:val="4DF57B94"/>
    <w:rsid w:val="4E5426E2"/>
    <w:rsid w:val="4E777F2A"/>
    <w:rsid w:val="4E8A558D"/>
    <w:rsid w:val="4EA21FD3"/>
    <w:rsid w:val="4EC943D9"/>
    <w:rsid w:val="4EFD0150"/>
    <w:rsid w:val="4F396B08"/>
    <w:rsid w:val="4FFB2912"/>
    <w:rsid w:val="50566671"/>
    <w:rsid w:val="50A60163"/>
    <w:rsid w:val="50BA1244"/>
    <w:rsid w:val="50D9735A"/>
    <w:rsid w:val="50DB29E3"/>
    <w:rsid w:val="51446FEE"/>
    <w:rsid w:val="51D4199E"/>
    <w:rsid w:val="52261449"/>
    <w:rsid w:val="52D17005"/>
    <w:rsid w:val="52E107C6"/>
    <w:rsid w:val="52F94041"/>
    <w:rsid w:val="5306576B"/>
    <w:rsid w:val="531551C4"/>
    <w:rsid w:val="53B82B54"/>
    <w:rsid w:val="540643AD"/>
    <w:rsid w:val="540C1891"/>
    <w:rsid w:val="5454391B"/>
    <w:rsid w:val="549455CA"/>
    <w:rsid w:val="54C81B7A"/>
    <w:rsid w:val="55452CEA"/>
    <w:rsid w:val="55454179"/>
    <w:rsid w:val="55BB7080"/>
    <w:rsid w:val="55BE4ACA"/>
    <w:rsid w:val="55E20901"/>
    <w:rsid w:val="56E22CC0"/>
    <w:rsid w:val="56FC4059"/>
    <w:rsid w:val="57795509"/>
    <w:rsid w:val="57AF0009"/>
    <w:rsid w:val="57B70B52"/>
    <w:rsid w:val="58530937"/>
    <w:rsid w:val="5873271F"/>
    <w:rsid w:val="58DA7B30"/>
    <w:rsid w:val="58F93A4F"/>
    <w:rsid w:val="595A5BEC"/>
    <w:rsid w:val="59C71E07"/>
    <w:rsid w:val="59ED6D37"/>
    <w:rsid w:val="5A8F4A8A"/>
    <w:rsid w:val="5A974378"/>
    <w:rsid w:val="5B08020E"/>
    <w:rsid w:val="5B210DA9"/>
    <w:rsid w:val="5B333810"/>
    <w:rsid w:val="5B9E235E"/>
    <w:rsid w:val="5BD2614D"/>
    <w:rsid w:val="5BED28F7"/>
    <w:rsid w:val="5C32052E"/>
    <w:rsid w:val="5CED0C86"/>
    <w:rsid w:val="5D8A5D99"/>
    <w:rsid w:val="5DA64636"/>
    <w:rsid w:val="5DD163A5"/>
    <w:rsid w:val="5E1B4A56"/>
    <w:rsid w:val="5E761C8C"/>
    <w:rsid w:val="5EE3716E"/>
    <w:rsid w:val="5F4E665A"/>
    <w:rsid w:val="5FAA4D7C"/>
    <w:rsid w:val="5FCC7ED7"/>
    <w:rsid w:val="600347A6"/>
    <w:rsid w:val="60547BB0"/>
    <w:rsid w:val="61BA2878"/>
    <w:rsid w:val="61DB76B9"/>
    <w:rsid w:val="61F1468C"/>
    <w:rsid w:val="623B10D4"/>
    <w:rsid w:val="6255189E"/>
    <w:rsid w:val="628E06AD"/>
    <w:rsid w:val="633101F9"/>
    <w:rsid w:val="636D5421"/>
    <w:rsid w:val="63746820"/>
    <w:rsid w:val="6385324B"/>
    <w:rsid w:val="639E5D77"/>
    <w:rsid w:val="63A20B6F"/>
    <w:rsid w:val="63C80344"/>
    <w:rsid w:val="63F67493"/>
    <w:rsid w:val="64141ADD"/>
    <w:rsid w:val="64167CB2"/>
    <w:rsid w:val="64284CD2"/>
    <w:rsid w:val="649E4464"/>
    <w:rsid w:val="650800E5"/>
    <w:rsid w:val="6540493F"/>
    <w:rsid w:val="654A5F22"/>
    <w:rsid w:val="65631F99"/>
    <w:rsid w:val="656B26E4"/>
    <w:rsid w:val="65BA406B"/>
    <w:rsid w:val="65C1121C"/>
    <w:rsid w:val="65DB591E"/>
    <w:rsid w:val="65EC5D5A"/>
    <w:rsid w:val="65FC33BF"/>
    <w:rsid w:val="66A13404"/>
    <w:rsid w:val="66A62DFB"/>
    <w:rsid w:val="66C75100"/>
    <w:rsid w:val="66E3147F"/>
    <w:rsid w:val="67280332"/>
    <w:rsid w:val="676D5B7F"/>
    <w:rsid w:val="67C62C75"/>
    <w:rsid w:val="68674452"/>
    <w:rsid w:val="68E41FA8"/>
    <w:rsid w:val="69851697"/>
    <w:rsid w:val="698F6C8C"/>
    <w:rsid w:val="69B05C7C"/>
    <w:rsid w:val="69B127F7"/>
    <w:rsid w:val="6A334360"/>
    <w:rsid w:val="6A3F546F"/>
    <w:rsid w:val="6A432178"/>
    <w:rsid w:val="6A627101"/>
    <w:rsid w:val="6A6C53DE"/>
    <w:rsid w:val="6A8B3747"/>
    <w:rsid w:val="6AC55BDE"/>
    <w:rsid w:val="6AD12819"/>
    <w:rsid w:val="6B2F3D1B"/>
    <w:rsid w:val="6B3C0027"/>
    <w:rsid w:val="6B5D3BA2"/>
    <w:rsid w:val="6BA9327A"/>
    <w:rsid w:val="6BAC6806"/>
    <w:rsid w:val="6BDB7AC4"/>
    <w:rsid w:val="6BFC2B94"/>
    <w:rsid w:val="6CAD4AE7"/>
    <w:rsid w:val="6D5F7D89"/>
    <w:rsid w:val="6D7016B1"/>
    <w:rsid w:val="6DCD38C3"/>
    <w:rsid w:val="6EF82EB0"/>
    <w:rsid w:val="6F192170"/>
    <w:rsid w:val="6F340F51"/>
    <w:rsid w:val="6F7B2EEC"/>
    <w:rsid w:val="6F8552FB"/>
    <w:rsid w:val="6F873E96"/>
    <w:rsid w:val="6F920E05"/>
    <w:rsid w:val="6FB058FA"/>
    <w:rsid w:val="70314A87"/>
    <w:rsid w:val="70B21607"/>
    <w:rsid w:val="70F95034"/>
    <w:rsid w:val="71AE3B03"/>
    <w:rsid w:val="71E330D1"/>
    <w:rsid w:val="726A5969"/>
    <w:rsid w:val="72D27743"/>
    <w:rsid w:val="734E1CF1"/>
    <w:rsid w:val="73642B9B"/>
    <w:rsid w:val="73C53A98"/>
    <w:rsid w:val="74011144"/>
    <w:rsid w:val="741970B6"/>
    <w:rsid w:val="74590F8E"/>
    <w:rsid w:val="747C1294"/>
    <w:rsid w:val="750453D3"/>
    <w:rsid w:val="75142765"/>
    <w:rsid w:val="75B70616"/>
    <w:rsid w:val="75D619B1"/>
    <w:rsid w:val="75E43528"/>
    <w:rsid w:val="76C36F5C"/>
    <w:rsid w:val="76D252D7"/>
    <w:rsid w:val="77444EF4"/>
    <w:rsid w:val="7758136E"/>
    <w:rsid w:val="77D3439F"/>
    <w:rsid w:val="77D34F10"/>
    <w:rsid w:val="77E27413"/>
    <w:rsid w:val="77EB21AB"/>
    <w:rsid w:val="77FD2934"/>
    <w:rsid w:val="78091B37"/>
    <w:rsid w:val="78142469"/>
    <w:rsid w:val="7873195F"/>
    <w:rsid w:val="789D458E"/>
    <w:rsid w:val="78C55428"/>
    <w:rsid w:val="78E339AE"/>
    <w:rsid w:val="792D54C3"/>
    <w:rsid w:val="795B7943"/>
    <w:rsid w:val="796A2491"/>
    <w:rsid w:val="79E92CC4"/>
    <w:rsid w:val="79F92D07"/>
    <w:rsid w:val="7A4D27FD"/>
    <w:rsid w:val="7A4F26D5"/>
    <w:rsid w:val="7A5E168B"/>
    <w:rsid w:val="7A6D7480"/>
    <w:rsid w:val="7A9A125D"/>
    <w:rsid w:val="7AF8175B"/>
    <w:rsid w:val="7B9F3648"/>
    <w:rsid w:val="7BBA7AD8"/>
    <w:rsid w:val="7BD949D2"/>
    <w:rsid w:val="7C7260E6"/>
    <w:rsid w:val="7C85596D"/>
    <w:rsid w:val="7CDD7AE4"/>
    <w:rsid w:val="7D184820"/>
    <w:rsid w:val="7D227EB6"/>
    <w:rsid w:val="7D5F46FA"/>
    <w:rsid w:val="7D820FB4"/>
    <w:rsid w:val="7D9066AD"/>
    <w:rsid w:val="7DAB1480"/>
    <w:rsid w:val="7DF94DB3"/>
    <w:rsid w:val="7E33654F"/>
    <w:rsid w:val="7E5A7498"/>
    <w:rsid w:val="7E5A7A1F"/>
    <w:rsid w:val="7E876117"/>
    <w:rsid w:val="7E8E1033"/>
    <w:rsid w:val="7EB82EAB"/>
    <w:rsid w:val="7ED31E9D"/>
    <w:rsid w:val="7EDB0556"/>
    <w:rsid w:val="7EF947DA"/>
    <w:rsid w:val="7F021D2A"/>
    <w:rsid w:val="7F7247FC"/>
    <w:rsid w:val="7F7419C9"/>
    <w:rsid w:val="7F9B5BA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0" w:semiHidden="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keepLines/>
      <w:numPr>
        <w:ilvl w:val="0"/>
        <w:numId w:val="1"/>
      </w:numPr>
      <w:autoSpaceDE w:val="0"/>
      <w:autoSpaceDN w:val="0"/>
      <w:adjustRightInd w:val="0"/>
      <w:spacing w:before="340" w:after="330" w:line="360" w:lineRule="auto"/>
      <w:jc w:val="left"/>
      <w:textAlignment w:val="baseline"/>
      <w:outlineLvl w:val="0"/>
    </w:pPr>
    <w:rPr>
      <w:rFonts w:ascii="宋体" w:hAnsi="Arial" w:eastAsia="黑体"/>
      <w:b/>
      <w:color w:val="000000"/>
      <w:kern w:val="44"/>
      <w:sz w:val="36"/>
    </w:rPr>
  </w:style>
  <w:style w:type="paragraph" w:styleId="2">
    <w:name w:val="heading 2"/>
    <w:basedOn w:val="1"/>
    <w:next w:val="1"/>
    <w:qFormat/>
    <w:uiPriority w:val="0"/>
    <w:pPr>
      <w:keepNext/>
      <w:keepLines/>
      <w:numPr>
        <w:ilvl w:val="1"/>
        <w:numId w:val="1"/>
      </w:numPr>
      <w:tabs>
        <w:tab w:val="left" w:pos="862"/>
        <w:tab w:val="clear" w:pos="1146"/>
      </w:tabs>
      <w:spacing w:before="260" w:after="260" w:line="416" w:lineRule="auto"/>
      <w:ind w:left="709"/>
      <w:outlineLvl w:val="1"/>
    </w:pPr>
    <w:rPr>
      <w:rFonts w:ascii="Arial" w:hAnsi="Arial" w:eastAsia="黑体"/>
      <w:b/>
      <w:bCs/>
      <w:sz w:val="32"/>
      <w:szCs w:val="32"/>
    </w:rPr>
  </w:style>
  <w:style w:type="paragraph" w:styleId="4">
    <w:name w:val="heading 3"/>
    <w:basedOn w:val="1"/>
    <w:next w:val="1"/>
    <w:qFormat/>
    <w:uiPriority w:val="0"/>
    <w:pPr>
      <w:numPr>
        <w:ilvl w:val="2"/>
        <w:numId w:val="1"/>
      </w:numPr>
      <w:autoSpaceDE w:val="0"/>
      <w:autoSpaceDN w:val="0"/>
      <w:adjustRightInd w:val="0"/>
      <w:spacing w:line="300" w:lineRule="auto"/>
      <w:textAlignment w:val="baseline"/>
      <w:outlineLvl w:val="2"/>
    </w:pPr>
    <w:rPr>
      <w:rFonts w:ascii="黑体" w:eastAsia="黑体"/>
      <w:b/>
      <w:color w:val="000000"/>
      <w:kern w:val="0"/>
      <w:sz w:val="28"/>
    </w:rPr>
  </w:style>
  <w:style w:type="paragraph" w:styleId="5">
    <w:name w:val="heading 4"/>
    <w:basedOn w:val="1"/>
    <w:next w:val="6"/>
    <w:qFormat/>
    <w:uiPriority w:val="0"/>
    <w:pPr>
      <w:keepNext/>
      <w:keepLines/>
      <w:spacing w:before="280" w:after="290" w:line="376" w:lineRule="auto"/>
      <w:outlineLvl w:val="3"/>
    </w:pPr>
    <w:rPr>
      <w:rFonts w:ascii="Arial" w:hAnsi="Arial" w:eastAsia="黑体"/>
      <w:b/>
      <w:sz w:val="28"/>
    </w:rPr>
  </w:style>
  <w:style w:type="paragraph" w:styleId="7">
    <w:name w:val="heading 5"/>
    <w:basedOn w:val="1"/>
    <w:next w:val="6"/>
    <w:qFormat/>
    <w:uiPriority w:val="0"/>
    <w:pPr>
      <w:keepNext/>
      <w:keepLines/>
      <w:spacing w:before="280" w:after="290" w:line="376" w:lineRule="auto"/>
      <w:outlineLvl w:val="4"/>
    </w:pPr>
    <w:rPr>
      <w:b/>
      <w:sz w:val="28"/>
    </w:rPr>
  </w:style>
  <w:style w:type="paragraph" w:styleId="8">
    <w:name w:val="heading 6"/>
    <w:basedOn w:val="1"/>
    <w:next w:val="6"/>
    <w:qFormat/>
    <w:uiPriority w:val="0"/>
    <w:pPr>
      <w:keepNext/>
      <w:keepLines/>
      <w:spacing w:before="240" w:after="64" w:line="320" w:lineRule="auto"/>
      <w:outlineLvl w:val="5"/>
    </w:pPr>
    <w:rPr>
      <w:rFonts w:ascii="Arial" w:hAnsi="Arial" w:eastAsia="黑体"/>
      <w:b/>
      <w:sz w:val="24"/>
    </w:rPr>
  </w:style>
  <w:style w:type="paragraph" w:styleId="9">
    <w:name w:val="heading 7"/>
    <w:basedOn w:val="1"/>
    <w:next w:val="6"/>
    <w:qFormat/>
    <w:uiPriority w:val="0"/>
    <w:pPr>
      <w:keepNext/>
      <w:keepLines/>
      <w:spacing w:before="240" w:after="64" w:line="320" w:lineRule="auto"/>
      <w:outlineLvl w:val="6"/>
    </w:pPr>
    <w:rPr>
      <w:b/>
      <w:sz w:val="24"/>
    </w:rPr>
  </w:style>
  <w:style w:type="paragraph" w:styleId="10">
    <w:name w:val="heading 8"/>
    <w:basedOn w:val="1"/>
    <w:next w:val="6"/>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6"/>
    <w:qFormat/>
    <w:uiPriority w:val="0"/>
    <w:pPr>
      <w:keepNext/>
      <w:keepLines/>
      <w:spacing w:before="240" w:after="64" w:line="320" w:lineRule="auto"/>
      <w:outlineLvl w:val="8"/>
    </w:pPr>
    <w:rPr>
      <w:rFonts w:ascii="Arial" w:hAnsi="Arial" w:eastAsia="黑体"/>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Layout w:type="fixed"/>
      <w:tblCellMar>
        <w:top w:w="0" w:type="dxa"/>
        <w:left w:w="108" w:type="dxa"/>
        <w:bottom w:w="0" w:type="dxa"/>
        <w:right w:w="108" w:type="dxa"/>
      </w:tblCellMar>
    </w:tblPr>
  </w:style>
  <w:style w:type="paragraph" w:styleId="6">
    <w:name w:val="Normal Indent"/>
    <w:basedOn w:val="1"/>
    <w:link w:val="44"/>
    <w:qFormat/>
    <w:uiPriority w:val="0"/>
    <w:pPr>
      <w:ind w:firstLine="420"/>
    </w:pPr>
  </w:style>
  <w:style w:type="paragraph" w:styleId="12">
    <w:name w:val="Document Map"/>
    <w:basedOn w:val="1"/>
    <w:semiHidden/>
    <w:qFormat/>
    <w:uiPriority w:val="0"/>
    <w:pPr>
      <w:shd w:val="clear" w:color="auto" w:fill="000080"/>
    </w:pPr>
    <w:rPr>
      <w:szCs w:val="24"/>
    </w:rPr>
  </w:style>
  <w:style w:type="paragraph" w:styleId="13">
    <w:name w:val="annotation text"/>
    <w:basedOn w:val="1"/>
    <w:link w:val="39"/>
    <w:qFormat/>
    <w:uiPriority w:val="0"/>
    <w:pPr>
      <w:jc w:val="left"/>
    </w:pPr>
  </w:style>
  <w:style w:type="paragraph" w:styleId="14">
    <w:name w:val="Body Text 3"/>
    <w:basedOn w:val="1"/>
    <w:qFormat/>
    <w:uiPriority w:val="0"/>
    <w:pPr>
      <w:spacing w:after="120"/>
    </w:pPr>
    <w:rPr>
      <w:sz w:val="16"/>
      <w:szCs w:val="16"/>
    </w:rPr>
  </w:style>
  <w:style w:type="paragraph" w:styleId="15">
    <w:name w:val="Body Text"/>
    <w:basedOn w:val="1"/>
    <w:next w:val="16"/>
    <w:qFormat/>
    <w:uiPriority w:val="0"/>
    <w:pPr>
      <w:spacing w:after="120"/>
    </w:pPr>
    <w:rPr>
      <w:szCs w:val="24"/>
    </w:rPr>
  </w:style>
  <w:style w:type="paragraph" w:styleId="16">
    <w:name w:val="Body Text First Indent"/>
    <w:basedOn w:val="15"/>
    <w:qFormat/>
    <w:uiPriority w:val="0"/>
    <w:pPr>
      <w:spacing w:line="360" w:lineRule="auto"/>
      <w:ind w:firstLine="420"/>
    </w:pPr>
    <w:rPr>
      <w:rFonts w:ascii="宋体" w:hAnsi="宋体"/>
      <w:sz w:val="24"/>
    </w:rPr>
  </w:style>
  <w:style w:type="paragraph" w:styleId="17">
    <w:name w:val="Body Text Indent"/>
    <w:basedOn w:val="1"/>
    <w:qFormat/>
    <w:uiPriority w:val="0"/>
    <w:pPr>
      <w:spacing w:line="480" w:lineRule="auto"/>
      <w:ind w:firstLine="600"/>
    </w:pPr>
    <w:rPr>
      <w:sz w:val="28"/>
    </w:rPr>
  </w:style>
  <w:style w:type="paragraph" w:styleId="18">
    <w:name w:val="Plain Text"/>
    <w:basedOn w:val="1"/>
    <w:link w:val="48"/>
    <w:qFormat/>
    <w:uiPriority w:val="0"/>
    <w:pPr>
      <w:spacing w:line="360" w:lineRule="auto"/>
    </w:pPr>
    <w:rPr>
      <w:rFonts w:ascii="宋体" w:hAnsi="Courier New"/>
      <w:sz w:val="24"/>
    </w:rPr>
  </w:style>
  <w:style w:type="paragraph" w:styleId="19">
    <w:name w:val="Date"/>
    <w:basedOn w:val="1"/>
    <w:next w:val="1"/>
    <w:qFormat/>
    <w:uiPriority w:val="0"/>
    <w:pPr>
      <w:ind w:left="100"/>
    </w:pPr>
    <w:rPr>
      <w:sz w:val="28"/>
    </w:rPr>
  </w:style>
  <w:style w:type="paragraph" w:styleId="20">
    <w:name w:val="Body Text Indent 2"/>
    <w:basedOn w:val="1"/>
    <w:qFormat/>
    <w:uiPriority w:val="0"/>
    <w:pPr>
      <w:spacing w:after="120" w:line="480" w:lineRule="auto"/>
      <w:ind w:left="420" w:leftChars="200"/>
    </w:pPr>
    <w:rPr>
      <w:szCs w:val="24"/>
    </w:rPr>
  </w:style>
  <w:style w:type="paragraph" w:styleId="21">
    <w:name w:val="Balloon Text"/>
    <w:basedOn w:val="1"/>
    <w:semiHidden/>
    <w:qFormat/>
    <w:uiPriority w:val="0"/>
    <w:rPr>
      <w:sz w:val="18"/>
      <w:szCs w:val="18"/>
    </w:rPr>
  </w:style>
  <w:style w:type="paragraph" w:styleId="22">
    <w:name w:val="footer"/>
    <w:basedOn w:val="1"/>
    <w:link w:val="41"/>
    <w:qFormat/>
    <w:uiPriority w:val="99"/>
    <w:pPr>
      <w:tabs>
        <w:tab w:val="center" w:pos="4153"/>
        <w:tab w:val="right" w:pos="8306"/>
      </w:tabs>
      <w:snapToGrid w:val="0"/>
      <w:jc w:val="left"/>
    </w:pPr>
    <w:rPr>
      <w:sz w:val="18"/>
      <w:szCs w:val="18"/>
    </w:rPr>
  </w:style>
  <w:style w:type="paragraph" w:styleId="2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25"/>
    <w:next w:val="1"/>
    <w:qFormat/>
    <w:uiPriority w:val="39"/>
    <w:pPr>
      <w:spacing w:before="0" w:after="0" w:line="560" w:lineRule="exact"/>
      <w:jc w:val="both"/>
      <w:outlineLvl w:val="9"/>
    </w:pPr>
    <w:rPr>
      <w:rFonts w:ascii="Times New Roman" w:hAnsi="Times New Roman" w:cs="Times New Roman"/>
      <w:sz w:val="30"/>
      <w:szCs w:val="20"/>
    </w:rPr>
  </w:style>
  <w:style w:type="paragraph" w:styleId="25">
    <w:name w:val="Title"/>
    <w:basedOn w:val="1"/>
    <w:next w:val="1"/>
    <w:link w:val="51"/>
    <w:qFormat/>
    <w:uiPriority w:val="0"/>
    <w:pPr>
      <w:spacing w:before="240" w:after="60"/>
      <w:jc w:val="center"/>
      <w:outlineLvl w:val="0"/>
    </w:pPr>
    <w:rPr>
      <w:rFonts w:ascii="Arial" w:hAnsi="Arial" w:cs="Arial"/>
      <w:b/>
      <w:bCs/>
      <w:sz w:val="32"/>
      <w:szCs w:val="32"/>
    </w:rPr>
  </w:style>
  <w:style w:type="paragraph" w:styleId="26">
    <w:name w:val="Body Text Indent 3"/>
    <w:basedOn w:val="1"/>
    <w:qFormat/>
    <w:uiPriority w:val="0"/>
    <w:pPr>
      <w:spacing w:after="120"/>
      <w:ind w:left="420" w:leftChars="200"/>
    </w:pPr>
    <w:rPr>
      <w:sz w:val="16"/>
      <w:szCs w:val="16"/>
    </w:rPr>
  </w:style>
  <w:style w:type="paragraph" w:styleId="27">
    <w:name w:val="Body Text 2"/>
    <w:basedOn w:val="1"/>
    <w:qFormat/>
    <w:uiPriority w:val="0"/>
    <w:rPr>
      <w:b/>
      <w:color w:val="FF00FF"/>
      <w:sz w:val="24"/>
      <w:szCs w:val="24"/>
    </w:rPr>
  </w:style>
  <w:style w:type="paragraph" w:styleId="28">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Arial Unicode MS" w:cs="Arial Unicode MS"/>
      <w:kern w:val="0"/>
      <w:sz w:val="20"/>
    </w:rPr>
  </w:style>
  <w:style w:type="paragraph" w:styleId="29">
    <w:name w:val="Normal (Web)"/>
    <w:basedOn w:val="1"/>
    <w:qFormat/>
    <w:uiPriority w:val="0"/>
    <w:pPr>
      <w:widowControl/>
      <w:spacing w:before="100" w:beforeAutospacing="1" w:after="100" w:afterAutospacing="1"/>
      <w:jc w:val="left"/>
    </w:pPr>
    <w:rPr>
      <w:rFonts w:ascii="宋体" w:hAnsi="宋体"/>
      <w:kern w:val="0"/>
      <w:sz w:val="24"/>
      <w:szCs w:val="24"/>
    </w:rPr>
  </w:style>
  <w:style w:type="paragraph" w:styleId="30">
    <w:name w:val="annotation subject"/>
    <w:basedOn w:val="13"/>
    <w:next w:val="13"/>
    <w:link w:val="50"/>
    <w:qFormat/>
    <w:uiPriority w:val="0"/>
    <w:rPr>
      <w:b/>
      <w:bCs/>
    </w:rPr>
  </w:style>
  <w:style w:type="paragraph" w:styleId="31">
    <w:name w:val="Body Text First Indent 2"/>
    <w:basedOn w:val="17"/>
    <w:qFormat/>
    <w:uiPriority w:val="0"/>
    <w:pPr>
      <w:spacing w:after="120"/>
      <w:ind w:left="420" w:leftChars="200" w:firstLine="420" w:firstLineChars="200"/>
    </w:pPr>
    <w:rPr>
      <w:rFonts w:ascii="Calibri" w:hAnsi="Calibri"/>
      <w:kern w:val="2"/>
      <w:sz w:val="21"/>
      <w:szCs w:val="22"/>
    </w:rPr>
  </w:style>
  <w:style w:type="table" w:styleId="33">
    <w:name w:val="Table Grid"/>
    <w:basedOn w:val="3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qFormat/>
    <w:uiPriority w:val="0"/>
    <w:rPr>
      <w:color w:val="800080"/>
      <w:u w:val="single"/>
    </w:rPr>
  </w:style>
  <w:style w:type="character" w:styleId="37">
    <w:name w:val="Hyperlink"/>
    <w:qFormat/>
    <w:uiPriority w:val="99"/>
    <w:rPr>
      <w:color w:val="0000FF"/>
      <w:u w:val="single"/>
    </w:rPr>
  </w:style>
  <w:style w:type="character" w:styleId="38">
    <w:name w:val="annotation reference"/>
    <w:qFormat/>
    <w:uiPriority w:val="99"/>
    <w:rPr>
      <w:sz w:val="21"/>
      <w:szCs w:val="21"/>
    </w:rPr>
  </w:style>
  <w:style w:type="character" w:customStyle="1" w:styleId="39">
    <w:name w:val="批注文字 Char"/>
    <w:link w:val="13"/>
    <w:qFormat/>
    <w:uiPriority w:val="0"/>
    <w:rPr>
      <w:kern w:val="2"/>
      <w:sz w:val="21"/>
    </w:rPr>
  </w:style>
  <w:style w:type="character" w:customStyle="1" w:styleId="40">
    <w:name w:val="font01"/>
    <w:basedOn w:val="34"/>
    <w:qFormat/>
    <w:uiPriority w:val="0"/>
    <w:rPr>
      <w:rFonts w:hint="eastAsia" w:ascii="宋体" w:hAnsi="宋体" w:eastAsia="宋体" w:cs="宋体"/>
      <w:color w:val="FF0000"/>
      <w:sz w:val="21"/>
      <w:szCs w:val="21"/>
      <w:u w:val="none"/>
    </w:rPr>
  </w:style>
  <w:style w:type="character" w:customStyle="1" w:styleId="41">
    <w:name w:val="页脚 Char"/>
    <w:link w:val="22"/>
    <w:qFormat/>
    <w:uiPriority w:val="99"/>
    <w:rPr>
      <w:kern w:val="2"/>
      <w:sz w:val="18"/>
      <w:szCs w:val="18"/>
    </w:rPr>
  </w:style>
  <w:style w:type="character" w:customStyle="1" w:styleId="42">
    <w:name w:val="font91"/>
    <w:basedOn w:val="34"/>
    <w:qFormat/>
    <w:uiPriority w:val="0"/>
    <w:rPr>
      <w:rFonts w:hint="eastAsia" w:ascii="宋体" w:hAnsi="宋体" w:eastAsia="宋体" w:cs="宋体"/>
      <w:color w:val="FF0000"/>
      <w:sz w:val="21"/>
      <w:szCs w:val="21"/>
      <w:u w:val="single"/>
    </w:rPr>
  </w:style>
  <w:style w:type="character" w:customStyle="1" w:styleId="43">
    <w:name w:val="font31"/>
    <w:basedOn w:val="34"/>
    <w:qFormat/>
    <w:uiPriority w:val="0"/>
    <w:rPr>
      <w:rFonts w:hint="eastAsia" w:ascii="宋体" w:hAnsi="宋体" w:eastAsia="宋体" w:cs="宋体"/>
      <w:color w:val="000000"/>
      <w:sz w:val="21"/>
      <w:szCs w:val="21"/>
      <w:u w:val="none"/>
    </w:rPr>
  </w:style>
  <w:style w:type="character" w:customStyle="1" w:styleId="44">
    <w:name w:val="正文缩进 Char"/>
    <w:link w:val="6"/>
    <w:qFormat/>
    <w:uiPriority w:val="0"/>
    <w:rPr>
      <w:rFonts w:eastAsia="宋体"/>
      <w:kern w:val="2"/>
      <w:sz w:val="21"/>
      <w:lang w:val="en-US" w:eastAsia="zh-CN" w:bidi="ar-SA"/>
    </w:rPr>
  </w:style>
  <w:style w:type="character" w:customStyle="1" w:styleId="45">
    <w:name w:val="标题2 Char"/>
    <w:qFormat/>
    <w:uiPriority w:val="0"/>
    <w:rPr>
      <w:rFonts w:eastAsia="宋体"/>
      <w:sz w:val="24"/>
    </w:rPr>
  </w:style>
  <w:style w:type="character" w:customStyle="1" w:styleId="46">
    <w:name w:val="纯文本 Char1"/>
    <w:unhideWhenUsed/>
    <w:qFormat/>
    <w:uiPriority w:val="99"/>
    <w:rPr>
      <w:rFonts w:hint="eastAsia" w:ascii="宋体" w:hAnsi="Tms Rmn" w:eastAsia="宋体"/>
      <w:sz w:val="21"/>
      <w:lang w:val="en-US" w:eastAsia="zh-CN"/>
    </w:rPr>
  </w:style>
  <w:style w:type="character" w:customStyle="1" w:styleId="47">
    <w:name w:val="font111"/>
    <w:basedOn w:val="34"/>
    <w:qFormat/>
    <w:uiPriority w:val="0"/>
    <w:rPr>
      <w:rFonts w:hint="default" w:ascii="Eʩ" w:hAnsi="Eʩ" w:eastAsia="Eʩ" w:cs="Eʩ"/>
      <w:color w:val="000000"/>
      <w:sz w:val="21"/>
      <w:szCs w:val="21"/>
      <w:u w:val="single"/>
    </w:rPr>
  </w:style>
  <w:style w:type="character" w:customStyle="1" w:styleId="48">
    <w:name w:val="纯文本 Char"/>
    <w:link w:val="18"/>
    <w:qFormat/>
    <w:uiPriority w:val="0"/>
    <w:rPr>
      <w:rFonts w:ascii="宋体" w:hAnsi="Courier New" w:eastAsia="宋体"/>
      <w:kern w:val="2"/>
      <w:sz w:val="24"/>
      <w:lang w:val="en-US" w:eastAsia="zh-CN" w:bidi="ar-SA"/>
    </w:rPr>
  </w:style>
  <w:style w:type="character" w:customStyle="1" w:styleId="49">
    <w:name w:val="font101"/>
    <w:basedOn w:val="34"/>
    <w:qFormat/>
    <w:uiPriority w:val="0"/>
    <w:rPr>
      <w:rFonts w:hint="eastAsia" w:ascii="宋体" w:hAnsi="宋体" w:eastAsia="宋体" w:cs="宋体"/>
      <w:color w:val="000000"/>
      <w:sz w:val="21"/>
      <w:szCs w:val="21"/>
      <w:u w:val="single"/>
    </w:rPr>
  </w:style>
  <w:style w:type="character" w:customStyle="1" w:styleId="50">
    <w:name w:val="批注主题 Char"/>
    <w:basedOn w:val="39"/>
    <w:link w:val="30"/>
    <w:qFormat/>
    <w:uiPriority w:val="0"/>
    <w:rPr>
      <w:kern w:val="2"/>
      <w:sz w:val="21"/>
    </w:rPr>
  </w:style>
  <w:style w:type="character" w:customStyle="1" w:styleId="51">
    <w:name w:val="标题 Char"/>
    <w:basedOn w:val="34"/>
    <w:link w:val="25"/>
    <w:qFormat/>
    <w:uiPriority w:val="0"/>
    <w:rPr>
      <w:rFonts w:ascii="Arial" w:hAnsi="Arial" w:cs="Arial"/>
      <w:b/>
      <w:bCs/>
      <w:kern w:val="2"/>
      <w:sz w:val="32"/>
      <w:szCs w:val="32"/>
    </w:rPr>
  </w:style>
  <w:style w:type="paragraph" w:customStyle="1" w:styleId="52">
    <w:name w:val="Char"/>
    <w:basedOn w:val="1"/>
    <w:qFormat/>
    <w:uiPriority w:val="0"/>
    <w:pPr>
      <w:widowControl/>
      <w:spacing w:after="160" w:line="240" w:lineRule="exact"/>
      <w:jc w:val="left"/>
    </w:pPr>
    <w:rPr>
      <w:rFonts w:ascii="Verdana" w:hAnsi="Verdana"/>
      <w:kern w:val="0"/>
      <w:sz w:val="20"/>
      <w:lang w:eastAsia="en-US"/>
    </w:rPr>
  </w:style>
  <w:style w:type="paragraph" w:customStyle="1" w:styleId="53">
    <w:name w:val="样式 居中 行距: 最小值10 磅"/>
    <w:basedOn w:val="1"/>
    <w:qFormat/>
    <w:uiPriority w:val="0"/>
    <w:pPr>
      <w:adjustRightInd w:val="0"/>
      <w:spacing w:line="617" w:lineRule="atLeast"/>
      <w:jc w:val="center"/>
      <w:textAlignment w:val="baseline"/>
    </w:pPr>
    <w:rPr>
      <w:rFonts w:cs="宋体"/>
      <w:kern w:val="0"/>
    </w:rPr>
  </w:style>
  <w:style w:type="paragraph" w:customStyle="1" w:styleId="54">
    <w:name w:val="Char1"/>
    <w:basedOn w:val="1"/>
    <w:qFormat/>
    <w:uiPriority w:val="0"/>
    <w:pPr>
      <w:adjustRightInd w:val="0"/>
      <w:spacing w:line="360" w:lineRule="auto"/>
    </w:pPr>
    <w:rPr>
      <w:kern w:val="0"/>
      <w:sz w:val="24"/>
    </w:rPr>
  </w:style>
  <w:style w:type="paragraph" w:customStyle="1" w:styleId="55">
    <w:name w:val="正文2"/>
    <w:basedOn w:val="1"/>
    <w:qFormat/>
    <w:uiPriority w:val="0"/>
    <w:pPr>
      <w:tabs>
        <w:tab w:val="left" w:pos="860"/>
      </w:tabs>
      <w:spacing w:line="440" w:lineRule="exact"/>
      <w:ind w:left="860" w:hanging="420"/>
    </w:pPr>
    <w:rPr>
      <w:rFonts w:ascii="仿宋_GB2312" w:hAnsi="宋体" w:eastAsia="仿宋_GB2312"/>
      <w:spacing w:val="5"/>
      <w:szCs w:val="24"/>
    </w:rPr>
  </w:style>
  <w:style w:type="paragraph" w:customStyle="1" w:styleId="56">
    <w:name w:val="Char2 Char Char Char Char Char Char"/>
    <w:basedOn w:val="1"/>
    <w:qFormat/>
    <w:uiPriority w:val="0"/>
    <w:rPr>
      <w:rFonts w:ascii="仿宋_GB2312"/>
      <w:b/>
      <w:sz w:val="30"/>
      <w:szCs w:val="32"/>
    </w:rPr>
  </w:style>
  <w:style w:type="paragraph" w:customStyle="1" w:styleId="57">
    <w:name w:val="标题3"/>
    <w:basedOn w:val="4"/>
    <w:qFormat/>
    <w:uiPriority w:val="0"/>
    <w:pPr>
      <w:numPr>
        <w:numId w:val="0"/>
      </w:numPr>
      <w:autoSpaceDE/>
      <w:autoSpaceDN/>
      <w:adjustRightInd/>
      <w:spacing w:line="240" w:lineRule="auto"/>
      <w:textAlignment w:val="auto"/>
      <w:outlineLvl w:val="9"/>
    </w:pPr>
    <w:rPr>
      <w:rFonts w:ascii="Times New Roman" w:eastAsia="宋体"/>
      <w:b w:val="0"/>
      <w:color w:val="auto"/>
      <w:kern w:val="2"/>
      <w:sz w:val="21"/>
    </w:rPr>
  </w:style>
  <w:style w:type="paragraph" w:customStyle="1" w:styleId="58">
    <w:name w:val="标题 3 （加黑）"/>
    <w:basedOn w:val="4"/>
    <w:qFormat/>
    <w:uiPriority w:val="0"/>
    <w:pPr>
      <w:keepLines/>
      <w:numPr>
        <w:numId w:val="0"/>
      </w:numPr>
      <w:autoSpaceDE/>
      <w:autoSpaceDN/>
      <w:adjustRightInd/>
      <w:spacing w:before="120" w:after="120" w:line="415" w:lineRule="auto"/>
      <w:ind w:left="354" w:hanging="354" w:hangingChars="150"/>
      <w:textAlignment w:val="auto"/>
    </w:pPr>
    <w:rPr>
      <w:rFonts w:ascii="Times New Roman" w:eastAsia="宋体"/>
      <w:bCs/>
      <w:color w:val="auto"/>
      <w:kern w:val="2"/>
      <w:sz w:val="24"/>
      <w:szCs w:val="32"/>
    </w:rPr>
  </w:style>
  <w:style w:type="paragraph" w:customStyle="1" w:styleId="59">
    <w:name w:val="Char Char Char"/>
    <w:basedOn w:val="1"/>
    <w:qFormat/>
    <w:uiPriority w:val="0"/>
    <w:rPr>
      <w:szCs w:val="24"/>
    </w:rPr>
  </w:style>
  <w:style w:type="paragraph" w:customStyle="1" w:styleId="60">
    <w:name w:val="Char25"/>
    <w:basedOn w:val="1"/>
    <w:qFormat/>
    <w:uiPriority w:val="0"/>
  </w:style>
  <w:style w:type="paragraph" w:customStyle="1" w:styleId="61">
    <w:name w:val="Char Char Char Char Char Char1 Char"/>
    <w:basedOn w:val="12"/>
    <w:qFormat/>
    <w:uiPriority w:val="0"/>
    <w:rPr>
      <w:rFonts w:ascii="Tahoma" w:hAnsi="Tahoma"/>
      <w:sz w:val="24"/>
    </w:rPr>
  </w:style>
  <w:style w:type="paragraph" w:customStyle="1" w:styleId="62">
    <w:name w:val="样式"/>
    <w:qFormat/>
    <w:uiPriority w:val="0"/>
    <w:pPr>
      <w:widowControl w:val="0"/>
      <w:autoSpaceDE w:val="0"/>
      <w:autoSpaceDN w:val="0"/>
      <w:adjustRightInd w:val="0"/>
    </w:pPr>
    <w:rPr>
      <w:rFonts w:ascii="Courier New" w:hAnsi="Courier New" w:eastAsia="宋体" w:cs="Courier New"/>
      <w:sz w:val="24"/>
      <w:szCs w:val="24"/>
      <w:lang w:val="en-US" w:eastAsia="zh-CN" w:bidi="ar-SA"/>
    </w:rPr>
  </w:style>
  <w:style w:type="paragraph" w:customStyle="1" w:styleId="63">
    <w:name w:val="样式 首行缩进:  2 字符"/>
    <w:basedOn w:val="1"/>
    <w:qFormat/>
    <w:uiPriority w:val="0"/>
    <w:pPr>
      <w:spacing w:line="400" w:lineRule="exact"/>
      <w:ind w:firstLine="200" w:firstLineChars="200"/>
    </w:pPr>
    <w:rPr>
      <w:rFonts w:cs="宋体"/>
      <w:sz w:val="24"/>
      <w:szCs w:val="24"/>
    </w:rPr>
  </w:style>
  <w:style w:type="paragraph" w:customStyle="1" w:styleId="64">
    <w:name w:val="09正文_wh"/>
    <w:qFormat/>
    <w:uiPriority w:val="0"/>
    <w:pPr>
      <w:spacing w:line="300" w:lineRule="auto"/>
      <w:ind w:firstLine="200" w:firstLineChars="200"/>
      <w:jc w:val="both"/>
    </w:pPr>
    <w:rPr>
      <w:rFonts w:ascii="Times New Roman" w:hAnsi="Times New Roman" w:eastAsia="宋体" w:cs="Times New Roman"/>
      <w:kern w:val="2"/>
      <w:sz w:val="28"/>
      <w:szCs w:val="24"/>
      <w:lang w:val="en-US" w:eastAsia="zh-CN" w:bidi="ar-SA"/>
    </w:rPr>
  </w:style>
  <w:style w:type="paragraph" w:customStyle="1" w:styleId="65">
    <w:name w:val="样式1"/>
    <w:basedOn w:val="1"/>
    <w:qFormat/>
    <w:uiPriority w:val="0"/>
    <w:pPr>
      <w:adjustRightInd w:val="0"/>
      <w:spacing w:line="420" w:lineRule="auto"/>
      <w:jc w:val="center"/>
      <w:textAlignment w:val="baseline"/>
    </w:pPr>
    <w:rPr>
      <w:rFonts w:ascii="宋体"/>
      <w:kern w:val="0"/>
      <w:sz w:val="24"/>
    </w:rPr>
  </w:style>
  <w:style w:type="paragraph" w:customStyle="1" w:styleId="66">
    <w:name w:val="8"/>
    <w:basedOn w:val="1"/>
    <w:qFormat/>
    <w:uiPriority w:val="0"/>
    <w:pPr>
      <w:widowControl/>
      <w:spacing w:before="100" w:beforeAutospacing="1" w:after="100" w:afterAutospacing="1" w:line="432" w:lineRule="auto"/>
      <w:jc w:val="left"/>
    </w:pPr>
    <w:rPr>
      <w:rFonts w:ascii="宋体" w:hAnsi="宋体"/>
      <w:kern w:val="0"/>
      <w:sz w:val="24"/>
      <w:szCs w:val="21"/>
    </w:rPr>
  </w:style>
  <w:style w:type="paragraph" w:customStyle="1" w:styleId="67">
    <w:name w:val="Char2 Char Char Char"/>
    <w:basedOn w:val="1"/>
    <w:qFormat/>
    <w:uiPriority w:val="0"/>
    <w:rPr>
      <w:sz w:val="28"/>
    </w:rPr>
  </w:style>
  <w:style w:type="paragraph" w:customStyle="1" w:styleId="68">
    <w:name w:val="正文首行缩进两字符"/>
    <w:basedOn w:val="1"/>
    <w:qFormat/>
    <w:uiPriority w:val="0"/>
    <w:pPr>
      <w:spacing w:line="360" w:lineRule="auto"/>
      <w:ind w:firstLine="200" w:firstLineChars="200"/>
    </w:pPr>
    <w:rPr>
      <w:szCs w:val="24"/>
    </w:rPr>
  </w:style>
  <w:style w:type="character" w:customStyle="1" w:styleId="69">
    <w:name w:val="批注文字 Char1"/>
    <w:qFormat/>
    <w:uiPriority w:val="0"/>
    <w:rPr>
      <w:sz w:val="18"/>
    </w:rPr>
  </w:style>
  <w:style w:type="paragraph" w:styleId="70">
    <w:name w:val="List Paragraph"/>
    <w:basedOn w:val="1"/>
    <w:link w:val="71"/>
    <w:unhideWhenUsed/>
    <w:qFormat/>
    <w:uiPriority w:val="0"/>
    <w:pPr>
      <w:ind w:firstLine="420" w:firstLineChars="200"/>
    </w:pPr>
  </w:style>
  <w:style w:type="character" w:customStyle="1" w:styleId="71">
    <w:name w:val="列出段落 Char"/>
    <w:link w:val="70"/>
    <w:qFormat/>
    <w:uiPriority w:val="0"/>
    <w:rPr>
      <w:kern w:val="2"/>
      <w:sz w:val="21"/>
    </w:rPr>
  </w:style>
  <w:style w:type="paragraph" w:customStyle="1" w:styleId="72">
    <w:name w:val="Table Paragraph"/>
    <w:basedOn w:val="1"/>
    <w:qFormat/>
    <w:uiPriority w:val="1"/>
    <w:pPr>
      <w:autoSpaceDE w:val="0"/>
      <w:autoSpaceDN w:val="0"/>
      <w:jc w:val="left"/>
    </w:pPr>
    <w:rPr>
      <w:rFonts w:ascii="Arial" w:hAnsi="Arial" w:eastAsia="Arial" w:cs="Arial"/>
      <w:kern w:val="0"/>
      <w:sz w:val="22"/>
      <w:szCs w:val="22"/>
      <w:lang w:eastAsia="en-US"/>
    </w:rPr>
  </w:style>
  <w:style w:type="paragraph" w:customStyle="1" w:styleId="73">
    <w:name w:val="修订1"/>
    <w:hidden/>
    <w:semiHidden/>
    <w:qFormat/>
    <w:uiPriority w:val="99"/>
    <w:rPr>
      <w:rFonts w:ascii="Times New Roman" w:hAnsi="Times New Roman" w:eastAsia="宋体" w:cs="Times New Roman"/>
      <w:kern w:val="2"/>
      <w:sz w:val="21"/>
      <w:lang w:val="en-US" w:eastAsia="zh-CN" w:bidi="ar-SA"/>
    </w:rPr>
  </w:style>
  <w:style w:type="paragraph" w:customStyle="1" w:styleId="74">
    <w:name w:val="Revision"/>
    <w:hidden/>
    <w:semiHidden/>
    <w:qFormat/>
    <w:uiPriority w:val="99"/>
    <w:rPr>
      <w:rFonts w:ascii="Times New Roman" w:hAnsi="Times New Roman" w:eastAsia="宋体" w:cs="Times New Roman"/>
      <w:kern w:val="2"/>
      <w:sz w:val="21"/>
      <w:lang w:val="en-US" w:eastAsia="zh-CN" w:bidi="ar-SA"/>
    </w:rPr>
  </w:style>
  <w:style w:type="paragraph" w:customStyle="1" w:styleId="75">
    <w:name w:val="WPSOffice手动目录 1"/>
    <w:qFormat/>
    <w:uiPriority w:val="0"/>
    <w:pPr>
      <w:ind w:leftChars="0"/>
    </w:pPr>
    <w:rPr>
      <w:rFonts w:ascii="Times New Roman" w:hAnsi="Times New Roman" w:eastAsia="宋体" w:cs="Times New Roman"/>
      <w:sz w:val="20"/>
      <w:szCs w:val="20"/>
    </w:rPr>
  </w:style>
  <w:style w:type="paragraph" w:customStyle="1" w:styleId="76">
    <w:name w:val="Default"/>
    <w:basedOn w:val="25"/>
    <w:next w:val="3"/>
    <w:qFormat/>
    <w:uiPriority w:val="0"/>
    <w:pPr>
      <w:widowControl w:val="0"/>
      <w:autoSpaceDE w:val="0"/>
      <w:autoSpaceDN w:val="0"/>
      <w:adjustRightInd w:val="0"/>
    </w:pPr>
    <w:rPr>
      <w:rFonts w:ascii="楷体à.ā" w:eastAsia="楷体à.ā"/>
      <w:color w:val="000000"/>
      <w:sz w:val="24"/>
      <w:szCs w:val="22"/>
      <w:lang w:val="en-US" w:eastAsia="zh-CN" w:bidi="ar-SA"/>
    </w:rPr>
  </w:style>
  <w:style w:type="paragraph" w:customStyle="1" w:styleId="77">
    <w:name w:val="null3"/>
    <w:hidden/>
    <w:qFormat/>
    <w:uiPriority w:val="0"/>
    <w:rPr>
      <w:rFonts w:hint="eastAsia" w:asciiTheme="minorHAnsi" w:hAnsiTheme="minorHAnsi" w:eastAsiaTheme="minorEastAsia" w:cstheme="minorBidi"/>
      <w:lang w:val="en-US" w:eastAsia="zh-Hans"/>
    </w:rPr>
  </w:style>
  <w:style w:type="paragraph" w:customStyle="1" w:styleId="78">
    <w:name w:val="普通 (Web)"/>
    <w:basedOn w:val="1"/>
    <w:qFormat/>
    <w:uiPriority w:val="0"/>
    <w:pPr>
      <w:widowControl/>
      <w:spacing w:before="100" w:beforeAutospacing="1" w:after="100" w:afterAutospacing="1"/>
      <w:jc w:val="left"/>
    </w:pPr>
    <w:rPr>
      <w:rFonts w:ascii="宋体" w:hAnsi="宋体"/>
      <w:kern w:val="0"/>
      <w:sz w:val="24"/>
    </w:rPr>
  </w:style>
  <w:style w:type="paragraph" w:customStyle="1" w:styleId="79">
    <w:name w:val="目录"/>
    <w:basedOn w:val="1"/>
    <w:qFormat/>
    <w:uiPriority w:val="0"/>
    <w:pPr>
      <w:widowControl/>
      <w:jc w:val="center"/>
    </w:pPr>
    <w:rPr>
      <w:rFonts w:ascii="宋体"/>
      <w:b/>
      <w:kern w:val="0"/>
      <w:sz w:val="36"/>
      <w:szCs w:val="20"/>
    </w:rPr>
  </w:style>
  <w:style w:type="paragraph" w:customStyle="1" w:styleId="80">
    <w:name w:val="普通(网站)1"/>
    <w:basedOn w:val="1"/>
    <w:qFormat/>
    <w:uiPriority w:val="0"/>
    <w:pPr>
      <w:widowControl/>
      <w:spacing w:before="100" w:beforeAutospacing="1" w:after="100" w:afterAutospacing="1"/>
      <w:jc w:val="left"/>
    </w:pPr>
    <w:rPr>
      <w:rFonts w:ascii="宋体" w:hAnsi="宋体" w:cs="宋体"/>
      <w:color w:val="000000"/>
      <w:kern w:val="0"/>
      <w:sz w:val="24"/>
    </w:rPr>
  </w:style>
  <w:style w:type="table" w:customStyle="1" w:styleId="81">
    <w:name w:val="Table Normal"/>
    <w:semiHidden/>
    <w:unhideWhenUsed/>
    <w:qFormat/>
    <w:uiPriority w:val="0"/>
    <w:tblPr>
      <w:tblLayout w:type="fixed"/>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小熔工作室</Company>
  <Pages>28</Pages>
  <Words>9761</Words>
  <Characters>9973</Characters>
  <Lines>19</Lines>
  <Paragraphs>27</Paragraphs>
  <TotalTime>0</TotalTime>
  <ScaleCrop>false</ScaleCrop>
  <LinksUpToDate>false</LinksUpToDate>
  <CharactersWithSpaces>11233</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2020-12-02T08:41:00Z</dcterms:created>
  <dc:creator>番茄花园</dc:creator>
  <cp:lastModifiedBy>user</cp:lastModifiedBy>
  <cp:lastPrinted>2025-01-09T06:15:00Z</cp:lastPrinted>
  <dcterms:modified xsi:type="dcterms:W3CDTF">2026-10-19T00:47:24Z</dcterms:modified>
  <dc:title>政府采购</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8ECDE9FDB717420E93DA04581350F77C_13</vt:lpwstr>
  </property>
  <property fmtid="{D5CDD505-2E9C-101B-9397-08002B2CF9AE}" pid="4" name="KSOTemplateDocerSaveRecord">
    <vt:lpwstr>eyJoZGlkIjoiMWJjNDVkMTQ4MGVhZGVjMDBmMzQ3YTVmZDZlOGYxYzQiLCJ1c2VySWQiOiIxNjM3NDc2NTQ4In0=</vt:lpwstr>
  </property>
</Properties>
</file>