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4810AC">
      <w:pPr>
        <w:jc w:val="center"/>
        <w:rPr>
          <w:rFonts w:hint="eastAsia" w:ascii="华文中宋" w:hAnsi="华文中宋" w:eastAsia="华文中宋" w:cs="华文中宋"/>
          <w:b/>
          <w:color w:val="auto"/>
          <w:sz w:val="48"/>
          <w:szCs w:val="48"/>
        </w:rPr>
      </w:pPr>
      <w:r>
        <w:rPr>
          <w:rFonts w:hint="eastAsia" w:ascii="华文中宋" w:hAnsi="华文中宋" w:eastAsia="华文中宋" w:cs="华文中宋"/>
          <w:b/>
          <w:color w:val="auto"/>
          <w:sz w:val="48"/>
          <w:szCs w:val="48"/>
        </w:rPr>
        <w:t>金堂县第一人民医院</w:t>
      </w:r>
    </w:p>
    <w:p w14:paraId="2B79E65F">
      <w:pPr>
        <w:jc w:val="center"/>
        <w:rPr>
          <w:rFonts w:hint="eastAsia" w:ascii="华文中宋" w:hAnsi="华文中宋" w:eastAsia="华文中宋" w:cs="华文中宋"/>
          <w:b/>
          <w:color w:val="auto"/>
          <w:sz w:val="48"/>
          <w:szCs w:val="48"/>
          <w:lang w:val="en-US" w:eastAsia="zh-CN"/>
        </w:rPr>
      </w:pPr>
      <w:r>
        <w:rPr>
          <w:rFonts w:hint="eastAsia" w:ascii="华文中宋" w:hAnsi="华文中宋" w:eastAsia="华文中宋" w:cs="华文中宋"/>
          <w:b/>
          <w:color w:val="auto"/>
          <w:sz w:val="48"/>
          <w:szCs w:val="48"/>
          <w:lang w:val="en-US" w:eastAsia="zh-CN"/>
        </w:rPr>
        <w:t>老旧院落装修工程采购项目</w:t>
      </w:r>
    </w:p>
    <w:p w14:paraId="5B2C8B2D">
      <w:pPr>
        <w:jc w:val="center"/>
        <w:rPr>
          <w:rFonts w:hint="eastAsia" w:ascii="华文中宋" w:hAnsi="华文中宋" w:eastAsia="华文中宋" w:cs="华文中宋"/>
          <w:b/>
          <w:color w:val="auto"/>
          <w:sz w:val="48"/>
          <w:szCs w:val="48"/>
        </w:rPr>
      </w:pPr>
      <w:r>
        <w:rPr>
          <w:rFonts w:hint="eastAsia" w:ascii="华文中宋" w:hAnsi="华文中宋" w:eastAsia="华文中宋" w:cs="华文中宋"/>
          <w:b/>
          <w:color w:val="auto"/>
          <w:sz w:val="48"/>
          <w:szCs w:val="48"/>
          <w:lang w:val="en-US" w:eastAsia="zh-CN"/>
        </w:rPr>
        <w:t>竞争性磋商</w:t>
      </w:r>
      <w:r>
        <w:rPr>
          <w:rFonts w:hint="eastAsia" w:ascii="华文中宋" w:hAnsi="华文中宋" w:eastAsia="华文中宋" w:cs="华文中宋"/>
          <w:b/>
          <w:color w:val="auto"/>
          <w:sz w:val="48"/>
          <w:szCs w:val="48"/>
        </w:rPr>
        <w:t>文件</w:t>
      </w:r>
    </w:p>
    <w:p w14:paraId="4F2455E7">
      <w:pPr>
        <w:jc w:val="center"/>
        <w:rPr>
          <w:rFonts w:ascii="华文中宋" w:hAnsi="华文中宋" w:eastAsia="华文中宋" w:cs="Tahoma"/>
          <w:b/>
          <w:color w:val="auto"/>
          <w:sz w:val="32"/>
          <w:szCs w:val="32"/>
          <w:shd w:val="clear" w:color="auto" w:fill="FFFFFF"/>
        </w:rPr>
      </w:pPr>
    </w:p>
    <w:p w14:paraId="0C4C3806">
      <w:pPr>
        <w:jc w:val="center"/>
        <w:rPr>
          <w:rFonts w:ascii="华文中宋" w:hAnsi="华文中宋" w:eastAsia="华文中宋" w:cs="Tahoma"/>
          <w:b/>
          <w:color w:val="auto"/>
          <w:sz w:val="32"/>
          <w:szCs w:val="32"/>
          <w:shd w:val="clear" w:color="auto" w:fill="FFFFFF"/>
        </w:rPr>
      </w:pPr>
    </w:p>
    <w:p w14:paraId="3123614F">
      <w:pPr>
        <w:jc w:val="center"/>
        <w:rPr>
          <w:rFonts w:ascii="华文中宋" w:hAnsi="华文中宋" w:eastAsia="华文中宋" w:cs="Tahoma"/>
          <w:b/>
          <w:color w:val="auto"/>
          <w:sz w:val="32"/>
          <w:szCs w:val="32"/>
          <w:shd w:val="clear" w:color="auto" w:fill="FFFFFF"/>
        </w:rPr>
      </w:pPr>
    </w:p>
    <w:p w14:paraId="734B1EC4">
      <w:pPr>
        <w:jc w:val="center"/>
        <w:rPr>
          <w:rFonts w:hint="default" w:ascii="华文中宋" w:hAnsi="华文中宋" w:eastAsia="华文中宋" w:cs="Tahoma"/>
          <w:b/>
          <w:color w:val="auto"/>
          <w:sz w:val="32"/>
          <w:szCs w:val="32"/>
          <w:shd w:val="clear" w:color="auto" w:fill="FFFFFF"/>
          <w:lang w:val="en-US" w:eastAsia="zh-CN"/>
        </w:rPr>
      </w:pPr>
      <w:r>
        <w:rPr>
          <w:rFonts w:hint="eastAsia" w:ascii="华文中宋" w:hAnsi="华文中宋" w:eastAsia="华文中宋" w:cs="Tahoma"/>
          <w:b/>
          <w:color w:val="auto"/>
          <w:sz w:val="32"/>
          <w:szCs w:val="32"/>
          <w:shd w:val="clear" w:color="auto" w:fill="FFFFFF"/>
        </w:rPr>
        <w:t>项目编号：</w:t>
      </w:r>
      <w:r>
        <w:rPr>
          <w:rFonts w:hint="eastAsia" w:ascii="华文中宋" w:hAnsi="华文中宋" w:eastAsia="华文中宋" w:cs="Tahoma"/>
          <w:b/>
          <w:color w:val="auto"/>
          <w:sz w:val="32"/>
          <w:szCs w:val="32"/>
          <w:shd w:val="clear" w:color="auto" w:fill="FFFFFF"/>
          <w:lang w:eastAsia="zh-CN"/>
        </w:rPr>
        <w:t>HXJTYY-CG-20250</w:t>
      </w:r>
      <w:r>
        <w:rPr>
          <w:rFonts w:hint="eastAsia" w:ascii="华文中宋" w:hAnsi="华文中宋" w:eastAsia="华文中宋" w:cs="Tahoma"/>
          <w:b/>
          <w:color w:val="auto"/>
          <w:sz w:val="32"/>
          <w:szCs w:val="32"/>
          <w:shd w:val="clear" w:color="auto" w:fill="FFFFFF"/>
          <w:lang w:val="en-US" w:eastAsia="zh-CN"/>
        </w:rPr>
        <w:t>28</w:t>
      </w:r>
    </w:p>
    <w:p w14:paraId="4AC69F51">
      <w:pPr>
        <w:rPr>
          <w:rFonts w:ascii="华文中宋" w:hAnsi="华文中宋" w:eastAsia="华文中宋"/>
          <w:b/>
          <w:color w:val="auto"/>
          <w:sz w:val="72"/>
          <w:szCs w:val="72"/>
        </w:rPr>
      </w:pPr>
    </w:p>
    <w:p w14:paraId="2D452801">
      <w:pPr>
        <w:jc w:val="center"/>
        <w:rPr>
          <w:rFonts w:ascii="华文中宋" w:hAnsi="华文中宋" w:eastAsia="华文中宋"/>
          <w:b/>
          <w:color w:val="auto"/>
          <w:sz w:val="32"/>
          <w:szCs w:val="32"/>
        </w:rPr>
      </w:pPr>
    </w:p>
    <w:p w14:paraId="4C926B27">
      <w:pPr>
        <w:jc w:val="center"/>
        <w:rPr>
          <w:rFonts w:ascii="华文中宋" w:hAnsi="华文中宋" w:eastAsia="华文中宋"/>
          <w:b/>
          <w:color w:val="auto"/>
          <w:sz w:val="32"/>
          <w:szCs w:val="32"/>
        </w:rPr>
      </w:pPr>
      <w:r>
        <w:rPr>
          <w:rFonts w:hint="eastAsia" w:ascii="华文中宋" w:hAnsi="华文中宋" w:eastAsia="华文中宋"/>
          <w:b/>
          <w:color w:val="auto"/>
          <w:sz w:val="32"/>
          <w:szCs w:val="32"/>
        </w:rPr>
        <w:t>比选人：金堂县第一人民医院</w:t>
      </w:r>
    </w:p>
    <w:p w14:paraId="261F799B">
      <w:pPr>
        <w:tabs>
          <w:tab w:val="left" w:pos="2640"/>
          <w:tab w:val="left" w:pos="6240"/>
        </w:tabs>
        <w:autoSpaceDE w:val="0"/>
        <w:autoSpaceDN w:val="0"/>
        <w:adjustRightInd w:val="0"/>
        <w:spacing w:line="360" w:lineRule="auto"/>
        <w:ind w:right="-248"/>
        <w:jc w:val="center"/>
        <w:rPr>
          <w:rFonts w:hint="eastAsia" w:ascii="Arial" w:hAnsi="Arial"/>
          <w:color w:val="auto"/>
          <w:kern w:val="0"/>
          <w:sz w:val="36"/>
          <w:u w:val="single"/>
        </w:rPr>
      </w:pPr>
      <w:r>
        <w:rPr>
          <w:rFonts w:hint="eastAsia" w:ascii="华文中宋" w:hAnsi="华文中宋" w:eastAsia="华文中宋"/>
          <w:b/>
          <w:color w:val="auto"/>
          <w:sz w:val="32"/>
          <w:szCs w:val="32"/>
        </w:rPr>
        <w:t>202</w:t>
      </w:r>
      <w:r>
        <w:rPr>
          <w:rFonts w:hint="eastAsia" w:ascii="华文中宋" w:hAnsi="华文中宋" w:eastAsia="华文中宋"/>
          <w:b/>
          <w:color w:val="auto"/>
          <w:sz w:val="32"/>
          <w:szCs w:val="32"/>
          <w:lang w:val="en-US" w:eastAsia="zh-CN"/>
        </w:rPr>
        <w:t>5</w:t>
      </w:r>
      <w:r>
        <w:rPr>
          <w:rFonts w:hint="eastAsia" w:ascii="华文中宋" w:hAnsi="华文中宋" w:eastAsia="华文中宋"/>
          <w:b/>
          <w:color w:val="auto"/>
          <w:sz w:val="32"/>
          <w:szCs w:val="32"/>
        </w:rPr>
        <w:t>年</w:t>
      </w:r>
      <w:r>
        <w:rPr>
          <w:rFonts w:hint="eastAsia" w:ascii="华文中宋" w:hAnsi="华文中宋" w:eastAsia="华文中宋"/>
          <w:b/>
          <w:color w:val="auto"/>
          <w:sz w:val="32"/>
          <w:szCs w:val="32"/>
          <w:lang w:val="en-US" w:eastAsia="zh-CN"/>
        </w:rPr>
        <w:t>09</w:t>
      </w:r>
      <w:r>
        <w:rPr>
          <w:rFonts w:hint="eastAsia" w:ascii="华文中宋" w:hAnsi="华文中宋" w:eastAsia="华文中宋"/>
          <w:b/>
          <w:color w:val="auto"/>
          <w:sz w:val="32"/>
          <w:szCs w:val="32"/>
        </w:rPr>
        <w:t>月</w:t>
      </w:r>
    </w:p>
    <w:p w14:paraId="6C254CE7">
      <w:pPr>
        <w:spacing w:line="360" w:lineRule="auto"/>
        <w:jc w:val="center"/>
        <w:rPr>
          <w:rFonts w:asciiTheme="minorEastAsia" w:hAnsiTheme="minorEastAsia" w:eastAsiaTheme="minorEastAsia"/>
          <w:bCs w:val="0"/>
          <w:color w:val="000000" w:themeColor="text1"/>
          <w:sz w:val="36"/>
          <w:highlight w:val="none"/>
          <w14:textFill>
            <w14:solidFill>
              <w14:schemeClr w14:val="tx1"/>
            </w14:solidFill>
          </w14:textFill>
        </w:rPr>
      </w:pPr>
      <w:r>
        <w:rPr>
          <w:rFonts w:asciiTheme="minorEastAsia" w:hAnsiTheme="minorEastAsia" w:eastAsiaTheme="minorEastAsia"/>
          <w:b/>
          <w:bCs/>
          <w:color w:val="000000" w:themeColor="text1"/>
          <w:sz w:val="36"/>
          <w:highlight w:val="none"/>
          <w14:textFill>
            <w14:solidFill>
              <w14:schemeClr w14:val="tx1"/>
            </w14:solidFill>
          </w14:textFill>
        </w:rPr>
        <w:br w:type="page"/>
      </w:r>
    </w:p>
    <w:p w14:paraId="28155D02">
      <w:pPr>
        <w:pStyle w:val="3"/>
        <w:keepNext w:val="0"/>
        <w:keepLines w:val="0"/>
        <w:spacing w:line="360" w:lineRule="auto"/>
        <w:jc w:val="center"/>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bCs w:val="0"/>
          <w:color w:val="000000" w:themeColor="text1"/>
          <w:sz w:val="36"/>
          <w:highlight w:val="none"/>
          <w14:textFill>
            <w14:solidFill>
              <w14:schemeClr w14:val="tx1"/>
            </w14:solidFill>
          </w14:textFill>
        </w:rPr>
        <w:t>目录</w:t>
      </w:r>
    </w:p>
    <w:p w14:paraId="1932B30C">
      <w:pPr>
        <w:pStyle w:val="14"/>
        <w:tabs>
          <w:tab w:val="right" w:leader="dot" w:pos="9345"/>
        </w:tabs>
        <w:ind w:right="-105" w:rightChars="-50"/>
        <w:jc w:val="left"/>
        <w:rPr>
          <w:rStyle w:val="21"/>
          <w:rFonts w:asciiTheme="minorEastAsia" w:hAnsiTheme="minorEastAsia" w:eastAsiaTheme="minorEastAsia"/>
          <w:bCs/>
          <w:caps/>
          <w:color w:val="000000" w:themeColor="text1"/>
          <w:highlight w:val="none"/>
          <w14:textFill>
            <w14:solidFill>
              <w14:schemeClr w14:val="tx1"/>
            </w14:solidFill>
          </w14:textFill>
        </w:rPr>
      </w:pPr>
      <w:r>
        <w:rPr>
          <w:rStyle w:val="21"/>
          <w:rFonts w:asciiTheme="minorEastAsia" w:hAnsiTheme="minorEastAsia" w:eastAsiaTheme="minorEastAsia"/>
          <w:bCs/>
          <w:caps/>
          <w:color w:val="000000" w:themeColor="text1"/>
          <w:highlight w:val="none"/>
          <w14:textFill>
            <w14:solidFill>
              <w14:schemeClr w14:val="tx1"/>
            </w14:solidFill>
          </w14:textFill>
        </w:rPr>
        <w:fldChar w:fldCharType="begin"/>
      </w:r>
      <w:r>
        <w:rPr>
          <w:rStyle w:val="21"/>
          <w:rFonts w:asciiTheme="minorEastAsia" w:hAnsiTheme="minorEastAsia" w:eastAsiaTheme="minorEastAsia"/>
          <w:bCs/>
          <w:caps/>
          <w:color w:val="000000" w:themeColor="text1"/>
          <w:highlight w:val="none"/>
          <w14:textFill>
            <w14:solidFill>
              <w14:schemeClr w14:val="tx1"/>
            </w14:solidFill>
          </w14:textFill>
        </w:rPr>
        <w:instrText xml:space="preserve">TOC \h \z \t "</w:instrText>
      </w:r>
      <w:r>
        <w:rPr>
          <w:rStyle w:val="21"/>
          <w:rFonts w:hint="eastAsia" w:asciiTheme="minorEastAsia" w:hAnsiTheme="minorEastAsia" w:eastAsiaTheme="minorEastAsia"/>
          <w:bCs/>
          <w:caps/>
          <w:color w:val="000000" w:themeColor="text1"/>
          <w:highlight w:val="none"/>
          <w14:textFill>
            <w14:solidFill>
              <w14:schemeClr w14:val="tx1"/>
            </w14:solidFill>
          </w14:textFill>
        </w:rPr>
        <w:instrText xml:space="preserve">标题</w:instrText>
      </w:r>
      <w:r>
        <w:rPr>
          <w:rStyle w:val="21"/>
          <w:rFonts w:asciiTheme="minorEastAsia" w:hAnsiTheme="minorEastAsia" w:eastAsiaTheme="minorEastAsia"/>
          <w:bCs/>
          <w:caps/>
          <w:color w:val="000000" w:themeColor="text1"/>
          <w:highlight w:val="none"/>
          <w14:textFill>
            <w14:solidFill>
              <w14:schemeClr w14:val="tx1"/>
            </w14:solidFill>
          </w14:textFill>
        </w:rPr>
        <w:instrText xml:space="preserve">,1"</w:instrText>
      </w:r>
      <w:r>
        <w:rPr>
          <w:rStyle w:val="21"/>
          <w:rFonts w:asciiTheme="minorEastAsia" w:hAnsiTheme="minorEastAsia" w:eastAsiaTheme="minorEastAsia"/>
          <w:bCs/>
          <w:caps/>
          <w:color w:val="000000" w:themeColor="text1"/>
          <w:highlight w:val="none"/>
          <w14:textFill>
            <w14:solidFill>
              <w14:schemeClr w14:val="tx1"/>
            </w14:solidFill>
          </w14:textFill>
        </w:rPr>
        <w:fldChar w:fldCharType="separate"/>
      </w:r>
      <w:r>
        <w:rPr>
          <w:rStyle w:val="21"/>
          <w:rFonts w:asciiTheme="minorEastAsia" w:hAnsiTheme="minorEastAsia" w:eastAsiaTheme="minorEastAsia"/>
          <w:bCs/>
          <w:caps/>
          <w:color w:val="000000" w:themeColor="text1"/>
          <w:highlight w:val="none"/>
          <w14:textFill>
            <w14:solidFill>
              <w14:schemeClr w14:val="tx1"/>
            </w14:solidFill>
          </w14:textFill>
        </w:rPr>
        <w:fldChar w:fldCharType="begin"/>
      </w:r>
      <w:r>
        <w:rPr>
          <w:rStyle w:val="21"/>
          <w:rFonts w:asciiTheme="minorEastAsia" w:hAnsiTheme="minorEastAsia" w:eastAsiaTheme="minorEastAsia"/>
          <w:bCs/>
          <w:caps/>
          <w:color w:val="000000" w:themeColor="text1"/>
          <w:highlight w:val="none"/>
          <w14:textFill>
            <w14:solidFill>
              <w14:schemeClr w14:val="tx1"/>
            </w14:solidFill>
          </w14:textFill>
        </w:rPr>
        <w:instrText xml:space="preserve"> HYPERLINK \l "_Toc531596546" </w:instrText>
      </w:r>
      <w:r>
        <w:rPr>
          <w:rStyle w:val="21"/>
          <w:rFonts w:asciiTheme="minorEastAsia" w:hAnsiTheme="minorEastAsia" w:eastAsiaTheme="minorEastAsia"/>
          <w:bCs/>
          <w:caps/>
          <w:color w:val="000000" w:themeColor="text1"/>
          <w:highlight w:val="none"/>
          <w14:textFill>
            <w14:solidFill>
              <w14:schemeClr w14:val="tx1"/>
            </w14:solidFill>
          </w14:textFill>
        </w:rPr>
        <w:fldChar w:fldCharType="separate"/>
      </w:r>
      <w:r>
        <w:rPr>
          <w:rStyle w:val="21"/>
          <w:rFonts w:hint="eastAsia" w:asciiTheme="minorEastAsia" w:hAnsiTheme="minorEastAsia" w:eastAsiaTheme="minorEastAsia"/>
          <w:bCs/>
          <w:caps/>
          <w:color w:val="000000" w:themeColor="text1"/>
          <w:highlight w:val="none"/>
          <w14:textFill>
            <w14:solidFill>
              <w14:schemeClr w14:val="tx1"/>
            </w14:solidFill>
          </w14:textFill>
        </w:rPr>
        <w:t>第一章磋商邀请</w:t>
      </w:r>
      <w:r>
        <w:rPr>
          <w:rStyle w:val="21"/>
          <w:rFonts w:asciiTheme="minorEastAsia" w:hAnsiTheme="minorEastAsia" w:eastAsiaTheme="minorEastAsia"/>
          <w:bCs/>
          <w:caps/>
          <w:color w:val="000000" w:themeColor="text1"/>
          <w:highlight w:val="none"/>
          <w14:textFill>
            <w14:solidFill>
              <w14:schemeClr w14:val="tx1"/>
            </w14:solidFill>
          </w14:textFill>
        </w:rPr>
        <w:tab/>
      </w:r>
      <w:r>
        <w:rPr>
          <w:rStyle w:val="21"/>
          <w:rFonts w:asciiTheme="minorEastAsia" w:hAnsiTheme="minorEastAsia" w:eastAsiaTheme="minorEastAsia"/>
          <w:bCs/>
          <w:caps/>
          <w:color w:val="000000" w:themeColor="text1"/>
          <w:highlight w:val="none"/>
          <w14:textFill>
            <w14:solidFill>
              <w14:schemeClr w14:val="tx1"/>
            </w14:solidFill>
          </w14:textFill>
        </w:rPr>
        <w:fldChar w:fldCharType="begin"/>
      </w:r>
      <w:r>
        <w:rPr>
          <w:rStyle w:val="21"/>
          <w:rFonts w:asciiTheme="minorEastAsia" w:hAnsiTheme="minorEastAsia" w:eastAsiaTheme="minorEastAsia"/>
          <w:bCs/>
          <w:caps/>
          <w:color w:val="000000" w:themeColor="text1"/>
          <w:highlight w:val="none"/>
          <w14:textFill>
            <w14:solidFill>
              <w14:schemeClr w14:val="tx1"/>
            </w14:solidFill>
          </w14:textFill>
        </w:rPr>
        <w:instrText xml:space="preserve"> PAGEREF _Toc531596546 \h </w:instrText>
      </w:r>
      <w:r>
        <w:rPr>
          <w:rStyle w:val="21"/>
          <w:rFonts w:asciiTheme="minorEastAsia" w:hAnsiTheme="minorEastAsia" w:eastAsiaTheme="minorEastAsia"/>
          <w:bCs/>
          <w:caps/>
          <w:color w:val="000000" w:themeColor="text1"/>
          <w:highlight w:val="none"/>
          <w14:textFill>
            <w14:solidFill>
              <w14:schemeClr w14:val="tx1"/>
            </w14:solidFill>
          </w14:textFill>
        </w:rPr>
        <w:fldChar w:fldCharType="separate"/>
      </w:r>
      <w:r>
        <w:rPr>
          <w:rStyle w:val="21"/>
          <w:rFonts w:asciiTheme="minorEastAsia" w:hAnsiTheme="minorEastAsia" w:eastAsiaTheme="minorEastAsia"/>
          <w:bCs/>
          <w:caps/>
          <w:color w:val="000000" w:themeColor="text1"/>
          <w:highlight w:val="none"/>
          <w14:textFill>
            <w14:solidFill>
              <w14:schemeClr w14:val="tx1"/>
            </w14:solidFill>
          </w14:textFill>
        </w:rPr>
        <w:t>3</w:t>
      </w:r>
      <w:r>
        <w:rPr>
          <w:rStyle w:val="21"/>
          <w:rFonts w:asciiTheme="minorEastAsia" w:hAnsiTheme="minorEastAsia" w:eastAsiaTheme="minorEastAsia"/>
          <w:bCs/>
          <w:caps/>
          <w:color w:val="000000" w:themeColor="text1"/>
          <w:highlight w:val="none"/>
          <w14:textFill>
            <w14:solidFill>
              <w14:schemeClr w14:val="tx1"/>
            </w14:solidFill>
          </w14:textFill>
        </w:rPr>
        <w:fldChar w:fldCharType="end"/>
      </w:r>
      <w:r>
        <w:rPr>
          <w:rStyle w:val="21"/>
          <w:rFonts w:asciiTheme="minorEastAsia" w:hAnsiTheme="minorEastAsia" w:eastAsiaTheme="minorEastAsia"/>
          <w:bCs/>
          <w:caps/>
          <w:color w:val="000000" w:themeColor="text1"/>
          <w:highlight w:val="none"/>
          <w14:textFill>
            <w14:solidFill>
              <w14:schemeClr w14:val="tx1"/>
            </w14:solidFill>
          </w14:textFill>
        </w:rPr>
        <w:fldChar w:fldCharType="end"/>
      </w:r>
    </w:p>
    <w:p w14:paraId="2EA2471C">
      <w:pPr>
        <w:pStyle w:val="14"/>
        <w:tabs>
          <w:tab w:val="right" w:leader="dot" w:pos="9345"/>
        </w:tabs>
        <w:ind w:right="-105" w:rightChars="-50"/>
        <w:jc w:val="left"/>
        <w:rPr>
          <w:rStyle w:val="21"/>
          <w:rFonts w:asciiTheme="minorEastAsia" w:hAnsiTheme="minorEastAsia" w:eastAsiaTheme="minorEastAsia"/>
          <w:bCs/>
          <w:caps/>
          <w:color w:val="000000" w:themeColor="text1"/>
          <w:highlight w:val="none"/>
          <w14:textFill>
            <w14:solidFill>
              <w14:schemeClr w14:val="tx1"/>
            </w14:solidFill>
          </w14:textFill>
        </w:rPr>
      </w:pPr>
      <w:r>
        <w:rPr>
          <w:rStyle w:val="21"/>
          <w:rFonts w:asciiTheme="minorEastAsia" w:hAnsiTheme="minorEastAsia" w:eastAsiaTheme="minorEastAsia"/>
          <w:bCs/>
          <w:caps/>
          <w:color w:val="000000" w:themeColor="text1"/>
          <w:highlight w:val="none"/>
          <w14:textFill>
            <w14:solidFill>
              <w14:schemeClr w14:val="tx1"/>
            </w14:solidFill>
          </w14:textFill>
        </w:rPr>
        <w:fldChar w:fldCharType="begin"/>
      </w:r>
      <w:r>
        <w:rPr>
          <w:rStyle w:val="21"/>
          <w:rFonts w:asciiTheme="minorEastAsia" w:hAnsiTheme="minorEastAsia" w:eastAsiaTheme="minorEastAsia"/>
          <w:bCs/>
          <w:caps/>
          <w:color w:val="000000" w:themeColor="text1"/>
          <w:highlight w:val="none"/>
          <w14:textFill>
            <w14:solidFill>
              <w14:schemeClr w14:val="tx1"/>
            </w14:solidFill>
          </w14:textFill>
        </w:rPr>
        <w:instrText xml:space="preserve"> HYPERLINK \l "_Toc531596547" </w:instrText>
      </w:r>
      <w:r>
        <w:rPr>
          <w:rStyle w:val="21"/>
          <w:rFonts w:asciiTheme="minorEastAsia" w:hAnsiTheme="minorEastAsia" w:eastAsiaTheme="minorEastAsia"/>
          <w:bCs/>
          <w:caps/>
          <w:color w:val="000000" w:themeColor="text1"/>
          <w:highlight w:val="none"/>
          <w14:textFill>
            <w14:solidFill>
              <w14:schemeClr w14:val="tx1"/>
            </w14:solidFill>
          </w14:textFill>
        </w:rPr>
        <w:fldChar w:fldCharType="separate"/>
      </w:r>
      <w:r>
        <w:rPr>
          <w:rStyle w:val="21"/>
          <w:rFonts w:hint="eastAsia" w:asciiTheme="minorEastAsia" w:hAnsiTheme="minorEastAsia" w:eastAsiaTheme="minorEastAsia"/>
          <w:bCs/>
          <w:caps/>
          <w:color w:val="000000" w:themeColor="text1"/>
          <w:highlight w:val="none"/>
          <w14:textFill>
            <w14:solidFill>
              <w14:schemeClr w14:val="tx1"/>
            </w14:solidFill>
          </w14:textFill>
        </w:rPr>
        <w:t>第二章磋商须知</w:t>
      </w:r>
      <w:r>
        <w:rPr>
          <w:rStyle w:val="21"/>
          <w:rFonts w:asciiTheme="minorEastAsia" w:hAnsiTheme="minorEastAsia" w:eastAsiaTheme="minorEastAsia"/>
          <w:bCs/>
          <w:caps/>
          <w:color w:val="000000" w:themeColor="text1"/>
          <w:highlight w:val="none"/>
          <w14:textFill>
            <w14:solidFill>
              <w14:schemeClr w14:val="tx1"/>
            </w14:solidFill>
          </w14:textFill>
        </w:rPr>
        <w:tab/>
      </w:r>
      <w:r>
        <w:rPr>
          <w:rStyle w:val="21"/>
          <w:rFonts w:asciiTheme="minorEastAsia" w:hAnsiTheme="minorEastAsia" w:eastAsiaTheme="minorEastAsia"/>
          <w:bCs/>
          <w:caps/>
          <w:color w:val="000000" w:themeColor="text1"/>
          <w:highlight w:val="none"/>
          <w14:textFill>
            <w14:solidFill>
              <w14:schemeClr w14:val="tx1"/>
            </w14:solidFill>
          </w14:textFill>
        </w:rPr>
        <w:fldChar w:fldCharType="begin"/>
      </w:r>
      <w:r>
        <w:rPr>
          <w:rStyle w:val="21"/>
          <w:rFonts w:asciiTheme="minorEastAsia" w:hAnsiTheme="minorEastAsia" w:eastAsiaTheme="minorEastAsia"/>
          <w:bCs/>
          <w:caps/>
          <w:color w:val="000000" w:themeColor="text1"/>
          <w:highlight w:val="none"/>
          <w14:textFill>
            <w14:solidFill>
              <w14:schemeClr w14:val="tx1"/>
            </w14:solidFill>
          </w14:textFill>
        </w:rPr>
        <w:instrText xml:space="preserve"> PAGEREF _Toc531596547 \h </w:instrText>
      </w:r>
      <w:r>
        <w:rPr>
          <w:rStyle w:val="21"/>
          <w:rFonts w:asciiTheme="minorEastAsia" w:hAnsiTheme="minorEastAsia" w:eastAsiaTheme="minorEastAsia"/>
          <w:bCs/>
          <w:caps/>
          <w:color w:val="000000" w:themeColor="text1"/>
          <w:highlight w:val="none"/>
          <w14:textFill>
            <w14:solidFill>
              <w14:schemeClr w14:val="tx1"/>
            </w14:solidFill>
          </w14:textFill>
        </w:rPr>
        <w:fldChar w:fldCharType="separate"/>
      </w:r>
      <w:r>
        <w:rPr>
          <w:rStyle w:val="21"/>
          <w:rFonts w:asciiTheme="minorEastAsia" w:hAnsiTheme="minorEastAsia" w:eastAsiaTheme="minorEastAsia"/>
          <w:bCs/>
          <w:caps/>
          <w:color w:val="000000" w:themeColor="text1"/>
          <w:highlight w:val="none"/>
          <w14:textFill>
            <w14:solidFill>
              <w14:schemeClr w14:val="tx1"/>
            </w14:solidFill>
          </w14:textFill>
        </w:rPr>
        <w:t>6</w:t>
      </w:r>
      <w:r>
        <w:rPr>
          <w:rStyle w:val="21"/>
          <w:rFonts w:asciiTheme="minorEastAsia" w:hAnsiTheme="minorEastAsia" w:eastAsiaTheme="minorEastAsia"/>
          <w:bCs/>
          <w:caps/>
          <w:color w:val="000000" w:themeColor="text1"/>
          <w:highlight w:val="none"/>
          <w14:textFill>
            <w14:solidFill>
              <w14:schemeClr w14:val="tx1"/>
            </w14:solidFill>
          </w14:textFill>
        </w:rPr>
        <w:fldChar w:fldCharType="end"/>
      </w:r>
      <w:r>
        <w:rPr>
          <w:rStyle w:val="21"/>
          <w:rFonts w:asciiTheme="minorEastAsia" w:hAnsiTheme="minorEastAsia" w:eastAsiaTheme="minorEastAsia"/>
          <w:bCs/>
          <w:caps/>
          <w:color w:val="000000" w:themeColor="text1"/>
          <w:highlight w:val="none"/>
          <w14:textFill>
            <w14:solidFill>
              <w14:schemeClr w14:val="tx1"/>
            </w14:solidFill>
          </w14:textFill>
        </w:rPr>
        <w:fldChar w:fldCharType="end"/>
      </w:r>
    </w:p>
    <w:p w14:paraId="1968668B">
      <w:pPr>
        <w:pStyle w:val="14"/>
        <w:tabs>
          <w:tab w:val="right" w:leader="dot" w:pos="9345"/>
        </w:tabs>
        <w:ind w:right="-105" w:rightChars="-50"/>
        <w:jc w:val="left"/>
        <w:rPr>
          <w:rStyle w:val="21"/>
          <w:rFonts w:asciiTheme="minorEastAsia" w:hAnsiTheme="minorEastAsia" w:eastAsiaTheme="minorEastAsia"/>
          <w:bCs/>
          <w:caps/>
          <w:color w:val="000000" w:themeColor="text1"/>
          <w:highlight w:val="none"/>
          <w14:textFill>
            <w14:solidFill>
              <w14:schemeClr w14:val="tx1"/>
            </w14:solidFill>
          </w14:textFill>
        </w:rPr>
      </w:pPr>
      <w:r>
        <w:rPr>
          <w:highlight w:val="none"/>
        </w:rPr>
        <w:fldChar w:fldCharType="begin"/>
      </w:r>
      <w:r>
        <w:rPr>
          <w:highlight w:val="none"/>
        </w:rPr>
        <w:instrText xml:space="preserve"> HYPERLINK \l "_Toc531596548" </w:instrText>
      </w:r>
      <w:r>
        <w:rPr>
          <w:highlight w:val="none"/>
        </w:rPr>
        <w:fldChar w:fldCharType="separate"/>
      </w:r>
      <w:r>
        <w:rPr>
          <w:rStyle w:val="21"/>
          <w:rFonts w:hint="eastAsia" w:asciiTheme="minorEastAsia" w:hAnsiTheme="minorEastAsia" w:eastAsiaTheme="minorEastAsia"/>
          <w:bCs/>
          <w:caps/>
          <w:color w:val="000000" w:themeColor="text1"/>
          <w:highlight w:val="none"/>
          <w14:textFill>
            <w14:solidFill>
              <w14:schemeClr w14:val="tx1"/>
            </w14:solidFill>
          </w14:textFill>
        </w:rPr>
        <w:t>第三章供应商和报价产品的资格、资质性及其他类似效力要求</w:t>
      </w:r>
      <w:r>
        <w:rPr>
          <w:rStyle w:val="21"/>
          <w:rFonts w:asciiTheme="minorEastAsia" w:hAnsiTheme="minorEastAsia" w:eastAsiaTheme="minorEastAsia"/>
          <w:bCs/>
          <w:caps/>
          <w:color w:val="000000" w:themeColor="text1"/>
          <w:highlight w:val="none"/>
          <w14:textFill>
            <w14:solidFill>
              <w14:schemeClr w14:val="tx1"/>
            </w14:solidFill>
          </w14:textFill>
        </w:rPr>
        <w:tab/>
      </w:r>
      <w:r>
        <w:rPr>
          <w:rStyle w:val="21"/>
          <w:rFonts w:asciiTheme="minorEastAsia" w:hAnsiTheme="minorEastAsia" w:eastAsiaTheme="minorEastAsia"/>
          <w:bCs/>
          <w:caps/>
          <w:color w:val="000000" w:themeColor="text1"/>
          <w:highlight w:val="none"/>
          <w14:textFill>
            <w14:solidFill>
              <w14:schemeClr w14:val="tx1"/>
            </w14:solidFill>
          </w14:textFill>
        </w:rPr>
        <w:fldChar w:fldCharType="begin"/>
      </w:r>
      <w:r>
        <w:rPr>
          <w:rStyle w:val="21"/>
          <w:rFonts w:asciiTheme="minorEastAsia" w:hAnsiTheme="minorEastAsia" w:eastAsiaTheme="minorEastAsia"/>
          <w:bCs/>
          <w:caps/>
          <w:color w:val="000000" w:themeColor="text1"/>
          <w:highlight w:val="none"/>
          <w14:textFill>
            <w14:solidFill>
              <w14:schemeClr w14:val="tx1"/>
            </w14:solidFill>
          </w14:textFill>
        </w:rPr>
        <w:instrText xml:space="preserve"> PAGEREF _Toc531596548 \h </w:instrText>
      </w:r>
      <w:r>
        <w:rPr>
          <w:rStyle w:val="21"/>
          <w:rFonts w:asciiTheme="minorEastAsia" w:hAnsiTheme="minorEastAsia" w:eastAsiaTheme="minorEastAsia"/>
          <w:bCs/>
          <w:caps/>
          <w:color w:val="000000" w:themeColor="text1"/>
          <w:highlight w:val="none"/>
          <w14:textFill>
            <w14:solidFill>
              <w14:schemeClr w14:val="tx1"/>
            </w14:solidFill>
          </w14:textFill>
        </w:rPr>
        <w:fldChar w:fldCharType="separate"/>
      </w:r>
      <w:r>
        <w:rPr>
          <w:rStyle w:val="21"/>
          <w:rFonts w:asciiTheme="minorEastAsia" w:hAnsiTheme="minorEastAsia" w:eastAsiaTheme="minorEastAsia"/>
          <w:bCs/>
          <w:caps/>
          <w:color w:val="000000" w:themeColor="text1"/>
          <w:highlight w:val="none"/>
          <w14:textFill>
            <w14:solidFill>
              <w14:schemeClr w14:val="tx1"/>
            </w14:solidFill>
          </w14:textFill>
        </w:rPr>
        <w:t>- 14 -</w:t>
      </w:r>
      <w:r>
        <w:rPr>
          <w:rStyle w:val="21"/>
          <w:rFonts w:asciiTheme="minorEastAsia" w:hAnsiTheme="minorEastAsia" w:eastAsiaTheme="minorEastAsia"/>
          <w:bCs/>
          <w:caps/>
          <w:color w:val="000000" w:themeColor="text1"/>
          <w:highlight w:val="none"/>
          <w14:textFill>
            <w14:solidFill>
              <w14:schemeClr w14:val="tx1"/>
            </w14:solidFill>
          </w14:textFill>
        </w:rPr>
        <w:fldChar w:fldCharType="end"/>
      </w:r>
      <w:r>
        <w:rPr>
          <w:rStyle w:val="21"/>
          <w:rFonts w:asciiTheme="minorEastAsia" w:hAnsiTheme="minorEastAsia" w:eastAsiaTheme="minorEastAsia"/>
          <w:bCs/>
          <w:caps/>
          <w:color w:val="000000" w:themeColor="text1"/>
          <w:highlight w:val="none"/>
          <w14:textFill>
            <w14:solidFill>
              <w14:schemeClr w14:val="tx1"/>
            </w14:solidFill>
          </w14:textFill>
        </w:rPr>
        <w:fldChar w:fldCharType="end"/>
      </w:r>
    </w:p>
    <w:p w14:paraId="3B73D44F">
      <w:pPr>
        <w:pStyle w:val="14"/>
        <w:tabs>
          <w:tab w:val="right" w:leader="dot" w:pos="9345"/>
        </w:tabs>
        <w:ind w:right="-105" w:rightChars="-50"/>
        <w:jc w:val="left"/>
        <w:rPr>
          <w:rStyle w:val="21"/>
          <w:rFonts w:asciiTheme="minorEastAsia" w:hAnsiTheme="minorEastAsia" w:eastAsiaTheme="minorEastAsia"/>
          <w:bCs/>
          <w:caps/>
          <w:color w:val="000000" w:themeColor="text1"/>
          <w:highlight w:val="none"/>
          <w14:textFill>
            <w14:solidFill>
              <w14:schemeClr w14:val="tx1"/>
            </w14:solidFill>
          </w14:textFill>
        </w:rPr>
      </w:pPr>
      <w:r>
        <w:rPr>
          <w:highlight w:val="none"/>
        </w:rPr>
        <w:fldChar w:fldCharType="begin"/>
      </w:r>
      <w:r>
        <w:rPr>
          <w:highlight w:val="none"/>
        </w:rPr>
        <w:instrText xml:space="preserve"> HYPERLINK \l "_Toc531596549" </w:instrText>
      </w:r>
      <w:r>
        <w:rPr>
          <w:highlight w:val="none"/>
        </w:rPr>
        <w:fldChar w:fldCharType="separate"/>
      </w:r>
      <w:r>
        <w:rPr>
          <w:rStyle w:val="21"/>
          <w:rFonts w:hint="eastAsia" w:asciiTheme="minorEastAsia" w:hAnsiTheme="minorEastAsia" w:eastAsiaTheme="minorEastAsia"/>
          <w:bCs/>
          <w:caps/>
          <w:color w:val="000000" w:themeColor="text1"/>
          <w:highlight w:val="none"/>
          <w14:textFill>
            <w14:solidFill>
              <w14:schemeClr w14:val="tx1"/>
            </w14:solidFill>
          </w14:textFill>
        </w:rPr>
        <w:t>第四章供应商应当提供的资格、资质性及其他类似效力要求的相关证明材料</w:t>
      </w:r>
      <w:r>
        <w:rPr>
          <w:rStyle w:val="21"/>
          <w:rFonts w:asciiTheme="minorEastAsia" w:hAnsiTheme="minorEastAsia" w:eastAsiaTheme="minorEastAsia"/>
          <w:bCs/>
          <w:caps/>
          <w:color w:val="000000" w:themeColor="text1"/>
          <w:highlight w:val="none"/>
          <w14:textFill>
            <w14:solidFill>
              <w14:schemeClr w14:val="tx1"/>
            </w14:solidFill>
          </w14:textFill>
        </w:rPr>
        <w:tab/>
      </w:r>
      <w:r>
        <w:rPr>
          <w:rStyle w:val="21"/>
          <w:rFonts w:asciiTheme="minorEastAsia" w:hAnsiTheme="minorEastAsia" w:eastAsiaTheme="minorEastAsia"/>
          <w:bCs/>
          <w:caps/>
          <w:color w:val="000000" w:themeColor="text1"/>
          <w:highlight w:val="none"/>
          <w14:textFill>
            <w14:solidFill>
              <w14:schemeClr w14:val="tx1"/>
            </w14:solidFill>
          </w14:textFill>
        </w:rPr>
        <w:fldChar w:fldCharType="begin"/>
      </w:r>
      <w:r>
        <w:rPr>
          <w:rStyle w:val="21"/>
          <w:rFonts w:asciiTheme="minorEastAsia" w:hAnsiTheme="minorEastAsia" w:eastAsiaTheme="minorEastAsia"/>
          <w:bCs/>
          <w:caps/>
          <w:color w:val="000000" w:themeColor="text1"/>
          <w:highlight w:val="none"/>
          <w14:textFill>
            <w14:solidFill>
              <w14:schemeClr w14:val="tx1"/>
            </w14:solidFill>
          </w14:textFill>
        </w:rPr>
        <w:instrText xml:space="preserve"> PAGEREF _Toc531596549 \h </w:instrText>
      </w:r>
      <w:r>
        <w:rPr>
          <w:rStyle w:val="21"/>
          <w:rFonts w:asciiTheme="minorEastAsia" w:hAnsiTheme="minorEastAsia" w:eastAsiaTheme="minorEastAsia"/>
          <w:bCs/>
          <w:caps/>
          <w:color w:val="000000" w:themeColor="text1"/>
          <w:highlight w:val="none"/>
          <w14:textFill>
            <w14:solidFill>
              <w14:schemeClr w14:val="tx1"/>
            </w14:solidFill>
          </w14:textFill>
        </w:rPr>
        <w:fldChar w:fldCharType="separate"/>
      </w:r>
      <w:r>
        <w:rPr>
          <w:rStyle w:val="21"/>
          <w:rFonts w:asciiTheme="minorEastAsia" w:hAnsiTheme="minorEastAsia" w:eastAsiaTheme="minorEastAsia"/>
          <w:bCs/>
          <w:caps/>
          <w:color w:val="000000" w:themeColor="text1"/>
          <w:highlight w:val="none"/>
          <w14:textFill>
            <w14:solidFill>
              <w14:schemeClr w14:val="tx1"/>
            </w14:solidFill>
          </w14:textFill>
        </w:rPr>
        <w:t>- 15 -</w:t>
      </w:r>
      <w:r>
        <w:rPr>
          <w:rStyle w:val="21"/>
          <w:rFonts w:asciiTheme="minorEastAsia" w:hAnsiTheme="minorEastAsia" w:eastAsiaTheme="minorEastAsia"/>
          <w:bCs/>
          <w:caps/>
          <w:color w:val="000000" w:themeColor="text1"/>
          <w:highlight w:val="none"/>
          <w14:textFill>
            <w14:solidFill>
              <w14:schemeClr w14:val="tx1"/>
            </w14:solidFill>
          </w14:textFill>
        </w:rPr>
        <w:fldChar w:fldCharType="end"/>
      </w:r>
      <w:r>
        <w:rPr>
          <w:rStyle w:val="21"/>
          <w:rFonts w:asciiTheme="minorEastAsia" w:hAnsiTheme="minorEastAsia" w:eastAsiaTheme="minorEastAsia"/>
          <w:bCs/>
          <w:caps/>
          <w:color w:val="000000" w:themeColor="text1"/>
          <w:highlight w:val="none"/>
          <w14:textFill>
            <w14:solidFill>
              <w14:schemeClr w14:val="tx1"/>
            </w14:solidFill>
          </w14:textFill>
        </w:rPr>
        <w:fldChar w:fldCharType="end"/>
      </w:r>
    </w:p>
    <w:p w14:paraId="09D6CA7A">
      <w:pPr>
        <w:pStyle w:val="14"/>
        <w:tabs>
          <w:tab w:val="right" w:leader="dot" w:pos="9345"/>
        </w:tabs>
        <w:ind w:right="-105" w:rightChars="-50"/>
        <w:jc w:val="left"/>
        <w:rPr>
          <w:rStyle w:val="21"/>
          <w:rFonts w:asciiTheme="minorEastAsia" w:hAnsiTheme="minorEastAsia" w:eastAsiaTheme="minorEastAsia"/>
          <w:bCs/>
          <w:caps/>
          <w:color w:val="000000" w:themeColor="text1"/>
          <w:highlight w:val="none"/>
          <w14:textFill>
            <w14:solidFill>
              <w14:schemeClr w14:val="tx1"/>
            </w14:solidFill>
          </w14:textFill>
        </w:rPr>
      </w:pPr>
      <w:r>
        <w:rPr>
          <w:highlight w:val="none"/>
        </w:rPr>
        <w:fldChar w:fldCharType="begin"/>
      </w:r>
      <w:r>
        <w:rPr>
          <w:highlight w:val="none"/>
        </w:rPr>
        <w:instrText xml:space="preserve"> HYPERLINK \l "_Toc531596550" </w:instrText>
      </w:r>
      <w:r>
        <w:rPr>
          <w:highlight w:val="none"/>
        </w:rPr>
        <w:fldChar w:fldCharType="separate"/>
      </w:r>
      <w:r>
        <w:rPr>
          <w:rStyle w:val="21"/>
          <w:rFonts w:hint="eastAsia" w:asciiTheme="minorEastAsia" w:hAnsiTheme="minorEastAsia" w:eastAsiaTheme="minorEastAsia"/>
          <w:bCs/>
          <w:caps/>
          <w:color w:val="000000" w:themeColor="text1"/>
          <w:highlight w:val="none"/>
          <w14:textFill>
            <w14:solidFill>
              <w14:schemeClr w14:val="tx1"/>
            </w14:solidFill>
          </w14:textFill>
        </w:rPr>
        <w:t>第五章采购项目技术、服务、采购合同内容条款及其他商务要求</w:t>
      </w:r>
      <w:r>
        <w:rPr>
          <w:rStyle w:val="21"/>
          <w:rFonts w:asciiTheme="minorEastAsia" w:hAnsiTheme="minorEastAsia" w:eastAsiaTheme="minorEastAsia"/>
          <w:bCs/>
          <w:caps/>
          <w:color w:val="000000" w:themeColor="text1"/>
          <w:highlight w:val="none"/>
          <w14:textFill>
            <w14:solidFill>
              <w14:schemeClr w14:val="tx1"/>
            </w14:solidFill>
          </w14:textFill>
        </w:rPr>
        <w:tab/>
      </w:r>
      <w:r>
        <w:rPr>
          <w:rStyle w:val="21"/>
          <w:rFonts w:asciiTheme="minorEastAsia" w:hAnsiTheme="minorEastAsia" w:eastAsiaTheme="minorEastAsia"/>
          <w:bCs/>
          <w:caps/>
          <w:color w:val="000000" w:themeColor="text1"/>
          <w:highlight w:val="none"/>
          <w14:textFill>
            <w14:solidFill>
              <w14:schemeClr w14:val="tx1"/>
            </w14:solidFill>
          </w14:textFill>
        </w:rPr>
        <w:fldChar w:fldCharType="begin"/>
      </w:r>
      <w:r>
        <w:rPr>
          <w:rStyle w:val="21"/>
          <w:rFonts w:asciiTheme="minorEastAsia" w:hAnsiTheme="minorEastAsia" w:eastAsiaTheme="minorEastAsia"/>
          <w:bCs/>
          <w:caps/>
          <w:color w:val="000000" w:themeColor="text1"/>
          <w:highlight w:val="none"/>
          <w14:textFill>
            <w14:solidFill>
              <w14:schemeClr w14:val="tx1"/>
            </w14:solidFill>
          </w14:textFill>
        </w:rPr>
        <w:instrText xml:space="preserve"> PAGEREF _Toc531596550 \h </w:instrText>
      </w:r>
      <w:r>
        <w:rPr>
          <w:rStyle w:val="21"/>
          <w:rFonts w:asciiTheme="minorEastAsia" w:hAnsiTheme="minorEastAsia" w:eastAsiaTheme="minorEastAsia"/>
          <w:bCs/>
          <w:caps/>
          <w:color w:val="000000" w:themeColor="text1"/>
          <w:highlight w:val="none"/>
          <w14:textFill>
            <w14:solidFill>
              <w14:schemeClr w14:val="tx1"/>
            </w14:solidFill>
          </w14:textFill>
        </w:rPr>
        <w:fldChar w:fldCharType="separate"/>
      </w:r>
      <w:r>
        <w:rPr>
          <w:rStyle w:val="21"/>
          <w:rFonts w:asciiTheme="minorEastAsia" w:hAnsiTheme="minorEastAsia" w:eastAsiaTheme="minorEastAsia"/>
          <w:bCs/>
          <w:caps/>
          <w:color w:val="000000" w:themeColor="text1"/>
          <w:highlight w:val="none"/>
          <w14:textFill>
            <w14:solidFill>
              <w14:schemeClr w14:val="tx1"/>
            </w14:solidFill>
          </w14:textFill>
        </w:rPr>
        <w:t>- 17 -</w:t>
      </w:r>
      <w:r>
        <w:rPr>
          <w:rStyle w:val="21"/>
          <w:rFonts w:asciiTheme="minorEastAsia" w:hAnsiTheme="minorEastAsia" w:eastAsiaTheme="minorEastAsia"/>
          <w:bCs/>
          <w:caps/>
          <w:color w:val="000000" w:themeColor="text1"/>
          <w:highlight w:val="none"/>
          <w14:textFill>
            <w14:solidFill>
              <w14:schemeClr w14:val="tx1"/>
            </w14:solidFill>
          </w14:textFill>
        </w:rPr>
        <w:fldChar w:fldCharType="end"/>
      </w:r>
      <w:r>
        <w:rPr>
          <w:rStyle w:val="21"/>
          <w:rFonts w:asciiTheme="minorEastAsia" w:hAnsiTheme="minorEastAsia" w:eastAsiaTheme="minorEastAsia"/>
          <w:bCs/>
          <w:caps/>
          <w:color w:val="000000" w:themeColor="text1"/>
          <w:highlight w:val="none"/>
          <w14:textFill>
            <w14:solidFill>
              <w14:schemeClr w14:val="tx1"/>
            </w14:solidFill>
          </w14:textFill>
        </w:rPr>
        <w:fldChar w:fldCharType="end"/>
      </w:r>
    </w:p>
    <w:p w14:paraId="7EA7D269">
      <w:pPr>
        <w:pStyle w:val="14"/>
        <w:tabs>
          <w:tab w:val="right" w:leader="dot" w:pos="9345"/>
        </w:tabs>
        <w:ind w:right="-105" w:rightChars="-50"/>
        <w:jc w:val="left"/>
        <w:rPr>
          <w:rStyle w:val="21"/>
          <w:rFonts w:asciiTheme="minorEastAsia" w:hAnsiTheme="minorEastAsia" w:eastAsiaTheme="minorEastAsia"/>
          <w:bCs/>
          <w:caps/>
          <w:color w:val="000000" w:themeColor="text1"/>
          <w:highlight w:val="none"/>
          <w14:textFill>
            <w14:solidFill>
              <w14:schemeClr w14:val="tx1"/>
            </w14:solidFill>
          </w14:textFill>
        </w:rPr>
      </w:pPr>
      <w:r>
        <w:rPr>
          <w:highlight w:val="none"/>
        </w:rPr>
        <w:fldChar w:fldCharType="begin"/>
      </w:r>
      <w:r>
        <w:rPr>
          <w:highlight w:val="none"/>
        </w:rPr>
        <w:instrText xml:space="preserve"> HYPERLINK \l "_Toc531596551" </w:instrText>
      </w:r>
      <w:r>
        <w:rPr>
          <w:highlight w:val="none"/>
        </w:rPr>
        <w:fldChar w:fldCharType="separate"/>
      </w:r>
      <w:r>
        <w:rPr>
          <w:rStyle w:val="21"/>
          <w:rFonts w:hint="eastAsia" w:asciiTheme="minorEastAsia" w:hAnsiTheme="minorEastAsia" w:eastAsiaTheme="minorEastAsia"/>
          <w:bCs/>
          <w:caps/>
          <w:color w:val="000000" w:themeColor="text1"/>
          <w:highlight w:val="none"/>
          <w14:textFill>
            <w14:solidFill>
              <w14:schemeClr w14:val="tx1"/>
            </w14:solidFill>
          </w14:textFill>
        </w:rPr>
        <w:t>第六章磋商内容、磋商过程中可实质性变动的内容</w:t>
      </w:r>
      <w:r>
        <w:rPr>
          <w:rStyle w:val="21"/>
          <w:rFonts w:asciiTheme="minorEastAsia" w:hAnsiTheme="minorEastAsia" w:eastAsiaTheme="minorEastAsia"/>
          <w:bCs/>
          <w:caps/>
          <w:color w:val="000000" w:themeColor="text1"/>
          <w:highlight w:val="none"/>
          <w14:textFill>
            <w14:solidFill>
              <w14:schemeClr w14:val="tx1"/>
            </w14:solidFill>
          </w14:textFill>
        </w:rPr>
        <w:tab/>
      </w:r>
      <w:r>
        <w:rPr>
          <w:rStyle w:val="21"/>
          <w:rFonts w:asciiTheme="minorEastAsia" w:hAnsiTheme="minorEastAsia" w:eastAsiaTheme="minorEastAsia"/>
          <w:bCs/>
          <w:caps/>
          <w:color w:val="000000" w:themeColor="text1"/>
          <w:highlight w:val="none"/>
          <w14:textFill>
            <w14:solidFill>
              <w14:schemeClr w14:val="tx1"/>
            </w14:solidFill>
          </w14:textFill>
        </w:rPr>
        <w:fldChar w:fldCharType="begin"/>
      </w:r>
      <w:r>
        <w:rPr>
          <w:rStyle w:val="21"/>
          <w:rFonts w:asciiTheme="minorEastAsia" w:hAnsiTheme="minorEastAsia" w:eastAsiaTheme="minorEastAsia"/>
          <w:bCs/>
          <w:caps/>
          <w:color w:val="000000" w:themeColor="text1"/>
          <w:highlight w:val="none"/>
          <w14:textFill>
            <w14:solidFill>
              <w14:schemeClr w14:val="tx1"/>
            </w14:solidFill>
          </w14:textFill>
        </w:rPr>
        <w:instrText xml:space="preserve"> PAGEREF _Toc531596551 \h </w:instrText>
      </w:r>
      <w:r>
        <w:rPr>
          <w:rStyle w:val="21"/>
          <w:rFonts w:asciiTheme="minorEastAsia" w:hAnsiTheme="minorEastAsia" w:eastAsiaTheme="minorEastAsia"/>
          <w:bCs/>
          <w:caps/>
          <w:color w:val="000000" w:themeColor="text1"/>
          <w:highlight w:val="none"/>
          <w14:textFill>
            <w14:solidFill>
              <w14:schemeClr w14:val="tx1"/>
            </w14:solidFill>
          </w14:textFill>
        </w:rPr>
        <w:fldChar w:fldCharType="separate"/>
      </w:r>
      <w:r>
        <w:rPr>
          <w:rStyle w:val="21"/>
          <w:rFonts w:asciiTheme="minorEastAsia" w:hAnsiTheme="minorEastAsia" w:eastAsiaTheme="minorEastAsia"/>
          <w:bCs/>
          <w:caps/>
          <w:color w:val="000000" w:themeColor="text1"/>
          <w:highlight w:val="none"/>
          <w14:textFill>
            <w14:solidFill>
              <w14:schemeClr w14:val="tx1"/>
            </w14:solidFill>
          </w14:textFill>
        </w:rPr>
        <w:t>- 19 -</w:t>
      </w:r>
      <w:r>
        <w:rPr>
          <w:rStyle w:val="21"/>
          <w:rFonts w:asciiTheme="minorEastAsia" w:hAnsiTheme="minorEastAsia" w:eastAsiaTheme="minorEastAsia"/>
          <w:bCs/>
          <w:caps/>
          <w:color w:val="000000" w:themeColor="text1"/>
          <w:highlight w:val="none"/>
          <w14:textFill>
            <w14:solidFill>
              <w14:schemeClr w14:val="tx1"/>
            </w14:solidFill>
          </w14:textFill>
        </w:rPr>
        <w:fldChar w:fldCharType="end"/>
      </w:r>
      <w:r>
        <w:rPr>
          <w:rStyle w:val="21"/>
          <w:rFonts w:asciiTheme="minorEastAsia" w:hAnsiTheme="minorEastAsia" w:eastAsiaTheme="minorEastAsia"/>
          <w:bCs/>
          <w:caps/>
          <w:color w:val="000000" w:themeColor="text1"/>
          <w:highlight w:val="none"/>
          <w14:textFill>
            <w14:solidFill>
              <w14:schemeClr w14:val="tx1"/>
            </w14:solidFill>
          </w14:textFill>
        </w:rPr>
        <w:fldChar w:fldCharType="end"/>
      </w:r>
    </w:p>
    <w:p w14:paraId="4661EE06">
      <w:pPr>
        <w:pStyle w:val="14"/>
        <w:tabs>
          <w:tab w:val="right" w:leader="dot" w:pos="9345"/>
        </w:tabs>
        <w:ind w:right="-105" w:rightChars="-50"/>
        <w:jc w:val="left"/>
        <w:rPr>
          <w:rStyle w:val="21"/>
          <w:rFonts w:asciiTheme="minorEastAsia" w:hAnsiTheme="minorEastAsia" w:eastAsiaTheme="minorEastAsia"/>
          <w:bCs/>
          <w:caps/>
          <w:color w:val="000000" w:themeColor="text1"/>
          <w:highlight w:val="none"/>
          <w14:textFill>
            <w14:solidFill>
              <w14:schemeClr w14:val="tx1"/>
            </w14:solidFill>
          </w14:textFill>
        </w:rPr>
      </w:pPr>
      <w:r>
        <w:rPr>
          <w:highlight w:val="none"/>
        </w:rPr>
        <w:fldChar w:fldCharType="begin"/>
      </w:r>
      <w:r>
        <w:rPr>
          <w:highlight w:val="none"/>
        </w:rPr>
        <w:instrText xml:space="preserve"> HYPERLINK \l "_Toc531596552" </w:instrText>
      </w:r>
      <w:r>
        <w:rPr>
          <w:highlight w:val="none"/>
        </w:rPr>
        <w:fldChar w:fldCharType="separate"/>
      </w:r>
      <w:r>
        <w:rPr>
          <w:rStyle w:val="21"/>
          <w:rFonts w:hint="eastAsia" w:asciiTheme="minorEastAsia" w:hAnsiTheme="minorEastAsia" w:eastAsiaTheme="minorEastAsia"/>
          <w:bCs/>
          <w:caps/>
          <w:color w:val="000000" w:themeColor="text1"/>
          <w:highlight w:val="none"/>
          <w14:textFill>
            <w14:solidFill>
              <w14:schemeClr w14:val="tx1"/>
            </w14:solidFill>
          </w14:textFill>
        </w:rPr>
        <w:t>第七章响应文件格式</w:t>
      </w:r>
      <w:r>
        <w:rPr>
          <w:rStyle w:val="21"/>
          <w:rFonts w:asciiTheme="minorEastAsia" w:hAnsiTheme="minorEastAsia" w:eastAsiaTheme="minorEastAsia"/>
          <w:bCs/>
          <w:caps/>
          <w:color w:val="000000" w:themeColor="text1"/>
          <w:highlight w:val="none"/>
          <w14:textFill>
            <w14:solidFill>
              <w14:schemeClr w14:val="tx1"/>
            </w14:solidFill>
          </w14:textFill>
        </w:rPr>
        <w:tab/>
      </w:r>
      <w:r>
        <w:rPr>
          <w:rStyle w:val="21"/>
          <w:rFonts w:asciiTheme="minorEastAsia" w:hAnsiTheme="minorEastAsia" w:eastAsiaTheme="minorEastAsia"/>
          <w:bCs/>
          <w:caps/>
          <w:color w:val="000000" w:themeColor="text1"/>
          <w:highlight w:val="none"/>
          <w14:textFill>
            <w14:solidFill>
              <w14:schemeClr w14:val="tx1"/>
            </w14:solidFill>
          </w14:textFill>
        </w:rPr>
        <w:fldChar w:fldCharType="begin"/>
      </w:r>
      <w:r>
        <w:rPr>
          <w:rStyle w:val="21"/>
          <w:rFonts w:asciiTheme="minorEastAsia" w:hAnsiTheme="minorEastAsia" w:eastAsiaTheme="minorEastAsia"/>
          <w:bCs/>
          <w:caps/>
          <w:color w:val="000000" w:themeColor="text1"/>
          <w:highlight w:val="none"/>
          <w14:textFill>
            <w14:solidFill>
              <w14:schemeClr w14:val="tx1"/>
            </w14:solidFill>
          </w14:textFill>
        </w:rPr>
        <w:instrText xml:space="preserve"> PAGEREF _Toc531596552 \h </w:instrText>
      </w:r>
      <w:r>
        <w:rPr>
          <w:rStyle w:val="21"/>
          <w:rFonts w:asciiTheme="minorEastAsia" w:hAnsiTheme="minorEastAsia" w:eastAsiaTheme="minorEastAsia"/>
          <w:bCs/>
          <w:caps/>
          <w:color w:val="000000" w:themeColor="text1"/>
          <w:highlight w:val="none"/>
          <w14:textFill>
            <w14:solidFill>
              <w14:schemeClr w14:val="tx1"/>
            </w14:solidFill>
          </w14:textFill>
        </w:rPr>
        <w:fldChar w:fldCharType="separate"/>
      </w:r>
      <w:r>
        <w:rPr>
          <w:rStyle w:val="21"/>
          <w:rFonts w:asciiTheme="minorEastAsia" w:hAnsiTheme="minorEastAsia" w:eastAsiaTheme="minorEastAsia"/>
          <w:bCs/>
          <w:caps/>
          <w:color w:val="000000" w:themeColor="text1"/>
          <w:highlight w:val="none"/>
          <w14:textFill>
            <w14:solidFill>
              <w14:schemeClr w14:val="tx1"/>
            </w14:solidFill>
          </w14:textFill>
        </w:rPr>
        <w:t>- 20 -</w:t>
      </w:r>
      <w:r>
        <w:rPr>
          <w:rStyle w:val="21"/>
          <w:rFonts w:asciiTheme="minorEastAsia" w:hAnsiTheme="minorEastAsia" w:eastAsiaTheme="minorEastAsia"/>
          <w:bCs/>
          <w:caps/>
          <w:color w:val="000000" w:themeColor="text1"/>
          <w:highlight w:val="none"/>
          <w14:textFill>
            <w14:solidFill>
              <w14:schemeClr w14:val="tx1"/>
            </w14:solidFill>
          </w14:textFill>
        </w:rPr>
        <w:fldChar w:fldCharType="end"/>
      </w:r>
      <w:r>
        <w:rPr>
          <w:rStyle w:val="21"/>
          <w:rFonts w:asciiTheme="minorEastAsia" w:hAnsiTheme="minorEastAsia" w:eastAsiaTheme="minorEastAsia"/>
          <w:bCs/>
          <w:caps/>
          <w:color w:val="000000" w:themeColor="text1"/>
          <w:highlight w:val="none"/>
          <w14:textFill>
            <w14:solidFill>
              <w14:schemeClr w14:val="tx1"/>
            </w14:solidFill>
          </w14:textFill>
        </w:rPr>
        <w:fldChar w:fldCharType="end"/>
      </w:r>
    </w:p>
    <w:p w14:paraId="386C7D0B">
      <w:pPr>
        <w:pStyle w:val="14"/>
        <w:tabs>
          <w:tab w:val="right" w:leader="dot" w:pos="9345"/>
        </w:tabs>
        <w:ind w:right="-105" w:rightChars="-50"/>
        <w:jc w:val="left"/>
        <w:rPr>
          <w:rStyle w:val="21"/>
          <w:rFonts w:asciiTheme="minorEastAsia" w:hAnsiTheme="minorEastAsia" w:eastAsiaTheme="minorEastAsia"/>
          <w:bCs/>
          <w:caps/>
          <w:color w:val="000000" w:themeColor="text1"/>
          <w:highlight w:val="none"/>
          <w14:textFill>
            <w14:solidFill>
              <w14:schemeClr w14:val="tx1"/>
            </w14:solidFill>
          </w14:textFill>
        </w:rPr>
      </w:pPr>
      <w:r>
        <w:rPr>
          <w:highlight w:val="none"/>
        </w:rPr>
        <w:fldChar w:fldCharType="begin"/>
      </w:r>
      <w:r>
        <w:rPr>
          <w:highlight w:val="none"/>
        </w:rPr>
        <w:instrText xml:space="preserve"> HYPERLINK \l "_Toc531596553" </w:instrText>
      </w:r>
      <w:r>
        <w:rPr>
          <w:highlight w:val="none"/>
        </w:rPr>
        <w:fldChar w:fldCharType="separate"/>
      </w:r>
      <w:r>
        <w:rPr>
          <w:rStyle w:val="21"/>
          <w:rFonts w:hint="eastAsia" w:asciiTheme="minorEastAsia" w:hAnsiTheme="minorEastAsia" w:eastAsiaTheme="minorEastAsia"/>
          <w:bCs/>
          <w:caps/>
          <w:color w:val="000000" w:themeColor="text1"/>
          <w:highlight w:val="none"/>
          <w14:textFill>
            <w14:solidFill>
              <w14:schemeClr w14:val="tx1"/>
            </w14:solidFill>
          </w14:textFill>
        </w:rPr>
        <w:t>第八章评审方法</w:t>
      </w:r>
      <w:r>
        <w:rPr>
          <w:rStyle w:val="21"/>
          <w:rFonts w:asciiTheme="minorEastAsia" w:hAnsiTheme="minorEastAsia" w:eastAsiaTheme="minorEastAsia"/>
          <w:bCs/>
          <w:caps/>
          <w:color w:val="000000" w:themeColor="text1"/>
          <w:highlight w:val="none"/>
          <w14:textFill>
            <w14:solidFill>
              <w14:schemeClr w14:val="tx1"/>
            </w14:solidFill>
          </w14:textFill>
        </w:rPr>
        <w:tab/>
      </w:r>
      <w:r>
        <w:rPr>
          <w:rStyle w:val="21"/>
          <w:rFonts w:asciiTheme="minorEastAsia" w:hAnsiTheme="minorEastAsia" w:eastAsiaTheme="minorEastAsia"/>
          <w:bCs/>
          <w:caps/>
          <w:color w:val="000000" w:themeColor="text1"/>
          <w:highlight w:val="none"/>
          <w14:textFill>
            <w14:solidFill>
              <w14:schemeClr w14:val="tx1"/>
            </w14:solidFill>
          </w14:textFill>
        </w:rPr>
        <w:fldChar w:fldCharType="begin"/>
      </w:r>
      <w:r>
        <w:rPr>
          <w:rStyle w:val="21"/>
          <w:rFonts w:asciiTheme="minorEastAsia" w:hAnsiTheme="minorEastAsia" w:eastAsiaTheme="minorEastAsia"/>
          <w:bCs/>
          <w:caps/>
          <w:color w:val="000000" w:themeColor="text1"/>
          <w:highlight w:val="none"/>
          <w14:textFill>
            <w14:solidFill>
              <w14:schemeClr w14:val="tx1"/>
            </w14:solidFill>
          </w14:textFill>
        </w:rPr>
        <w:instrText xml:space="preserve"> PAGEREF _Toc531596553 \h </w:instrText>
      </w:r>
      <w:r>
        <w:rPr>
          <w:rStyle w:val="21"/>
          <w:rFonts w:asciiTheme="minorEastAsia" w:hAnsiTheme="minorEastAsia" w:eastAsiaTheme="minorEastAsia"/>
          <w:bCs/>
          <w:caps/>
          <w:color w:val="000000" w:themeColor="text1"/>
          <w:highlight w:val="none"/>
          <w14:textFill>
            <w14:solidFill>
              <w14:schemeClr w14:val="tx1"/>
            </w14:solidFill>
          </w14:textFill>
        </w:rPr>
        <w:fldChar w:fldCharType="separate"/>
      </w:r>
      <w:r>
        <w:rPr>
          <w:rStyle w:val="21"/>
          <w:rFonts w:asciiTheme="minorEastAsia" w:hAnsiTheme="minorEastAsia" w:eastAsiaTheme="minorEastAsia"/>
          <w:bCs/>
          <w:caps/>
          <w:color w:val="000000" w:themeColor="text1"/>
          <w:highlight w:val="none"/>
          <w14:textFill>
            <w14:solidFill>
              <w14:schemeClr w14:val="tx1"/>
            </w14:solidFill>
          </w14:textFill>
        </w:rPr>
        <w:t>35</w:t>
      </w:r>
      <w:r>
        <w:rPr>
          <w:rStyle w:val="21"/>
          <w:rFonts w:asciiTheme="minorEastAsia" w:hAnsiTheme="minorEastAsia" w:eastAsiaTheme="minorEastAsia"/>
          <w:bCs/>
          <w:caps/>
          <w:color w:val="000000" w:themeColor="text1"/>
          <w:highlight w:val="none"/>
          <w14:textFill>
            <w14:solidFill>
              <w14:schemeClr w14:val="tx1"/>
            </w14:solidFill>
          </w14:textFill>
        </w:rPr>
        <w:fldChar w:fldCharType="end"/>
      </w:r>
      <w:r>
        <w:rPr>
          <w:rStyle w:val="21"/>
          <w:rFonts w:asciiTheme="minorEastAsia" w:hAnsiTheme="minorEastAsia" w:eastAsiaTheme="minorEastAsia"/>
          <w:bCs/>
          <w:caps/>
          <w:color w:val="000000" w:themeColor="text1"/>
          <w:highlight w:val="none"/>
          <w14:textFill>
            <w14:solidFill>
              <w14:schemeClr w14:val="tx1"/>
            </w14:solidFill>
          </w14:textFill>
        </w:rPr>
        <w:fldChar w:fldCharType="end"/>
      </w:r>
    </w:p>
    <w:p w14:paraId="1A3867C8">
      <w:pPr>
        <w:pStyle w:val="14"/>
        <w:tabs>
          <w:tab w:val="right" w:leader="dot" w:pos="9345"/>
        </w:tabs>
        <w:ind w:right="-105" w:rightChars="-50"/>
        <w:jc w:val="left"/>
        <w:rPr>
          <w:rStyle w:val="21"/>
          <w:rFonts w:asciiTheme="minorEastAsia" w:hAnsiTheme="minorEastAsia" w:eastAsiaTheme="minorEastAsia"/>
          <w:bCs/>
          <w:caps/>
          <w:color w:val="000000" w:themeColor="text1"/>
          <w:highlight w:val="none"/>
          <w14:textFill>
            <w14:solidFill>
              <w14:schemeClr w14:val="tx1"/>
            </w14:solidFill>
          </w14:textFill>
        </w:rPr>
      </w:pPr>
      <w:r>
        <w:rPr>
          <w:highlight w:val="none"/>
        </w:rPr>
        <w:fldChar w:fldCharType="begin"/>
      </w:r>
      <w:r>
        <w:rPr>
          <w:highlight w:val="none"/>
        </w:rPr>
        <w:instrText xml:space="preserve"> HYPERLINK \l "_Toc531596554" </w:instrText>
      </w:r>
      <w:r>
        <w:rPr>
          <w:highlight w:val="none"/>
        </w:rPr>
        <w:fldChar w:fldCharType="separate"/>
      </w:r>
      <w:r>
        <w:rPr>
          <w:rStyle w:val="21"/>
          <w:rFonts w:hint="eastAsia" w:asciiTheme="minorEastAsia" w:hAnsiTheme="minorEastAsia" w:eastAsiaTheme="minorEastAsia"/>
          <w:bCs/>
          <w:caps/>
          <w:color w:val="000000" w:themeColor="text1"/>
          <w:highlight w:val="none"/>
          <w14:textFill>
            <w14:solidFill>
              <w14:schemeClr w14:val="tx1"/>
            </w14:solidFill>
          </w14:textFill>
        </w:rPr>
        <w:t>第九章采购合同（草案）</w:t>
      </w:r>
      <w:r>
        <w:rPr>
          <w:rStyle w:val="21"/>
          <w:rFonts w:asciiTheme="minorEastAsia" w:hAnsiTheme="minorEastAsia" w:eastAsiaTheme="minorEastAsia"/>
          <w:bCs/>
          <w:caps/>
          <w:color w:val="000000" w:themeColor="text1"/>
          <w:highlight w:val="none"/>
          <w14:textFill>
            <w14:solidFill>
              <w14:schemeClr w14:val="tx1"/>
            </w14:solidFill>
          </w14:textFill>
        </w:rPr>
        <w:tab/>
      </w:r>
      <w:r>
        <w:rPr>
          <w:rStyle w:val="21"/>
          <w:rFonts w:hint="eastAsia" w:asciiTheme="minorEastAsia" w:hAnsiTheme="minorEastAsia" w:eastAsiaTheme="minorEastAsia"/>
          <w:bCs/>
          <w:caps/>
          <w:color w:val="000000" w:themeColor="text1"/>
          <w:highlight w:val="none"/>
          <w14:textFill>
            <w14:solidFill>
              <w14:schemeClr w14:val="tx1"/>
            </w14:solidFill>
          </w14:textFill>
        </w:rPr>
        <w:t>59</w:t>
      </w:r>
      <w:r>
        <w:rPr>
          <w:rStyle w:val="21"/>
          <w:rFonts w:hint="eastAsia" w:asciiTheme="minorEastAsia" w:hAnsiTheme="minorEastAsia" w:eastAsiaTheme="minorEastAsia"/>
          <w:bCs/>
          <w:caps/>
          <w:color w:val="000000" w:themeColor="text1"/>
          <w:highlight w:val="none"/>
          <w14:textFill>
            <w14:solidFill>
              <w14:schemeClr w14:val="tx1"/>
            </w14:solidFill>
          </w14:textFill>
        </w:rPr>
        <w:fldChar w:fldCharType="end"/>
      </w:r>
    </w:p>
    <w:p w14:paraId="570B0E02">
      <w:pPr>
        <w:pStyle w:val="14"/>
        <w:tabs>
          <w:tab w:val="right" w:leader="dot" w:pos="9345"/>
        </w:tabs>
        <w:ind w:right="-105" w:rightChars="-50"/>
        <w:jc w:val="left"/>
        <w:rPr>
          <w:rFonts w:asciiTheme="minorEastAsia" w:hAnsiTheme="minorEastAsia" w:eastAsiaTheme="minorEastAsia"/>
          <w:color w:val="000000" w:themeColor="text1"/>
          <w:highlight w:val="none"/>
          <w14:textFill>
            <w14:solidFill>
              <w14:schemeClr w14:val="tx1"/>
            </w14:solidFill>
          </w14:textFill>
        </w:rPr>
      </w:pPr>
      <w:r>
        <w:rPr>
          <w:rStyle w:val="21"/>
          <w:rFonts w:asciiTheme="minorEastAsia" w:hAnsiTheme="minorEastAsia" w:eastAsiaTheme="minorEastAsia"/>
          <w:bCs/>
          <w:caps/>
          <w:color w:val="000000" w:themeColor="text1"/>
          <w:highlight w:val="none"/>
          <w14:textFill>
            <w14:solidFill>
              <w14:schemeClr w14:val="tx1"/>
            </w14:solidFill>
          </w14:textFill>
        </w:rPr>
        <w:fldChar w:fldCharType="end"/>
      </w:r>
    </w:p>
    <w:p w14:paraId="2BC0CC47">
      <w:pPr>
        <w:widowControl/>
        <w:spacing w:line="360" w:lineRule="auto"/>
        <w:jc w:val="left"/>
        <w:rPr>
          <w:rFonts w:asciiTheme="minorEastAsia" w:hAnsiTheme="minorEastAsia" w:eastAsiaTheme="minorEastAsia"/>
          <w:bCs/>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br w:type="page"/>
      </w:r>
    </w:p>
    <w:p w14:paraId="551360D5">
      <w:pPr>
        <w:pStyle w:val="17"/>
        <w:rPr>
          <w:rFonts w:asciiTheme="minorEastAsia" w:hAnsiTheme="minorEastAsia" w:eastAsiaTheme="minorEastAsia"/>
          <w:color w:val="000000" w:themeColor="text1"/>
          <w:highlight w:val="none"/>
          <w14:textFill>
            <w14:solidFill>
              <w14:schemeClr w14:val="tx1"/>
            </w14:solidFill>
          </w14:textFill>
        </w:rPr>
      </w:pPr>
      <w:bookmarkStart w:id="0" w:name="_Toc531596546"/>
      <w:bookmarkStart w:id="1" w:name="_Toc509579140"/>
      <w:r>
        <w:rPr>
          <w:rFonts w:hint="eastAsia" w:asciiTheme="minorEastAsia" w:hAnsiTheme="minorEastAsia" w:eastAsiaTheme="minorEastAsia"/>
          <w:color w:val="000000" w:themeColor="text1"/>
          <w:highlight w:val="none"/>
          <w14:textFill>
            <w14:solidFill>
              <w14:schemeClr w14:val="tx1"/>
            </w14:solidFill>
          </w14:textFill>
        </w:rPr>
        <w:t>第一章 磋商邀请</w:t>
      </w:r>
      <w:bookmarkEnd w:id="0"/>
      <w:bookmarkEnd w:id="1"/>
    </w:p>
    <w:p w14:paraId="26FBFD3A">
      <w:pPr>
        <w:spacing w:line="360" w:lineRule="auto"/>
        <w:ind w:firstLine="480" w:firstLineChars="200"/>
        <w:jc w:val="left"/>
        <w:rPr>
          <w:rFonts w:asciiTheme="minorEastAsia" w:hAnsiTheme="minorEastAsia" w:eastAsiaTheme="minorEastAsia"/>
          <w:color w:val="000000" w:themeColor="text1"/>
          <w:sz w:val="24"/>
          <w:highlight w:val="none"/>
          <w:u w:val="single"/>
          <w14:textFill>
            <w14:solidFill>
              <w14:schemeClr w14:val="tx1"/>
            </w14:solidFill>
          </w14:textFill>
        </w:rPr>
      </w:pPr>
    </w:p>
    <w:p w14:paraId="20E0199E">
      <w:pPr>
        <w:spacing w:line="360" w:lineRule="auto"/>
        <w:ind w:firstLine="480" w:firstLineChars="200"/>
        <w:jc w:val="left"/>
        <w:rPr>
          <w:rFonts w:asciiTheme="minorEastAsia" w:hAnsiTheme="minorEastAsia" w:eastAsiaTheme="minorEastAsia"/>
          <w:color w:val="000000" w:themeColor="text1"/>
          <w:sz w:val="24"/>
          <w:szCs w:val="28"/>
          <w:highlight w:val="none"/>
          <w14:textFill>
            <w14:solidFill>
              <w14:schemeClr w14:val="tx1"/>
            </w14:solidFill>
          </w14:textFill>
        </w:rPr>
      </w:pPr>
      <w:bookmarkStart w:id="2" w:name="PO_默认文件内容_1"/>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 xml:space="preserve"> </w:t>
      </w:r>
      <w:r>
        <w:rPr>
          <w:rFonts w:hint="eastAsia" w:asciiTheme="minorEastAsia" w:hAnsiTheme="minorEastAsia" w:eastAsiaTheme="minorEastAsia"/>
          <w:color w:val="000000" w:themeColor="text1"/>
          <w:sz w:val="24"/>
          <w:highlight w:val="none"/>
          <w:u w:val="single"/>
          <w:lang w:eastAsia="zh-CN"/>
          <w14:textFill>
            <w14:solidFill>
              <w14:schemeClr w14:val="tx1"/>
            </w14:solidFill>
          </w14:textFill>
        </w:rPr>
        <w:t>金堂县第一人民医院老旧院落装修工程采购项目</w:t>
      </w:r>
      <w:r>
        <w:rPr>
          <w:rFonts w:hint="eastAsia" w:asciiTheme="minorEastAsia" w:hAnsiTheme="minorEastAsia" w:eastAsiaTheme="minorEastAsia"/>
          <w:color w:val="000000" w:themeColor="text1"/>
          <w:sz w:val="24"/>
          <w:szCs w:val="32"/>
          <w:highlight w:val="none"/>
          <w14:textFill>
            <w14:solidFill>
              <w14:schemeClr w14:val="tx1"/>
            </w14:solidFill>
          </w14:textFill>
        </w:rPr>
        <w:t>采用竞争性磋商方式</w:t>
      </w:r>
      <w:r>
        <w:rPr>
          <w:rFonts w:hint="eastAsia" w:asciiTheme="minorEastAsia" w:hAnsiTheme="minorEastAsia" w:eastAsiaTheme="minorEastAsia"/>
          <w:color w:val="000000" w:themeColor="text1"/>
          <w:sz w:val="24"/>
          <w:highlight w:val="none"/>
          <w14:textFill>
            <w14:solidFill>
              <w14:schemeClr w14:val="tx1"/>
            </w14:solidFill>
          </w14:textFill>
        </w:rPr>
        <w:t>进行采购，特</w:t>
      </w:r>
      <w:r>
        <w:rPr>
          <w:rFonts w:hint="eastAsia" w:asciiTheme="minorEastAsia" w:hAnsiTheme="minorEastAsia" w:eastAsiaTheme="minorEastAsia"/>
          <w:color w:val="000000" w:themeColor="text1"/>
          <w:sz w:val="24"/>
          <w:szCs w:val="28"/>
          <w:highlight w:val="none"/>
          <w14:textFill>
            <w14:solidFill>
              <w14:schemeClr w14:val="tx1"/>
            </w14:solidFill>
          </w14:textFill>
        </w:rPr>
        <w:t>邀请符合本次采购要求的供应商参加</w:t>
      </w:r>
      <w:r>
        <w:rPr>
          <w:rFonts w:hint="eastAsia" w:asciiTheme="minorEastAsia" w:hAnsiTheme="minorEastAsia" w:eastAsiaTheme="minorEastAsia"/>
          <w:color w:val="000000" w:themeColor="text1"/>
          <w:sz w:val="24"/>
          <w:highlight w:val="none"/>
          <w14:textFill>
            <w14:solidFill>
              <w14:schemeClr w14:val="tx1"/>
            </w14:solidFill>
          </w14:textFill>
        </w:rPr>
        <w:t>本项目的竞争性磋商</w:t>
      </w:r>
      <w:r>
        <w:rPr>
          <w:rFonts w:hint="eastAsia" w:asciiTheme="minorEastAsia" w:hAnsiTheme="minorEastAsia" w:eastAsiaTheme="minorEastAsia"/>
          <w:color w:val="000000" w:themeColor="text1"/>
          <w:sz w:val="24"/>
          <w:szCs w:val="28"/>
          <w:highlight w:val="none"/>
          <w14:textFill>
            <w14:solidFill>
              <w14:schemeClr w14:val="tx1"/>
            </w14:solidFill>
          </w14:textFill>
        </w:rPr>
        <w:t>。</w:t>
      </w:r>
      <w:bookmarkEnd w:id="2"/>
    </w:p>
    <w:p w14:paraId="50F44339">
      <w:pPr>
        <w:spacing w:line="360" w:lineRule="auto"/>
        <w:ind w:firstLine="482" w:firstLineChars="200"/>
        <w:rPr>
          <w:rFonts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highlight w:val="none"/>
          <w14:textFill>
            <w14:solidFill>
              <w14:schemeClr w14:val="tx1"/>
            </w14:solidFill>
          </w14:textFill>
        </w:rPr>
        <w:t>一、采购项目基本情况</w:t>
      </w:r>
    </w:p>
    <w:p w14:paraId="75A78B5C">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eastAsia="zh-CN"/>
          <w14:textFill>
            <w14:solidFill>
              <w14:schemeClr w14:val="tx1"/>
            </w14:solidFill>
          </w14:textFill>
        </w:rPr>
        <w:t>1.项目编号：HXJTYY-CG-20250</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28</w:t>
      </w:r>
    </w:p>
    <w:p w14:paraId="779A4A94">
      <w:pPr>
        <w:spacing w:line="360" w:lineRule="auto"/>
        <w:ind w:firstLine="480" w:firstLineChars="200"/>
        <w:rPr>
          <w:rFonts w:hint="eastAsia" w:asciiTheme="minorEastAsia" w:hAnsiTheme="minorEastAsia" w:eastAsiaTheme="minorEastAsia"/>
          <w:color w:val="000000" w:themeColor="text1"/>
          <w:sz w:val="24"/>
          <w:highlight w:val="none"/>
          <w:lang w:eastAsia="zh-CN"/>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采购项目名称：</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金堂县第一人民医院老旧院落装修工程采购项目</w:t>
      </w:r>
    </w:p>
    <w:p w14:paraId="75743C5F">
      <w:pPr>
        <w:spacing w:line="360" w:lineRule="auto"/>
        <w:ind w:firstLine="482" w:firstLineChars="200"/>
        <w:rPr>
          <w:rFonts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highlight w:val="none"/>
          <w14:textFill>
            <w14:solidFill>
              <w14:schemeClr w14:val="tx1"/>
            </w14:solidFill>
          </w14:textFill>
        </w:rPr>
        <w:t>二、资金情况</w:t>
      </w:r>
    </w:p>
    <w:p w14:paraId="573032F3">
      <w:pPr>
        <w:spacing w:line="360" w:lineRule="auto"/>
        <w:ind w:firstLine="464" w:firstLineChars="200"/>
        <w:rPr>
          <w:rFonts w:hint="eastAsia" w:cs="Times New Roman" w:asciiTheme="minorEastAsia" w:hAnsiTheme="minorEastAsia" w:eastAsiaTheme="minorEastAsia"/>
          <w:color w:val="000000" w:themeColor="text1"/>
          <w:spacing w:val="-4"/>
          <w:sz w:val="24"/>
          <w:highlight w:val="none"/>
          <w:lang w:eastAsia="zh-CN"/>
          <w14:textFill>
            <w14:solidFill>
              <w14:schemeClr w14:val="tx1"/>
            </w14:solidFill>
          </w14:textFill>
        </w:rPr>
      </w:pPr>
      <w:r>
        <w:rPr>
          <w:rFonts w:hint="eastAsia" w:cs="Times New Roman" w:asciiTheme="minorEastAsia" w:hAnsiTheme="minorEastAsia" w:eastAsiaTheme="minorEastAsia"/>
          <w:color w:val="000000" w:themeColor="text1"/>
          <w:spacing w:val="-4"/>
          <w:sz w:val="24"/>
          <w:highlight w:val="none"/>
          <w14:textFill>
            <w14:solidFill>
              <w14:schemeClr w14:val="tx1"/>
            </w14:solidFill>
          </w14:textFill>
        </w:rPr>
        <w:t>资金来源：</w:t>
      </w:r>
      <w:r>
        <w:rPr>
          <w:rFonts w:hint="eastAsia" w:cs="Times New Roman" w:asciiTheme="minorEastAsia" w:hAnsiTheme="minorEastAsia" w:eastAsiaTheme="minorEastAsia"/>
          <w:color w:val="000000" w:themeColor="text1"/>
          <w:spacing w:val="-4"/>
          <w:sz w:val="24"/>
          <w:highlight w:val="none"/>
          <w:lang w:eastAsia="zh-CN"/>
          <w14:textFill>
            <w14:solidFill>
              <w14:schemeClr w14:val="tx1"/>
            </w14:solidFill>
          </w14:textFill>
        </w:rPr>
        <w:t>自筹资金；</w:t>
      </w:r>
    </w:p>
    <w:p w14:paraId="0E8953DF">
      <w:pPr>
        <w:spacing w:line="360" w:lineRule="auto"/>
        <w:ind w:firstLine="464" w:firstLineChars="200"/>
        <w:rPr>
          <w:rFonts w:hint="eastAsia" w:cs="Times New Roman" w:asciiTheme="minorEastAsia" w:hAnsiTheme="minorEastAsia" w:eastAsiaTheme="minorEastAsia"/>
          <w:color w:val="000000" w:themeColor="text1"/>
          <w:spacing w:val="-4"/>
          <w:sz w:val="24"/>
          <w:highlight w:val="none"/>
          <w14:textFill>
            <w14:solidFill>
              <w14:schemeClr w14:val="tx1"/>
            </w14:solidFill>
          </w14:textFill>
        </w:rPr>
      </w:pPr>
      <w:r>
        <w:rPr>
          <w:rFonts w:hint="eastAsia" w:cs="Times New Roman" w:asciiTheme="minorEastAsia" w:hAnsiTheme="minorEastAsia" w:eastAsiaTheme="minorEastAsia"/>
          <w:color w:val="000000" w:themeColor="text1"/>
          <w:spacing w:val="-4"/>
          <w:sz w:val="24"/>
          <w:highlight w:val="none"/>
          <w:lang w:val="en-US" w:eastAsia="zh-CN"/>
          <w14:textFill>
            <w14:solidFill>
              <w14:schemeClr w14:val="tx1"/>
            </w14:solidFill>
          </w14:textFill>
        </w:rPr>
        <w:t>采购预算：</w:t>
      </w:r>
      <w:r>
        <w:rPr>
          <w:rFonts w:hint="eastAsia" w:cs="Times New Roman" w:asciiTheme="minorEastAsia" w:hAnsiTheme="minorEastAsia" w:eastAsiaTheme="minorEastAsia"/>
          <w:color w:val="000000" w:themeColor="text1"/>
          <w:spacing w:val="-4"/>
          <w:sz w:val="24"/>
          <w:highlight w:val="none"/>
          <w:lang w:eastAsia="zh-CN"/>
          <w14:textFill>
            <w14:solidFill>
              <w14:schemeClr w14:val="tx1"/>
            </w14:solidFill>
          </w14:textFill>
        </w:rPr>
        <w:t>人民币</w:t>
      </w:r>
      <w:r>
        <w:rPr>
          <w:rFonts w:hint="eastAsia" w:cs="Times New Roman" w:asciiTheme="minorEastAsia" w:hAnsiTheme="minorEastAsia" w:eastAsiaTheme="minorEastAsia"/>
          <w:color w:val="000000" w:themeColor="text1"/>
          <w:spacing w:val="-4"/>
          <w:sz w:val="24"/>
          <w:highlight w:val="none"/>
          <w:lang w:val="en-US" w:eastAsia="zh-CN"/>
          <w14:textFill>
            <w14:solidFill>
              <w14:schemeClr w14:val="tx1"/>
            </w14:solidFill>
          </w14:textFill>
        </w:rPr>
        <w:t>98000.00元；最高限价：</w:t>
      </w:r>
      <w:r>
        <w:rPr>
          <w:rFonts w:hint="eastAsia" w:cs="Times New Roman" w:asciiTheme="minorEastAsia" w:hAnsiTheme="minorEastAsia" w:eastAsiaTheme="minorEastAsia"/>
          <w:color w:val="000000" w:themeColor="text1"/>
          <w:spacing w:val="-4"/>
          <w:sz w:val="24"/>
          <w:highlight w:val="none"/>
          <w:lang w:eastAsia="zh-CN"/>
          <w14:textFill>
            <w14:solidFill>
              <w14:schemeClr w14:val="tx1"/>
            </w14:solidFill>
          </w14:textFill>
        </w:rPr>
        <w:t>人民币</w:t>
      </w:r>
      <w:r>
        <w:rPr>
          <w:rFonts w:hint="eastAsia" w:cs="Times New Roman" w:asciiTheme="minorEastAsia" w:hAnsiTheme="minorEastAsia" w:eastAsiaTheme="minorEastAsia"/>
          <w:color w:val="000000" w:themeColor="text1"/>
          <w:spacing w:val="-4"/>
          <w:sz w:val="24"/>
          <w:highlight w:val="none"/>
          <w:lang w:val="en-US" w:eastAsia="zh-CN"/>
          <w14:textFill>
            <w14:solidFill>
              <w14:schemeClr w14:val="tx1"/>
            </w14:solidFill>
          </w14:textFill>
        </w:rPr>
        <w:t>97570.31</w:t>
      </w:r>
      <w:r>
        <w:rPr>
          <w:rFonts w:hint="eastAsia" w:cs="Times New Roman" w:asciiTheme="minorEastAsia" w:hAnsiTheme="minorEastAsia" w:eastAsiaTheme="minorEastAsia"/>
          <w:color w:val="000000" w:themeColor="text1"/>
          <w:spacing w:val="-4"/>
          <w:sz w:val="24"/>
          <w:highlight w:val="none"/>
          <w14:textFill>
            <w14:solidFill>
              <w14:schemeClr w14:val="tx1"/>
            </w14:solidFill>
          </w14:textFill>
        </w:rPr>
        <w:t>元。</w:t>
      </w:r>
    </w:p>
    <w:p w14:paraId="38AD1354">
      <w:pPr>
        <w:spacing w:line="360" w:lineRule="auto"/>
        <w:ind w:firstLine="482" w:firstLineChars="200"/>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三、采购项目简介：</w:t>
      </w:r>
    </w:p>
    <w:p w14:paraId="3AD4BC13">
      <w:pPr>
        <w:spacing w:line="360" w:lineRule="auto"/>
        <w:ind w:firstLine="464" w:firstLineChars="200"/>
        <w:rPr>
          <w:rFonts w:hint="eastAsia" w:asciiTheme="minorEastAsia" w:hAnsiTheme="minorEastAsia" w:eastAsiaTheme="minorEastAsia"/>
          <w:color w:val="000000" w:themeColor="text1"/>
          <w:spacing w:val="-4"/>
          <w:sz w:val="24"/>
          <w:highlight w:val="none"/>
          <w:lang w:eastAsia="zh-CN"/>
          <w14:textFill>
            <w14:solidFill>
              <w14:schemeClr w14:val="tx1"/>
            </w14:solidFill>
          </w14:textFill>
        </w:rPr>
      </w:pPr>
      <w:r>
        <w:rPr>
          <w:rFonts w:hint="eastAsia" w:asciiTheme="minorEastAsia" w:hAnsiTheme="minorEastAsia" w:eastAsiaTheme="minorEastAsia"/>
          <w:color w:val="000000" w:themeColor="text1"/>
          <w:spacing w:val="-4"/>
          <w:sz w:val="24"/>
          <w:highlight w:val="none"/>
          <w:lang w:val="en-US" w:eastAsia="zh-CN"/>
          <w14:textFill>
            <w14:solidFill>
              <w14:schemeClr w14:val="tx1"/>
            </w14:solidFill>
          </w14:textFill>
        </w:rPr>
        <w:t>本项目1个包，金堂县第一人民医院</w:t>
      </w:r>
      <w:r>
        <w:rPr>
          <w:rFonts w:hint="eastAsia" w:asciiTheme="minorEastAsia" w:hAnsiTheme="minorEastAsia" w:eastAsiaTheme="minorEastAsia"/>
          <w:color w:val="000000" w:themeColor="text1"/>
          <w:spacing w:val="-4"/>
          <w:sz w:val="24"/>
          <w:highlight w:val="none"/>
          <w14:textFill>
            <w14:solidFill>
              <w14:schemeClr w14:val="tx1"/>
            </w14:solidFill>
          </w14:textFill>
        </w:rPr>
        <w:t>老旧院落装修工程采购项目</w:t>
      </w:r>
      <w:r>
        <w:rPr>
          <w:rFonts w:hint="eastAsia" w:asciiTheme="minorEastAsia" w:hAnsiTheme="minorEastAsia" w:eastAsiaTheme="minorEastAsia"/>
          <w:color w:val="000000" w:themeColor="text1"/>
          <w:spacing w:val="-4"/>
          <w:sz w:val="24"/>
          <w:highlight w:val="none"/>
          <w:lang w:eastAsia="zh-CN"/>
          <w14:textFill>
            <w14:solidFill>
              <w14:schemeClr w14:val="tx1"/>
            </w14:solidFill>
          </w14:textFill>
        </w:rPr>
        <w:t>。</w:t>
      </w:r>
    </w:p>
    <w:p w14:paraId="63ADCFF4">
      <w:pPr>
        <w:spacing w:line="360" w:lineRule="auto"/>
        <w:ind w:firstLine="482" w:firstLineChars="200"/>
        <w:rPr>
          <w:rFonts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highlight w:val="none"/>
          <w14:textFill>
            <w14:solidFill>
              <w14:schemeClr w14:val="tx1"/>
            </w14:solidFill>
          </w14:textFill>
        </w:rPr>
        <w:t>四、供应商邀请方式</w:t>
      </w:r>
    </w:p>
    <w:p w14:paraId="5B0171D3">
      <w:pPr>
        <w:spacing w:line="360" w:lineRule="auto"/>
        <w:ind w:firstLine="480" w:firstLineChars="200"/>
        <w:rPr>
          <w:rFonts w:hint="eastAsia" w:asciiTheme="minorEastAsia" w:hAnsiTheme="minorEastAsia" w:eastAsiaTheme="minorEastAsia"/>
          <w:bCs/>
          <w:color w:val="000000" w:themeColor="text1"/>
          <w:sz w:val="24"/>
          <w:highlight w:val="none"/>
          <w:lang w:eastAsia="zh-CN"/>
          <w14:textFill>
            <w14:solidFill>
              <w14:schemeClr w14:val="tx1"/>
            </w14:solidFill>
          </w14:textFill>
        </w:rPr>
      </w:pPr>
      <w:bookmarkStart w:id="3" w:name="PO_默认文件内容_3"/>
      <w:r>
        <w:rPr>
          <w:rFonts w:hint="eastAsia" w:asciiTheme="minorEastAsia" w:hAnsiTheme="minorEastAsia" w:eastAsiaTheme="minorEastAsia"/>
          <w:bCs/>
          <w:color w:val="000000" w:themeColor="text1"/>
          <w:sz w:val="24"/>
          <w:highlight w:val="none"/>
          <w14:textFill>
            <w14:solidFill>
              <w14:schemeClr w14:val="tx1"/>
            </w14:solidFill>
          </w14:textFill>
        </w:rPr>
        <w:t>本次采购采取方式</w:t>
      </w:r>
      <w:r>
        <w:rPr>
          <w:rFonts w:hint="eastAsia" w:asciiTheme="minorEastAsia" w:hAnsiTheme="minorEastAsia" w:eastAsiaTheme="minorEastAsia"/>
          <w:bCs/>
          <w:color w:val="000000" w:themeColor="text1"/>
          <w:sz w:val="24"/>
          <w:highlight w:val="none"/>
          <w:lang w:eastAsia="zh-CN"/>
          <w14:textFill>
            <w14:solidFill>
              <w14:schemeClr w14:val="tx1"/>
            </w14:solidFill>
          </w14:textFill>
        </w:rPr>
        <w:t>（</w:t>
      </w:r>
      <w:r>
        <w:rPr>
          <w:rFonts w:hint="eastAsia" w:asciiTheme="minorEastAsia" w:hAnsiTheme="minorEastAsia" w:eastAsiaTheme="minorEastAsia"/>
          <w:bCs/>
          <w:color w:val="000000" w:themeColor="text1"/>
          <w:sz w:val="24"/>
          <w:highlight w:val="none"/>
          <w14:textFill>
            <w14:solidFill>
              <w14:schemeClr w14:val="tx1"/>
            </w14:solidFill>
          </w14:textFill>
        </w:rPr>
        <w:t>公告方式</w:t>
      </w:r>
      <w:r>
        <w:rPr>
          <w:rFonts w:hint="eastAsia" w:asciiTheme="minorEastAsia" w:hAnsiTheme="minorEastAsia" w:eastAsiaTheme="minorEastAsia"/>
          <w:bCs/>
          <w:color w:val="000000" w:themeColor="text1"/>
          <w:sz w:val="24"/>
          <w:highlight w:val="none"/>
          <w:lang w:eastAsia="zh-CN"/>
          <w14:textFill>
            <w14:solidFill>
              <w14:schemeClr w14:val="tx1"/>
            </w14:solidFill>
          </w14:textFill>
        </w:rPr>
        <w:t>）</w:t>
      </w:r>
      <w:r>
        <w:rPr>
          <w:rFonts w:hint="eastAsia" w:asciiTheme="minorEastAsia" w:hAnsiTheme="minorEastAsia" w:eastAsiaTheme="minorEastAsia"/>
          <w:bCs/>
          <w:color w:val="000000" w:themeColor="text1"/>
          <w:sz w:val="24"/>
          <w:highlight w:val="none"/>
          <w14:textFill>
            <w14:solidFill>
              <w14:schemeClr w14:val="tx1"/>
            </w14:solidFill>
          </w14:textFill>
        </w:rPr>
        <w:t>：本次竞争性磋商邀请在</w:t>
      </w:r>
      <w:r>
        <w:rPr>
          <w:rFonts w:hint="eastAsia" w:asciiTheme="minorEastAsia" w:hAnsiTheme="minorEastAsia" w:eastAsiaTheme="minorEastAsia"/>
          <w:bCs/>
          <w:color w:val="000000" w:themeColor="text1"/>
          <w:sz w:val="24"/>
          <w:highlight w:val="none"/>
          <w:lang w:val="en-US" w:eastAsia="zh-CN"/>
          <w14:textFill>
            <w14:solidFill>
              <w14:schemeClr w14:val="tx1"/>
            </w14:solidFill>
          </w14:textFill>
        </w:rPr>
        <w:t>金堂县第一人民医院官网</w:t>
      </w:r>
      <w:r>
        <w:rPr>
          <w:rFonts w:hint="eastAsia" w:asciiTheme="minorEastAsia" w:hAnsiTheme="minorEastAsia" w:eastAsiaTheme="minorEastAsia"/>
          <w:bCs/>
          <w:color w:val="000000" w:themeColor="text1"/>
          <w:sz w:val="24"/>
          <w:highlight w:val="none"/>
          <w14:textFill>
            <w14:solidFill>
              <w14:schemeClr w14:val="tx1"/>
            </w14:solidFill>
          </w14:textFill>
        </w:rPr>
        <w:t>以公告形式发布</w:t>
      </w:r>
      <w:r>
        <w:rPr>
          <w:rFonts w:hint="eastAsia" w:asciiTheme="minorEastAsia" w:hAnsiTheme="minorEastAsia" w:eastAsiaTheme="minorEastAsia"/>
          <w:bCs/>
          <w:color w:val="000000" w:themeColor="text1"/>
          <w:sz w:val="24"/>
          <w:highlight w:val="none"/>
          <w:lang w:eastAsia="zh-CN"/>
          <w14:textFill>
            <w14:solidFill>
              <w14:schemeClr w14:val="tx1"/>
            </w14:solidFill>
          </w14:textFill>
        </w:rPr>
        <w:t>。</w:t>
      </w:r>
    </w:p>
    <w:bookmarkEnd w:id="3"/>
    <w:p w14:paraId="74E287C3">
      <w:pPr>
        <w:spacing w:line="360" w:lineRule="auto"/>
        <w:ind w:firstLine="482" w:firstLineChars="200"/>
        <w:rPr>
          <w:rFonts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highlight w:val="none"/>
          <w14:textFill>
            <w14:solidFill>
              <w14:schemeClr w14:val="tx1"/>
            </w14:solidFill>
          </w14:textFill>
        </w:rPr>
        <w:t>五、供应商参加本次采购活动应具备下列条件</w:t>
      </w:r>
    </w:p>
    <w:p w14:paraId="3BA775A5">
      <w:pPr>
        <w:pStyle w:val="25"/>
        <w:ind w:firstLine="480"/>
        <w:rPr>
          <w:rFonts w:asciiTheme="minorEastAsia" w:hAnsiTheme="minorEastAsia" w:eastAsiaTheme="minorEastAsia"/>
          <w:color w:val="000000" w:themeColor="text1"/>
          <w:sz w:val="24"/>
          <w:highlight w:val="none"/>
          <w14:textFill>
            <w14:solidFill>
              <w14:schemeClr w14:val="tx1"/>
            </w14:solidFill>
          </w14:textFill>
        </w:rPr>
      </w:pPr>
      <w:bookmarkStart w:id="4" w:name="PO_供应商资格条件_1"/>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具有独立承担民事责任的能力；</w:t>
      </w:r>
    </w:p>
    <w:p w14:paraId="2F3231E8">
      <w:pPr>
        <w:tabs>
          <w:tab w:val="left" w:pos="7665"/>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具有良好的商业信誉和健全的财务会计制度；</w:t>
      </w:r>
    </w:p>
    <w:p w14:paraId="227BB9EE">
      <w:pPr>
        <w:tabs>
          <w:tab w:val="left" w:pos="7665"/>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具有履行合同所必须的设备和专业技术能力；</w:t>
      </w:r>
    </w:p>
    <w:p w14:paraId="2C232D64">
      <w:pPr>
        <w:tabs>
          <w:tab w:val="left" w:pos="7665"/>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具有依法缴纳税收和社会保障资金的良好记录；</w:t>
      </w:r>
    </w:p>
    <w:p w14:paraId="4BB58890">
      <w:pPr>
        <w:tabs>
          <w:tab w:val="left" w:pos="7665"/>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5.</w:t>
      </w:r>
      <w:r>
        <w:rPr>
          <w:rFonts w:hint="eastAsia" w:asciiTheme="minorEastAsia" w:hAnsiTheme="minorEastAsia" w:eastAsiaTheme="minorEastAsia"/>
          <w:color w:val="000000" w:themeColor="text1"/>
          <w:sz w:val="24"/>
          <w:highlight w:val="none"/>
          <w14:textFill>
            <w14:solidFill>
              <w14:schemeClr w14:val="tx1"/>
            </w14:solidFill>
          </w14:textFill>
        </w:rPr>
        <w:t>参加本次采购活动前三年内，在经营活动中没有重大违法记录；</w:t>
      </w:r>
    </w:p>
    <w:p w14:paraId="0EB9300D">
      <w:pPr>
        <w:pStyle w:val="25"/>
        <w:ind w:firstLine="48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6.</w:t>
      </w:r>
      <w:r>
        <w:rPr>
          <w:rFonts w:hint="eastAsia" w:asciiTheme="minorEastAsia" w:hAnsiTheme="minorEastAsia" w:eastAsiaTheme="minorEastAsia"/>
          <w:color w:val="000000" w:themeColor="text1"/>
          <w:sz w:val="24"/>
          <w:highlight w:val="none"/>
          <w14:textFill>
            <w14:solidFill>
              <w14:schemeClr w14:val="tx1"/>
            </w14:solidFill>
          </w14:textFill>
        </w:rPr>
        <w:t>法律、行政法规规定的其他条件；</w:t>
      </w:r>
    </w:p>
    <w:p w14:paraId="4BC43C5D">
      <w:pPr>
        <w:pStyle w:val="25"/>
        <w:ind w:firstLine="48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7.</w:t>
      </w:r>
      <w:r>
        <w:rPr>
          <w:rFonts w:hint="eastAsia" w:asciiTheme="minorEastAsia" w:hAnsiTheme="minorEastAsia" w:eastAsiaTheme="minorEastAsia"/>
          <w:color w:val="000000" w:themeColor="text1"/>
          <w:sz w:val="24"/>
          <w:highlight w:val="none"/>
          <w14:textFill>
            <w14:solidFill>
              <w14:schemeClr w14:val="tx1"/>
            </w14:solidFill>
          </w14:textFill>
        </w:rPr>
        <w:t>采购人根据采购项目提出的特殊条件：</w:t>
      </w:r>
    </w:p>
    <w:p w14:paraId="10E5AC5C">
      <w:pPr>
        <w:pStyle w:val="25"/>
        <w:ind w:firstLine="480"/>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供应商</w:t>
      </w:r>
      <w:r>
        <w:rPr>
          <w:rFonts w:hint="eastAsia" w:ascii="宋体" w:hAnsi="宋体" w:eastAsia="宋体" w:cs="宋体"/>
          <w:color w:val="000000" w:themeColor="text1"/>
          <w:sz w:val="24"/>
          <w:szCs w:val="24"/>
          <w:highlight w:val="none"/>
          <w:lang w:val="en-US" w:eastAsia="zh-CN"/>
          <w14:textFill>
            <w14:solidFill>
              <w14:schemeClr w14:val="tx1"/>
            </w14:solidFill>
          </w14:textFill>
        </w:rPr>
        <w:t>须</w:t>
      </w:r>
      <w:r>
        <w:rPr>
          <w:rFonts w:hint="eastAsia" w:asciiTheme="minorEastAsia" w:hAnsiTheme="minorEastAsia" w:eastAsiaTheme="minorEastAsia"/>
          <w:color w:val="000000" w:themeColor="text1"/>
          <w:sz w:val="24"/>
          <w:highlight w:val="none"/>
          <w14:textFill>
            <w14:solidFill>
              <w14:schemeClr w14:val="tx1"/>
            </w14:solidFill>
          </w14:textFill>
        </w:rPr>
        <w:t>具有建筑工程施工装修二级及以上资质。</w:t>
      </w:r>
    </w:p>
    <w:p w14:paraId="7AFD3FCE">
      <w:pPr>
        <w:pStyle w:val="25"/>
        <w:keepNext w:val="0"/>
        <w:keepLines w:val="0"/>
        <w:pageBreakBefore w:val="0"/>
        <w:widowControl w:val="0"/>
        <w:kinsoku/>
        <w:wordWrap/>
        <w:overflowPunct/>
        <w:topLinePunct w:val="0"/>
        <w:autoSpaceDE/>
        <w:autoSpaceDN/>
        <w:bidi w:val="0"/>
        <w:adjustRightInd/>
        <w:snapToGrid/>
        <w:ind w:firstLine="480"/>
        <w:textAlignment w:val="auto"/>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（2）具备有效的《安全生产许可证》。</w:t>
      </w:r>
    </w:p>
    <w:p w14:paraId="53829CB0">
      <w:pPr>
        <w:pStyle w:val="2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asciiTheme="minorEastAsia" w:hAnsiTheme="minorEastAsia"/>
          <w:color w:val="000000" w:themeColor="text1"/>
          <w:sz w:val="24"/>
          <w:highlight w:val="none"/>
          <w:lang w:eastAsia="zh-CN"/>
          <w14:textFill>
            <w14:solidFill>
              <w14:schemeClr w14:val="tx1"/>
            </w14:solidFill>
          </w14:textFill>
        </w:rPr>
      </w:pPr>
      <w:r>
        <w:rPr>
          <w:rFonts w:hint="eastAsia" w:asciiTheme="minorEastAsia" w:hAnsiTheme="minorEastAsia" w:eastAsiaTheme="minorEastAsia"/>
          <w:color w:val="000000" w:themeColor="text1"/>
          <w:sz w:val="24"/>
          <w:highlight w:val="none"/>
          <w:lang w:eastAsia="zh-CN"/>
          <w14:textFill>
            <w14:solidFill>
              <w14:schemeClr w14:val="tx1"/>
            </w14:solidFill>
          </w14:textFill>
        </w:rPr>
        <w:t>（</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3</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供应商及其现任法定代表人、主要负责人不得具有行贿犯罪记录</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6D451EA8">
      <w:pPr>
        <w:pStyle w:val="2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cs="宋体" w:asciiTheme="minorEastAsia" w:hAnsiTheme="minorEastAsia" w:eastAsiaTheme="minorEastAsia"/>
          <w:color w:val="000000" w:themeColor="text1"/>
          <w:sz w:val="24"/>
          <w:highlight w:val="none"/>
          <w14:textFill>
            <w14:solidFill>
              <w14:schemeClr w14:val="tx1"/>
            </w14:solidFill>
          </w14:textFill>
        </w:rPr>
      </w:pPr>
      <w:r>
        <w:rPr>
          <w:rFonts w:cs="宋体" w:asciiTheme="minorEastAsia" w:hAnsiTheme="minorEastAsia" w:eastAsiaTheme="minorEastAsia"/>
          <w:color w:val="000000" w:themeColor="text1"/>
          <w:sz w:val="24"/>
          <w:highlight w:val="none"/>
          <w14:textFill>
            <w14:solidFill>
              <w14:schemeClr w14:val="tx1"/>
            </w14:solidFill>
          </w14:textFill>
        </w:rPr>
        <w:t>8.</w:t>
      </w:r>
      <w:r>
        <w:rPr>
          <w:rFonts w:hint="eastAsia" w:cs="宋体" w:asciiTheme="minorEastAsia" w:hAnsiTheme="minorEastAsia" w:eastAsiaTheme="minorEastAsia"/>
          <w:color w:val="000000" w:themeColor="text1"/>
          <w:sz w:val="24"/>
          <w:highlight w:val="none"/>
          <w14:textFill>
            <w14:solidFill>
              <w14:schemeClr w14:val="tx1"/>
            </w14:solidFill>
          </w14:textFill>
        </w:rPr>
        <w:t>本项目不允许联合体参加。</w:t>
      </w:r>
    </w:p>
    <w:bookmarkEnd w:id="4"/>
    <w:p w14:paraId="02CB01CF">
      <w:pPr>
        <w:pStyle w:val="2"/>
        <w:keepLines w:val="0"/>
        <w:pageBreakBefore w:val="0"/>
        <w:numPr>
          <w:ilvl w:val="0"/>
          <w:numId w:val="0"/>
        </w:numPr>
        <w:kinsoku/>
        <w:wordWrap/>
        <w:overflowPunct/>
        <w:topLinePunct w:val="0"/>
        <w:bidi w:val="0"/>
        <w:snapToGrid/>
        <w:spacing w:line="360" w:lineRule="auto"/>
        <w:ind w:firstLine="482" w:firstLineChars="200"/>
        <w:jc w:val="both"/>
        <w:textAlignment w:val="auto"/>
        <w:rPr>
          <w:rFonts w:hint="eastAsia" w:cs="Times New Roman" w:asciiTheme="minorEastAsia" w:hAnsiTheme="minorEastAsia" w:eastAsiaTheme="minorEastAsia"/>
          <w:b/>
          <w:bCs/>
          <w:color w:val="000000" w:themeColor="text1"/>
          <w:kern w:val="2"/>
          <w:sz w:val="24"/>
          <w:szCs w:val="24"/>
          <w:highlight w:val="none"/>
          <w:lang w:val="en-US" w:eastAsia="zh-CN" w:bidi="ar-SA"/>
          <w14:textFill>
            <w14:solidFill>
              <w14:schemeClr w14:val="tx1"/>
            </w14:solidFill>
          </w14:textFill>
        </w:rPr>
      </w:pPr>
      <w:r>
        <w:rPr>
          <w:rFonts w:hint="eastAsia" w:cs="Times New Roman" w:asciiTheme="minorEastAsia" w:hAnsiTheme="minorEastAsia" w:eastAsiaTheme="minorEastAsia"/>
          <w:b/>
          <w:bCs/>
          <w:color w:val="000000" w:themeColor="text1"/>
          <w:kern w:val="2"/>
          <w:sz w:val="24"/>
          <w:szCs w:val="24"/>
          <w:highlight w:val="none"/>
          <w:lang w:val="en-US" w:eastAsia="zh-CN" w:bidi="ar-SA"/>
          <w14:textFill>
            <w14:solidFill>
              <w14:schemeClr w14:val="tx1"/>
            </w14:solidFill>
          </w14:textFill>
        </w:rPr>
        <w:t>六、报名方式：</w:t>
      </w:r>
    </w:p>
    <w:p w14:paraId="08CA3B4A">
      <w:pPr>
        <w:keepLines w:val="0"/>
        <w:pageBreakBefore w:val="0"/>
        <w:tabs>
          <w:tab w:val="left" w:pos="1480"/>
        </w:tabs>
        <w:kinsoku/>
        <w:wordWrap/>
        <w:overflowPunct/>
        <w:topLinePunct w:val="0"/>
        <w:autoSpaceDE w:val="0"/>
        <w:autoSpaceDN w:val="0"/>
        <w:bidi w:val="0"/>
        <w:adjustRightInd w:val="0"/>
        <w:snapToGrid/>
        <w:spacing w:line="360" w:lineRule="auto"/>
        <w:ind w:firstLine="480" w:firstLineChars="200"/>
        <w:textAlignment w:val="auto"/>
        <w:rPr>
          <w:rFonts w:ascii="宋体" w:hAnsi="宋体"/>
          <w:color w:val="auto"/>
          <w:sz w:val="24"/>
        </w:rPr>
      </w:pPr>
      <w:r>
        <w:rPr>
          <w:rFonts w:hint="eastAsia" w:ascii="宋体" w:hAnsi="宋体"/>
          <w:color w:val="auto"/>
          <w:sz w:val="24"/>
        </w:rPr>
        <w:t>凡有意参加本项目者，请于</w:t>
      </w:r>
      <w:r>
        <w:rPr>
          <w:rFonts w:hint="eastAsia" w:ascii="宋体" w:hAnsi="宋体"/>
          <w:b/>
          <w:bCs/>
          <w:color w:val="auto"/>
          <w:sz w:val="24"/>
        </w:rPr>
        <w:t>202</w:t>
      </w:r>
      <w:r>
        <w:rPr>
          <w:rFonts w:hint="eastAsia" w:ascii="宋体" w:hAnsi="宋体"/>
          <w:b/>
          <w:bCs/>
          <w:color w:val="auto"/>
          <w:sz w:val="24"/>
          <w:lang w:val="en-US" w:eastAsia="zh-CN"/>
        </w:rPr>
        <w:t>5</w:t>
      </w:r>
      <w:r>
        <w:rPr>
          <w:rFonts w:hint="eastAsia" w:ascii="宋体" w:hAnsi="宋体"/>
          <w:b/>
          <w:bCs/>
          <w:color w:val="auto"/>
          <w:sz w:val="24"/>
        </w:rPr>
        <w:t>年</w:t>
      </w:r>
      <w:r>
        <w:rPr>
          <w:rFonts w:hint="eastAsia" w:ascii="宋体" w:hAnsi="宋体"/>
          <w:b/>
          <w:bCs/>
          <w:color w:val="auto"/>
          <w:sz w:val="24"/>
          <w:lang w:val="en-US" w:eastAsia="zh-CN"/>
        </w:rPr>
        <w:t>10</w:t>
      </w:r>
      <w:r>
        <w:rPr>
          <w:rFonts w:hint="eastAsia" w:ascii="宋体" w:hAnsi="宋体"/>
          <w:b/>
          <w:bCs/>
          <w:color w:val="auto"/>
          <w:sz w:val="24"/>
        </w:rPr>
        <w:t>月</w:t>
      </w:r>
      <w:r>
        <w:rPr>
          <w:rFonts w:hint="eastAsia" w:ascii="宋体" w:hAnsi="宋体"/>
          <w:b/>
          <w:bCs/>
          <w:color w:val="auto"/>
          <w:sz w:val="24"/>
          <w:lang w:val="en-US" w:eastAsia="zh-CN"/>
        </w:rPr>
        <w:t>13</w:t>
      </w:r>
      <w:r>
        <w:rPr>
          <w:rFonts w:hint="eastAsia" w:ascii="宋体" w:hAnsi="宋体"/>
          <w:b/>
          <w:bCs/>
          <w:color w:val="auto"/>
          <w:sz w:val="24"/>
        </w:rPr>
        <w:t>日8时至202</w:t>
      </w:r>
      <w:r>
        <w:rPr>
          <w:rFonts w:hint="eastAsia" w:ascii="宋体" w:hAnsi="宋体"/>
          <w:b/>
          <w:bCs/>
          <w:color w:val="auto"/>
          <w:sz w:val="24"/>
          <w:lang w:val="en-US" w:eastAsia="zh-CN"/>
        </w:rPr>
        <w:t>5</w:t>
      </w:r>
      <w:r>
        <w:rPr>
          <w:rFonts w:hint="eastAsia" w:ascii="宋体" w:hAnsi="宋体"/>
          <w:b/>
          <w:bCs/>
          <w:color w:val="auto"/>
          <w:sz w:val="24"/>
        </w:rPr>
        <w:t>年</w:t>
      </w:r>
      <w:r>
        <w:rPr>
          <w:rFonts w:hint="eastAsia" w:ascii="宋体" w:hAnsi="宋体"/>
          <w:b/>
          <w:bCs/>
          <w:color w:val="auto"/>
          <w:sz w:val="24"/>
          <w:lang w:val="en-US" w:eastAsia="zh-CN"/>
        </w:rPr>
        <w:t>10</w:t>
      </w:r>
      <w:r>
        <w:rPr>
          <w:rFonts w:hint="eastAsia" w:ascii="宋体" w:hAnsi="宋体"/>
          <w:b/>
          <w:bCs/>
          <w:color w:val="auto"/>
          <w:sz w:val="24"/>
        </w:rPr>
        <w:t>月</w:t>
      </w:r>
      <w:r>
        <w:rPr>
          <w:rFonts w:hint="eastAsia" w:ascii="宋体" w:hAnsi="宋体"/>
          <w:b/>
          <w:bCs/>
          <w:color w:val="auto"/>
          <w:sz w:val="24"/>
          <w:lang w:val="en-US" w:eastAsia="zh-CN"/>
        </w:rPr>
        <w:t>17</w:t>
      </w:r>
      <w:r>
        <w:rPr>
          <w:rFonts w:hint="eastAsia" w:ascii="宋体" w:hAnsi="宋体"/>
          <w:b/>
          <w:bCs/>
          <w:color w:val="auto"/>
          <w:sz w:val="24"/>
        </w:rPr>
        <w:t>日17时</w:t>
      </w:r>
      <w:r>
        <w:rPr>
          <w:rFonts w:hint="eastAsia" w:ascii="宋体" w:hAnsi="宋体"/>
          <w:color w:val="auto"/>
          <w:sz w:val="24"/>
        </w:rPr>
        <w:t>（北京时间，法定节假日除外）</w:t>
      </w:r>
      <w:r>
        <w:rPr>
          <w:rFonts w:hint="eastAsia" w:ascii="宋体" w:hAnsi="宋体" w:cs="宋体"/>
          <w:b/>
          <w:bCs/>
          <w:color w:val="auto"/>
          <w:sz w:val="24"/>
        </w:rPr>
        <w:t>将报名资料以PDF扫描件的形式发送到指定邮箱（邮箱号：3386876188@qq.com），（报名邮件列明公司名称+项目名称+联系人+联系电话）。</w:t>
      </w:r>
    </w:p>
    <w:p w14:paraId="3B1BA8CE">
      <w:pPr>
        <w:tabs>
          <w:tab w:val="left" w:pos="1480"/>
        </w:tabs>
        <w:autoSpaceDE w:val="0"/>
        <w:autoSpaceDN w:val="0"/>
        <w:adjustRightInd w:val="0"/>
        <w:spacing w:line="480" w:lineRule="exact"/>
        <w:ind w:firstLine="480" w:firstLineChars="200"/>
        <w:rPr>
          <w:rFonts w:hint="eastAsia" w:ascii="宋体" w:hAnsi="宋体"/>
          <w:color w:val="auto"/>
          <w:sz w:val="24"/>
        </w:rPr>
      </w:pPr>
      <w:r>
        <w:rPr>
          <w:rFonts w:hint="eastAsia" w:ascii="宋体" w:hAnsi="宋体"/>
          <w:color w:val="auto"/>
          <w:sz w:val="24"/>
        </w:rPr>
        <w:t>注：1.供应商报名时应附：报名表（附件2）、单位介绍信或法人授权书原件、被授权代表身份证复印件、营业执照扫描件、盖投标单位鲜章。</w:t>
      </w:r>
    </w:p>
    <w:p w14:paraId="1B63B458">
      <w:pPr>
        <w:tabs>
          <w:tab w:val="left" w:pos="1480"/>
        </w:tabs>
        <w:autoSpaceDE w:val="0"/>
        <w:autoSpaceDN w:val="0"/>
        <w:adjustRightInd w:val="0"/>
        <w:spacing w:line="480" w:lineRule="exact"/>
        <w:ind w:firstLine="480" w:firstLineChars="200"/>
        <w:rPr>
          <w:rFonts w:hint="eastAsia" w:ascii="宋体" w:hAnsi="宋体"/>
          <w:color w:val="auto"/>
          <w:sz w:val="24"/>
        </w:rPr>
      </w:pPr>
      <w:r>
        <w:rPr>
          <w:rFonts w:hint="eastAsia" w:ascii="宋体" w:hAnsi="宋体"/>
          <w:color w:val="auto"/>
          <w:sz w:val="24"/>
        </w:rPr>
        <w:t>2.该项目采购文件（附件1）在医院官网与公告同时进行发布，不单独售卖或发送比选文件，一切以官网公告内容为准。</w:t>
      </w:r>
    </w:p>
    <w:p w14:paraId="1B888C8A">
      <w:pPr>
        <w:spacing w:line="360" w:lineRule="auto"/>
        <w:ind w:firstLine="482" w:firstLineChars="200"/>
        <w:rPr>
          <w:rFonts w:hint="eastAsia" w:ascii="宋体" w:hAnsi="宋体" w:eastAsia="宋体" w:cs="Times New Roman"/>
          <w:b/>
          <w:bCs/>
          <w:color w:val="auto"/>
          <w:sz w:val="24"/>
        </w:rPr>
      </w:pPr>
      <w:r>
        <w:rPr>
          <w:rFonts w:hint="eastAsia" w:asciiTheme="minorEastAsia" w:hAnsiTheme="minorEastAsia" w:eastAsiaTheme="minorEastAsia"/>
          <w:b/>
          <w:color w:val="000000" w:themeColor="text1"/>
          <w:sz w:val="24"/>
          <w:szCs w:val="28"/>
          <w:highlight w:val="none"/>
          <w14:textFill>
            <w14:solidFill>
              <w14:schemeClr w14:val="tx1"/>
            </w14:solidFill>
          </w14:textFill>
        </w:rPr>
        <w:t>七、递交响应文件</w:t>
      </w:r>
      <w:r>
        <w:rPr>
          <w:rFonts w:hint="eastAsia" w:asciiTheme="minorEastAsia" w:hAnsiTheme="minorEastAsia" w:eastAsiaTheme="minorEastAsia"/>
          <w:b/>
          <w:color w:val="000000" w:themeColor="text1"/>
          <w:sz w:val="24"/>
          <w:highlight w:val="none"/>
          <w14:textFill>
            <w14:solidFill>
              <w14:schemeClr w14:val="tx1"/>
            </w14:solidFill>
          </w14:textFill>
        </w:rPr>
        <w:t>截止时间</w:t>
      </w:r>
      <w:r>
        <w:rPr>
          <w:rFonts w:asciiTheme="minorEastAsia" w:hAnsiTheme="minorEastAsia" w:eastAsiaTheme="minorEastAsia"/>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14:textFill>
            <w14:solidFill>
              <w14:schemeClr w14:val="tx1"/>
            </w14:solidFill>
          </w14:textFill>
        </w:rPr>
        <w:t>参加磋商的时间</w:t>
      </w:r>
      <w:r>
        <w:rPr>
          <w:rFonts w:asciiTheme="minorEastAsia" w:hAnsiTheme="minorEastAsia" w:eastAsiaTheme="minorEastAsia"/>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14:textFill>
            <w14:solidFill>
              <w14:schemeClr w14:val="tx1"/>
            </w14:solidFill>
          </w14:textFill>
        </w:rPr>
        <w:t>：</w:t>
      </w:r>
      <w:r>
        <w:rPr>
          <w:rFonts w:hint="eastAsia" w:ascii="宋体" w:hAnsi="宋体" w:eastAsia="宋体" w:cs="Times New Roman"/>
          <w:b/>
          <w:bCs/>
          <w:color w:val="auto"/>
          <w:sz w:val="24"/>
          <w:lang w:val="en-US" w:eastAsia="zh-CN"/>
        </w:rPr>
        <w:t>2025</w:t>
      </w:r>
      <w:r>
        <w:rPr>
          <w:rFonts w:hint="eastAsia" w:ascii="宋体" w:hAnsi="宋体" w:eastAsia="宋体" w:cs="Times New Roman"/>
          <w:b/>
          <w:bCs/>
          <w:color w:val="auto"/>
          <w:sz w:val="24"/>
        </w:rPr>
        <w:t>年</w:t>
      </w:r>
      <w:r>
        <w:rPr>
          <w:rFonts w:hint="eastAsia" w:ascii="宋体" w:hAnsi="宋体" w:cs="Times New Roman"/>
          <w:b/>
          <w:bCs/>
          <w:color w:val="auto"/>
          <w:sz w:val="24"/>
          <w:lang w:val="en-US" w:eastAsia="zh-CN"/>
        </w:rPr>
        <w:t>10</w:t>
      </w:r>
      <w:r>
        <w:rPr>
          <w:rFonts w:hint="eastAsia" w:ascii="宋体" w:hAnsi="宋体" w:eastAsia="宋体" w:cs="Times New Roman"/>
          <w:b/>
          <w:bCs/>
          <w:color w:val="auto"/>
          <w:sz w:val="24"/>
        </w:rPr>
        <w:t>月</w:t>
      </w:r>
      <w:r>
        <w:rPr>
          <w:rFonts w:hint="eastAsia" w:ascii="宋体" w:hAnsi="宋体" w:cs="Times New Roman"/>
          <w:b/>
          <w:bCs/>
          <w:color w:val="auto"/>
          <w:sz w:val="24"/>
          <w:lang w:val="en-US" w:eastAsia="zh-CN"/>
        </w:rPr>
        <w:t>28</w:t>
      </w:r>
      <w:r>
        <w:rPr>
          <w:rFonts w:hint="eastAsia" w:ascii="宋体" w:hAnsi="宋体" w:eastAsia="宋体" w:cs="Times New Roman"/>
          <w:b/>
          <w:bCs/>
          <w:color w:val="auto"/>
          <w:sz w:val="24"/>
        </w:rPr>
        <w:t>日</w:t>
      </w:r>
      <w:r>
        <w:rPr>
          <w:rFonts w:hint="eastAsia" w:ascii="宋体" w:hAnsi="宋体" w:cs="Times New Roman"/>
          <w:b/>
          <w:bCs/>
          <w:color w:val="auto"/>
          <w:sz w:val="24"/>
          <w:lang w:val="en-US" w:eastAsia="zh-CN"/>
        </w:rPr>
        <w:t>09:30</w:t>
      </w:r>
      <w:r>
        <w:rPr>
          <w:rFonts w:hint="eastAsia" w:ascii="宋体" w:hAnsi="宋体" w:eastAsia="宋体" w:cs="Times New Roman"/>
          <w:b/>
          <w:bCs/>
          <w:color w:val="auto"/>
          <w:sz w:val="24"/>
        </w:rPr>
        <w:t>（北京时间）。</w:t>
      </w:r>
    </w:p>
    <w:p w14:paraId="362C98EE">
      <w:pPr>
        <w:spacing w:line="360" w:lineRule="auto"/>
        <w:ind w:firstLine="482" w:firstLineChars="200"/>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八、递交响应文件地点：</w:t>
      </w:r>
      <w:bookmarkStart w:id="5" w:name="PO_默认文件内容_7"/>
      <w:r>
        <w:rPr>
          <w:rFonts w:hint="eastAsia" w:asciiTheme="minorEastAsia" w:hAnsiTheme="minorEastAsia" w:eastAsiaTheme="minorEastAsia"/>
          <w:color w:val="000000" w:themeColor="text1"/>
          <w:sz w:val="24"/>
          <w:highlight w:val="none"/>
          <w14:textFill>
            <w14:solidFill>
              <w14:schemeClr w14:val="tx1"/>
            </w14:solidFill>
          </w14:textFill>
        </w:rPr>
        <w:t>响应文件必须在递交响应文件截止时间前送达磋商地点。逾期送达或没有密封的响应文件恕不接收。本次采购不接收邮寄的响应文件。</w:t>
      </w:r>
      <w:bookmarkEnd w:id="5"/>
    </w:p>
    <w:p w14:paraId="14C386B7">
      <w:pPr>
        <w:spacing w:line="360" w:lineRule="auto"/>
        <w:ind w:firstLine="482" w:firstLineChars="200"/>
        <w:rPr>
          <w:rFonts w:hint="eastAsia" w:cs="Times New Roman" w:asciiTheme="minorEastAsia" w:hAnsiTheme="minorEastAsia" w:eastAsiaTheme="minorEastAsia"/>
          <w:b/>
          <w:color w:val="000000" w:themeColor="text1"/>
          <w:sz w:val="24"/>
          <w:highlight w:val="none"/>
          <w14:textFill>
            <w14:solidFill>
              <w14:schemeClr w14:val="tx1"/>
            </w14:solidFill>
          </w14:textFill>
        </w:rPr>
      </w:pPr>
      <w:r>
        <w:rPr>
          <w:rFonts w:hint="eastAsia" w:cs="Times New Roman" w:asciiTheme="minorEastAsia" w:hAnsiTheme="minorEastAsia" w:eastAsiaTheme="minorEastAsia"/>
          <w:b/>
          <w:color w:val="000000" w:themeColor="text1"/>
          <w:sz w:val="24"/>
          <w:highlight w:val="none"/>
          <w:lang w:val="en-US" w:eastAsia="zh-CN"/>
          <w14:textFill>
            <w14:solidFill>
              <w14:schemeClr w14:val="tx1"/>
            </w14:solidFill>
          </w14:textFill>
        </w:rPr>
        <w:t>九</w:t>
      </w:r>
      <w:r>
        <w:rPr>
          <w:rFonts w:hint="eastAsia" w:cs="Times New Roman" w:asciiTheme="minorEastAsia" w:hAnsiTheme="minorEastAsia" w:eastAsiaTheme="minorEastAsia"/>
          <w:b/>
          <w:color w:val="000000" w:themeColor="text1"/>
          <w:sz w:val="24"/>
          <w:highlight w:val="none"/>
          <w14:textFill>
            <w14:solidFill>
              <w14:schemeClr w14:val="tx1"/>
            </w14:solidFill>
          </w14:textFill>
        </w:rPr>
        <w:t>、磋商地点：金堂县第一人民医院行政四楼44</w:t>
      </w:r>
      <w:r>
        <w:rPr>
          <w:rFonts w:hint="eastAsia" w:cs="Times New Roman" w:asciiTheme="minorEastAsia" w:hAnsiTheme="minorEastAsia" w:eastAsiaTheme="minorEastAsia"/>
          <w:b/>
          <w:color w:val="000000" w:themeColor="text1"/>
          <w:sz w:val="24"/>
          <w:highlight w:val="none"/>
          <w:lang w:val="en-US" w:eastAsia="zh-CN"/>
          <w14:textFill>
            <w14:solidFill>
              <w14:schemeClr w14:val="tx1"/>
            </w14:solidFill>
          </w14:textFill>
        </w:rPr>
        <w:t>7</w:t>
      </w:r>
      <w:r>
        <w:rPr>
          <w:rFonts w:hint="eastAsia" w:cs="Times New Roman" w:asciiTheme="minorEastAsia" w:hAnsiTheme="minorEastAsia" w:eastAsiaTheme="minorEastAsia"/>
          <w:b/>
          <w:color w:val="000000" w:themeColor="text1"/>
          <w:sz w:val="24"/>
          <w:highlight w:val="none"/>
          <w14:textFill>
            <w14:solidFill>
              <w14:schemeClr w14:val="tx1"/>
            </w14:solidFill>
          </w14:textFill>
        </w:rPr>
        <w:t>会议室。</w:t>
      </w:r>
    </w:p>
    <w:p w14:paraId="57D757B0">
      <w:pPr>
        <w:pStyle w:val="25"/>
        <w:ind w:firstLine="482"/>
        <w:rPr>
          <w:rFonts w:hint="eastAsia" w:asciiTheme="minorEastAsia" w:hAnsiTheme="minorEastAsia" w:eastAsiaTheme="minorEastAsia"/>
          <w:b/>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十</w:t>
      </w:r>
      <w:bookmarkStart w:id="1070" w:name="_GoBack"/>
      <w:bookmarkEnd w:id="1070"/>
      <w:r>
        <w:rPr>
          <w:rFonts w:hint="eastAsia" w:asciiTheme="minorEastAsia" w:hAnsiTheme="minorEastAsia" w:eastAsiaTheme="minorEastAsia"/>
          <w:b/>
          <w:color w:val="000000" w:themeColor="text1"/>
          <w:sz w:val="24"/>
          <w:highlight w:val="none"/>
          <w14:textFill>
            <w14:solidFill>
              <w14:schemeClr w14:val="tx1"/>
            </w14:solidFill>
          </w14:textFill>
        </w:rPr>
        <w:t>、联系方式</w:t>
      </w:r>
      <w:r>
        <w:rPr>
          <w:rFonts w:hint="eastAsia" w:asciiTheme="minorEastAsia" w:hAnsiTheme="minorEastAsia" w:eastAsiaTheme="minorEastAsia"/>
          <w:b/>
          <w:color w:val="000000" w:themeColor="text1"/>
          <w:sz w:val="24"/>
          <w:highlight w:val="none"/>
          <w:lang w:val="en-US" w:eastAsia="zh-CN"/>
          <w14:textFill>
            <w14:solidFill>
              <w14:schemeClr w14:val="tx1"/>
            </w14:solidFill>
          </w14:textFill>
        </w:rPr>
        <w:t>:</w:t>
      </w:r>
    </w:p>
    <w:p w14:paraId="04F37F1D">
      <w:pPr>
        <w:pStyle w:val="25"/>
        <w:ind w:firstLine="482"/>
        <w:rPr>
          <w:rFonts w:hint="eastAsia" w:cs="Times New Roman" w:asciiTheme="minorEastAsia" w:hAnsiTheme="minorEastAsia" w:eastAsiaTheme="minorEastAsia"/>
          <w:color w:val="000000" w:themeColor="text1"/>
          <w:kern w:val="2"/>
          <w:sz w:val="24"/>
          <w:szCs w:val="24"/>
          <w:highlight w:val="none"/>
          <w:lang w:val="en-US" w:eastAsia="zh-CN" w:bidi="ar-SA"/>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highlight w:val="none"/>
          <w:lang w:val="en-US" w:eastAsia="zh-CN" w:bidi="ar-SA"/>
          <w14:textFill>
            <w14:solidFill>
              <w14:schemeClr w14:val="tx1"/>
            </w14:solidFill>
          </w14:textFill>
        </w:rPr>
        <w:t>采购人：</w:t>
      </w:r>
      <w:bookmarkStart w:id="6" w:name="_Toc213396759"/>
      <w:bookmarkStart w:id="7" w:name="_Toc509579141"/>
      <w:bookmarkStart w:id="8" w:name="_Toc213397009"/>
      <w:bookmarkStart w:id="9" w:name="_Toc213496267"/>
      <w:bookmarkStart w:id="10" w:name="_Toc217446031"/>
      <w:bookmarkStart w:id="11" w:name="_Toc213396945"/>
      <w:r>
        <w:rPr>
          <w:rFonts w:hint="eastAsia" w:cs="Times New Roman" w:asciiTheme="minorEastAsia" w:hAnsiTheme="minorEastAsia" w:eastAsiaTheme="minorEastAsia"/>
          <w:color w:val="000000" w:themeColor="text1"/>
          <w:kern w:val="2"/>
          <w:sz w:val="24"/>
          <w:szCs w:val="24"/>
          <w:highlight w:val="none"/>
          <w:lang w:val="en-US" w:eastAsia="zh-CN" w:bidi="ar-SA"/>
          <w14:textFill>
            <w14:solidFill>
              <w14:schemeClr w14:val="tx1"/>
            </w14:solidFill>
          </w14:textFill>
        </w:rPr>
        <w:t xml:space="preserve">金堂县第一人民医院         </w:t>
      </w:r>
    </w:p>
    <w:p w14:paraId="6325EA24">
      <w:pPr>
        <w:pStyle w:val="25"/>
        <w:ind w:firstLine="482"/>
        <w:rPr>
          <w:rFonts w:hint="eastAsia" w:cs="Times New Roman" w:asciiTheme="minorEastAsia" w:hAnsiTheme="minorEastAsia" w:eastAsiaTheme="minorEastAsia"/>
          <w:color w:val="000000" w:themeColor="text1"/>
          <w:kern w:val="2"/>
          <w:sz w:val="24"/>
          <w:szCs w:val="24"/>
          <w:highlight w:val="none"/>
          <w:lang w:val="en-US" w:eastAsia="zh-CN" w:bidi="ar-SA"/>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highlight w:val="none"/>
          <w:lang w:val="en-US" w:eastAsia="zh-CN" w:bidi="ar-SA"/>
          <w14:textFill>
            <w14:solidFill>
              <w14:schemeClr w14:val="tx1"/>
            </w14:solidFill>
          </w14:textFill>
        </w:rPr>
        <w:t xml:space="preserve">地址：成都市金堂县金广路886号                                    </w:t>
      </w:r>
    </w:p>
    <w:p w14:paraId="31BDE114">
      <w:pPr>
        <w:pStyle w:val="25"/>
        <w:ind w:firstLine="482"/>
        <w:rPr>
          <w:rFonts w:hint="eastAsia" w:cs="Times New Roman" w:asciiTheme="minorEastAsia" w:hAnsiTheme="minorEastAsia" w:eastAsiaTheme="minorEastAsia"/>
          <w:color w:val="000000" w:themeColor="text1"/>
          <w:kern w:val="2"/>
          <w:sz w:val="24"/>
          <w:szCs w:val="24"/>
          <w:highlight w:val="none"/>
          <w:lang w:val="en-US" w:eastAsia="zh-CN" w:bidi="ar-SA"/>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highlight w:val="none"/>
          <w:lang w:val="en-US" w:eastAsia="zh-CN" w:bidi="ar-SA"/>
          <w14:textFill>
            <w14:solidFill>
              <w14:schemeClr w14:val="tx1"/>
            </w14:solidFill>
          </w14:textFill>
        </w:rPr>
        <w:t xml:space="preserve">联系人：毛老师                           </w:t>
      </w:r>
    </w:p>
    <w:p w14:paraId="4AB95B36">
      <w:pPr>
        <w:pStyle w:val="25"/>
        <w:ind w:firstLine="482"/>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highlight w:val="none"/>
          <w:lang w:val="en-US" w:eastAsia="zh-CN" w:bidi="ar-SA"/>
          <w14:textFill>
            <w14:solidFill>
              <w14:schemeClr w14:val="tx1"/>
            </w14:solidFill>
          </w14:textFill>
        </w:rPr>
        <w:t xml:space="preserve">电话：028-61568611   </w:t>
      </w:r>
      <w:r>
        <w:rPr>
          <w:rFonts w:asciiTheme="minorEastAsia" w:hAnsiTheme="minorEastAsia" w:eastAsiaTheme="minorEastAsia"/>
          <w:b/>
          <w:bCs/>
          <w:color w:val="000000" w:themeColor="text1"/>
          <w:kern w:val="0"/>
          <w:sz w:val="24"/>
          <w:highlight w:val="none"/>
          <w14:textFill>
            <w14:solidFill>
              <w14:schemeClr w14:val="tx1"/>
            </w14:solidFill>
          </w14:textFill>
        </w:rPr>
        <w:br w:type="page"/>
      </w:r>
    </w:p>
    <w:p w14:paraId="620846C5">
      <w:pPr>
        <w:pStyle w:val="17"/>
        <w:rPr>
          <w:rFonts w:asciiTheme="minorEastAsia" w:hAnsiTheme="minorEastAsia" w:eastAsiaTheme="minorEastAsia"/>
          <w:color w:val="000000" w:themeColor="text1"/>
          <w:highlight w:val="none"/>
          <w14:textFill>
            <w14:solidFill>
              <w14:schemeClr w14:val="tx1"/>
            </w14:solidFill>
          </w14:textFill>
        </w:rPr>
      </w:pPr>
      <w:bookmarkStart w:id="12" w:name="_Toc531596547"/>
      <w:r>
        <w:rPr>
          <w:rFonts w:hint="eastAsia" w:asciiTheme="minorEastAsia" w:hAnsiTheme="minorEastAsia" w:eastAsiaTheme="minorEastAsia"/>
          <w:color w:val="000000" w:themeColor="text1"/>
          <w:highlight w:val="none"/>
          <w14:textFill>
            <w14:solidFill>
              <w14:schemeClr w14:val="tx1"/>
            </w14:solidFill>
          </w14:textFill>
        </w:rPr>
        <w:t>第二章磋商须知</w:t>
      </w:r>
      <w:bookmarkEnd w:id="6"/>
      <w:bookmarkEnd w:id="7"/>
      <w:bookmarkEnd w:id="8"/>
      <w:bookmarkEnd w:id="9"/>
      <w:bookmarkEnd w:id="10"/>
      <w:bookmarkEnd w:id="11"/>
      <w:bookmarkEnd w:id="12"/>
    </w:p>
    <w:p w14:paraId="24839075">
      <w:pPr>
        <w:pStyle w:val="3"/>
        <w:keepNext w:val="0"/>
        <w:keepLines w:val="0"/>
        <w:spacing w:line="240" w:lineRule="auto"/>
        <w:jc w:val="center"/>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一、供应商须知附表</w:t>
      </w:r>
    </w:p>
    <w:tbl>
      <w:tblPr>
        <w:tblStyle w:val="18"/>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9"/>
        <w:gridCol w:w="1973"/>
        <w:gridCol w:w="6694"/>
      </w:tblGrid>
      <w:tr w14:paraId="075287F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839" w:type="dxa"/>
            <w:tcBorders>
              <w:top w:val="single" w:color="auto" w:sz="18" w:space="0"/>
            </w:tcBorders>
            <w:vAlign w:val="center"/>
          </w:tcPr>
          <w:p w14:paraId="7E20F2EC">
            <w:pPr>
              <w:pStyle w:val="26"/>
              <w:spacing w:line="360" w:lineRule="auto"/>
              <w:jc w:val="center"/>
              <w:rPr>
                <w:rFonts w:asciiTheme="minorEastAsia" w:hAnsiTheme="minorEastAsia" w:eastAsia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zh-CN"/>
                <w14:textFill>
                  <w14:solidFill>
                    <w14:schemeClr w14:val="tx1"/>
                  </w14:solidFill>
                </w14:textFill>
              </w:rPr>
              <w:t>序号</w:t>
            </w:r>
          </w:p>
        </w:tc>
        <w:tc>
          <w:tcPr>
            <w:tcW w:w="1973" w:type="dxa"/>
            <w:tcBorders>
              <w:top w:val="single" w:color="auto" w:sz="18" w:space="0"/>
            </w:tcBorders>
            <w:vAlign w:val="center"/>
          </w:tcPr>
          <w:p w14:paraId="46C3C222">
            <w:pPr>
              <w:pStyle w:val="26"/>
              <w:spacing w:line="360" w:lineRule="auto"/>
              <w:jc w:val="center"/>
              <w:rPr>
                <w:rFonts w:asciiTheme="minorEastAsia" w:hAnsiTheme="minorEastAsia" w:eastAsia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zh-CN"/>
                <w14:textFill>
                  <w14:solidFill>
                    <w14:schemeClr w14:val="tx1"/>
                  </w14:solidFill>
                </w14:textFill>
              </w:rPr>
              <w:t>应知事项</w:t>
            </w:r>
          </w:p>
        </w:tc>
        <w:tc>
          <w:tcPr>
            <w:tcW w:w="6694" w:type="dxa"/>
            <w:tcBorders>
              <w:top w:val="single" w:color="auto" w:sz="18" w:space="0"/>
            </w:tcBorders>
            <w:vAlign w:val="center"/>
          </w:tcPr>
          <w:p w14:paraId="0750F5F1">
            <w:pPr>
              <w:pStyle w:val="26"/>
              <w:spacing w:line="360" w:lineRule="auto"/>
              <w:jc w:val="center"/>
              <w:rPr>
                <w:rFonts w:asciiTheme="minorEastAsia" w:hAnsiTheme="minorEastAsia" w:eastAsia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zh-CN"/>
                <w14:textFill>
                  <w14:solidFill>
                    <w14:schemeClr w14:val="tx1"/>
                  </w14:solidFill>
                </w14:textFill>
              </w:rPr>
              <w:t>说明和要求</w:t>
            </w:r>
          </w:p>
        </w:tc>
      </w:tr>
      <w:tr w14:paraId="72F27DD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9" w:type="dxa"/>
            <w:vAlign w:val="center"/>
          </w:tcPr>
          <w:p w14:paraId="17DCE9F6">
            <w:pPr>
              <w:pStyle w:val="26"/>
              <w:spacing w:line="360" w:lineRule="auto"/>
              <w:jc w:val="center"/>
              <w:rPr>
                <w:rFonts w:cs="Courier New" w:asciiTheme="minorEastAsia" w:hAnsiTheme="minorEastAsia" w:eastAsiaTheme="minorEastAsia"/>
                <w:color w:val="000000" w:themeColor="text1"/>
                <w:sz w:val="21"/>
                <w:szCs w:val="21"/>
                <w:highlight w:val="none"/>
                <w:lang w:val="zh-CN"/>
                <w14:textFill>
                  <w14:solidFill>
                    <w14:schemeClr w14:val="tx1"/>
                  </w14:solidFill>
                </w14:textFill>
              </w:rPr>
            </w:pPr>
            <w:r>
              <w:rPr>
                <w:rFonts w:cs="Courier New" w:asciiTheme="minorEastAsia" w:hAnsiTheme="minorEastAsia" w:eastAsiaTheme="minorEastAsia"/>
                <w:color w:val="000000" w:themeColor="text1"/>
                <w:sz w:val="21"/>
                <w:szCs w:val="21"/>
                <w:highlight w:val="none"/>
                <w:lang w:val="zh-CN"/>
                <w14:textFill>
                  <w14:solidFill>
                    <w14:schemeClr w14:val="tx1"/>
                  </w14:solidFill>
                </w14:textFill>
              </w:rPr>
              <w:t>1</w:t>
            </w:r>
          </w:p>
        </w:tc>
        <w:tc>
          <w:tcPr>
            <w:tcW w:w="1973" w:type="dxa"/>
            <w:vAlign w:val="center"/>
          </w:tcPr>
          <w:p w14:paraId="211A04C6">
            <w:pPr>
              <w:pStyle w:val="26"/>
              <w:spacing w:line="360" w:lineRule="auto"/>
              <w:jc w:val="center"/>
              <w:rPr>
                <w:rFonts w:hint="eastAsia" w:cs="宋体" w:asciiTheme="minorEastAsia" w:hAnsiTheme="minorEastAsia" w:eastAsiaTheme="minorEastAsia"/>
                <w:color w:val="000000" w:themeColor="text1"/>
                <w:sz w:val="21"/>
                <w:szCs w:val="21"/>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1"/>
                <w:szCs w:val="21"/>
                <w:highlight w:val="none"/>
                <w:lang w:val="zh-CN"/>
                <w14:textFill>
                  <w14:solidFill>
                    <w14:schemeClr w14:val="tx1"/>
                  </w14:solidFill>
                </w14:textFill>
              </w:rPr>
              <w:t>采购预算</w:t>
            </w:r>
          </w:p>
          <w:p w14:paraId="0D595C58">
            <w:pPr>
              <w:pStyle w:val="26"/>
              <w:spacing w:line="360" w:lineRule="auto"/>
              <w:jc w:val="center"/>
              <w:rPr>
                <w:rFonts w:hint="eastAsia" w:cs="宋体" w:asciiTheme="minorEastAsia" w:hAnsiTheme="minorEastAsia" w:eastAsiaTheme="minorEastAsia"/>
                <w:color w:val="000000" w:themeColor="text1"/>
                <w:sz w:val="21"/>
                <w:szCs w:val="21"/>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1"/>
                <w:szCs w:val="21"/>
                <w:highlight w:val="none"/>
                <w:lang w:val="zh-CN"/>
                <w14:textFill>
                  <w14:solidFill>
                    <w14:schemeClr w14:val="tx1"/>
                  </w14:solidFill>
                </w14:textFill>
              </w:rPr>
              <w:t>（实质性要求）</w:t>
            </w:r>
          </w:p>
        </w:tc>
        <w:tc>
          <w:tcPr>
            <w:tcW w:w="6694" w:type="dxa"/>
          </w:tcPr>
          <w:p w14:paraId="44B161AC">
            <w:pPr>
              <w:pStyle w:val="26"/>
              <w:spacing w:line="360" w:lineRule="auto"/>
              <w:jc w:val="left"/>
              <w:rPr>
                <w:rFonts w:hint="eastAsia" w:cs="宋体" w:asciiTheme="minorEastAsia" w:hAnsiTheme="minorEastAsia" w:eastAsiaTheme="minorEastAsia"/>
                <w:color w:val="000000" w:themeColor="text1"/>
                <w:sz w:val="21"/>
                <w:szCs w:val="21"/>
                <w:highlight w:val="none"/>
                <w:lang w:val="zh-CN" w:eastAsia="zh-CN"/>
                <w14:textFill>
                  <w14:solidFill>
                    <w14:schemeClr w14:val="tx1"/>
                  </w14:solidFill>
                </w14:textFill>
              </w:rPr>
            </w:pPr>
            <w:r>
              <w:rPr>
                <w:rFonts w:hint="eastAsia" w:cs="宋体" w:asciiTheme="minorEastAsia" w:hAnsiTheme="minorEastAsia" w:eastAsiaTheme="minorEastAsia"/>
                <w:color w:val="000000" w:themeColor="text1"/>
                <w:sz w:val="21"/>
                <w:szCs w:val="21"/>
                <w:highlight w:val="none"/>
                <w:lang w:val="en-US" w:eastAsia="zh-CN"/>
                <w14:textFill>
                  <w14:solidFill>
                    <w14:schemeClr w14:val="tx1"/>
                  </w14:solidFill>
                </w14:textFill>
              </w:rPr>
              <w:t>采购预算</w:t>
            </w:r>
            <w:r>
              <w:rPr>
                <w:rFonts w:hint="eastAsia" w:cs="宋体" w:asciiTheme="minorEastAsia" w:hAnsiTheme="minorEastAsia" w:eastAsiaTheme="minorEastAsia"/>
                <w:color w:val="000000" w:themeColor="text1"/>
                <w:sz w:val="21"/>
                <w:szCs w:val="21"/>
                <w:highlight w:val="none"/>
                <w:lang w:val="zh-CN"/>
                <w14:textFill>
                  <w14:solidFill>
                    <w14:schemeClr w14:val="tx1"/>
                  </w14:solidFill>
                </w14:textFill>
              </w:rPr>
              <w:t>：人民币</w:t>
            </w:r>
            <w:r>
              <w:rPr>
                <w:rFonts w:hint="eastAsia" w:cs="宋体" w:asciiTheme="minorEastAsia" w:hAnsiTheme="minorEastAsia" w:eastAsiaTheme="minorEastAsia"/>
                <w:color w:val="000000" w:themeColor="text1"/>
                <w:sz w:val="21"/>
                <w:szCs w:val="21"/>
                <w:highlight w:val="none"/>
                <w:lang w:val="en-US" w:eastAsia="zh-CN"/>
                <w14:textFill>
                  <w14:solidFill>
                    <w14:schemeClr w14:val="tx1"/>
                  </w14:solidFill>
                </w14:textFill>
              </w:rPr>
              <w:t>98000.00</w:t>
            </w:r>
            <w:r>
              <w:rPr>
                <w:rFonts w:hint="eastAsia" w:cs="宋体" w:asciiTheme="minorEastAsia" w:hAnsiTheme="minorEastAsia" w:eastAsiaTheme="minorEastAsia"/>
                <w:color w:val="000000" w:themeColor="text1"/>
                <w:sz w:val="21"/>
                <w:szCs w:val="21"/>
                <w:highlight w:val="none"/>
                <w:lang w:val="zh-CN"/>
                <w14:textFill>
                  <w14:solidFill>
                    <w14:schemeClr w14:val="tx1"/>
                  </w14:solidFill>
                </w14:textFill>
              </w:rPr>
              <w:t>元</w:t>
            </w:r>
            <w:r>
              <w:rPr>
                <w:rFonts w:hint="eastAsia" w:cs="宋体" w:asciiTheme="minorEastAsia" w:hAnsiTheme="minorEastAsia" w:eastAsiaTheme="minorEastAsia"/>
                <w:color w:val="000000" w:themeColor="text1"/>
                <w:sz w:val="21"/>
                <w:szCs w:val="21"/>
                <w:highlight w:val="none"/>
                <w:lang w:val="en-US" w:eastAsia="zh-CN"/>
                <w14:textFill>
                  <w14:solidFill>
                    <w14:schemeClr w14:val="tx1"/>
                  </w14:solidFill>
                </w14:textFill>
              </w:rPr>
              <w:t>。</w:t>
            </w:r>
          </w:p>
          <w:p w14:paraId="5E2033E8">
            <w:pPr>
              <w:pStyle w:val="26"/>
              <w:spacing w:line="360" w:lineRule="auto"/>
              <w:jc w:val="left"/>
              <w:rPr>
                <w:rFonts w:hint="eastAsia" w:cs="宋体" w:asciiTheme="minorEastAsia" w:hAnsiTheme="minorEastAsia" w:eastAsiaTheme="minorEastAsia"/>
                <w:color w:val="000000" w:themeColor="text1"/>
                <w:sz w:val="21"/>
                <w:szCs w:val="21"/>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1"/>
                <w:szCs w:val="21"/>
                <w:highlight w:val="none"/>
                <w:lang w:val="zh-CN" w:eastAsia="zh-CN"/>
                <w14:textFill>
                  <w14:solidFill>
                    <w14:schemeClr w14:val="tx1"/>
                  </w14:solidFill>
                </w14:textFill>
              </w:rPr>
              <w:t>注：</w:t>
            </w:r>
            <w:r>
              <w:rPr>
                <w:rFonts w:hint="eastAsia" w:cs="宋体" w:asciiTheme="minorEastAsia" w:hAnsiTheme="minorEastAsia" w:eastAsiaTheme="minorEastAsia"/>
                <w:color w:val="000000" w:themeColor="text1"/>
                <w:sz w:val="21"/>
                <w:szCs w:val="21"/>
                <w:highlight w:val="none"/>
                <w:lang w:val="zh-CN"/>
                <w14:textFill>
                  <w14:solidFill>
                    <w14:schemeClr w14:val="tx1"/>
                  </w14:solidFill>
                </w14:textFill>
              </w:rPr>
              <w:t>报价超过</w:t>
            </w:r>
            <w:r>
              <w:rPr>
                <w:rFonts w:hint="eastAsia" w:cs="宋体" w:asciiTheme="minorEastAsia" w:hAnsiTheme="minorEastAsia" w:eastAsiaTheme="minorEastAsia"/>
                <w:color w:val="000000" w:themeColor="text1"/>
                <w:sz w:val="21"/>
                <w:szCs w:val="21"/>
                <w:highlight w:val="none"/>
                <w:lang w:val="en-US" w:eastAsia="zh-CN"/>
                <w14:textFill>
                  <w14:solidFill>
                    <w14:schemeClr w14:val="tx1"/>
                  </w14:solidFill>
                </w14:textFill>
              </w:rPr>
              <w:t>采购预算</w:t>
            </w:r>
            <w:r>
              <w:rPr>
                <w:rFonts w:hint="eastAsia" w:cs="宋体" w:asciiTheme="minorEastAsia" w:hAnsiTheme="minorEastAsia" w:eastAsiaTheme="minorEastAsia"/>
                <w:color w:val="000000" w:themeColor="text1"/>
                <w:sz w:val="21"/>
                <w:szCs w:val="21"/>
                <w:highlight w:val="none"/>
                <w:lang w:val="zh-CN"/>
                <w14:textFill>
                  <w14:solidFill>
                    <w14:schemeClr w14:val="tx1"/>
                  </w14:solidFill>
                </w14:textFill>
              </w:rPr>
              <w:t>为无效报价，其响应文件按无效处理。</w:t>
            </w:r>
          </w:p>
        </w:tc>
      </w:tr>
      <w:tr w14:paraId="1F1D6D6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9" w:type="dxa"/>
            <w:vAlign w:val="center"/>
          </w:tcPr>
          <w:p w14:paraId="15F55522">
            <w:pPr>
              <w:pStyle w:val="26"/>
              <w:spacing w:line="360" w:lineRule="auto"/>
              <w:jc w:val="center"/>
              <w:rPr>
                <w:rFonts w:cs="Courier New" w:asciiTheme="minorEastAsia" w:hAnsiTheme="minorEastAsia" w:eastAsiaTheme="minorEastAsia"/>
                <w:color w:val="000000" w:themeColor="text1"/>
                <w:sz w:val="21"/>
                <w:szCs w:val="21"/>
                <w:highlight w:val="none"/>
                <w:lang w:val="zh-CN"/>
                <w14:textFill>
                  <w14:solidFill>
                    <w14:schemeClr w14:val="tx1"/>
                  </w14:solidFill>
                </w14:textFill>
              </w:rPr>
            </w:pPr>
            <w:r>
              <w:rPr>
                <w:rFonts w:cs="Courier New" w:asciiTheme="minorEastAsia" w:hAnsiTheme="minorEastAsia" w:eastAsiaTheme="minorEastAsia"/>
                <w:color w:val="000000" w:themeColor="text1"/>
                <w:sz w:val="21"/>
                <w:szCs w:val="21"/>
                <w:highlight w:val="none"/>
                <w:lang w:val="zh-CN"/>
                <w14:textFill>
                  <w14:solidFill>
                    <w14:schemeClr w14:val="tx1"/>
                  </w14:solidFill>
                </w14:textFill>
              </w:rPr>
              <w:t>2</w:t>
            </w:r>
          </w:p>
        </w:tc>
        <w:tc>
          <w:tcPr>
            <w:tcW w:w="1973" w:type="dxa"/>
            <w:vAlign w:val="center"/>
          </w:tcPr>
          <w:p w14:paraId="2AD88AF2">
            <w:pPr>
              <w:pStyle w:val="26"/>
              <w:spacing w:line="360" w:lineRule="auto"/>
              <w:jc w:val="center"/>
              <w:rPr>
                <w:rFonts w:asciiTheme="minorEastAsia" w:hAnsiTheme="minorEastAsia" w:eastAsia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zh-CN"/>
                <w14:textFill>
                  <w14:solidFill>
                    <w14:schemeClr w14:val="tx1"/>
                  </w14:solidFill>
                </w14:textFill>
              </w:rPr>
              <w:t>最高限价</w:t>
            </w:r>
          </w:p>
          <w:p w14:paraId="1565F024">
            <w:pPr>
              <w:pStyle w:val="26"/>
              <w:spacing w:line="360" w:lineRule="auto"/>
              <w:jc w:val="center"/>
              <w:rPr>
                <w:rFonts w:asciiTheme="minorEastAsia" w:hAnsiTheme="minorEastAsia" w:eastAsia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zh-CN"/>
                <w14:textFill>
                  <w14:solidFill>
                    <w14:schemeClr w14:val="tx1"/>
                  </w14:solidFill>
                </w14:textFill>
              </w:rPr>
              <w:t>（实质性要求）</w:t>
            </w:r>
          </w:p>
        </w:tc>
        <w:tc>
          <w:tcPr>
            <w:tcW w:w="6694" w:type="dxa"/>
            <w:vAlign w:val="center"/>
          </w:tcPr>
          <w:p w14:paraId="39ED5FA5">
            <w:pPr>
              <w:pStyle w:val="26"/>
              <w:spacing w:line="360" w:lineRule="auto"/>
              <w:jc w:val="left"/>
              <w:rPr>
                <w:rFonts w:hint="eastAsia" w:cs="宋体" w:asciiTheme="minorEastAsia" w:hAnsiTheme="minorEastAsia" w:eastAsiaTheme="minorEastAsia"/>
                <w:color w:val="000000" w:themeColor="text1"/>
                <w:sz w:val="21"/>
                <w:szCs w:val="21"/>
                <w:highlight w:val="none"/>
                <w:lang w:val="zh-CN" w:eastAsia="zh-CN"/>
                <w14:textFill>
                  <w14:solidFill>
                    <w14:schemeClr w14:val="tx1"/>
                  </w14:solidFill>
                </w14:textFill>
              </w:rPr>
            </w:pPr>
            <w:r>
              <w:rPr>
                <w:rFonts w:hint="eastAsia" w:cs="宋体" w:asciiTheme="minorEastAsia" w:hAnsiTheme="minorEastAsia" w:eastAsiaTheme="minorEastAsia"/>
                <w:color w:val="000000" w:themeColor="text1"/>
                <w:sz w:val="21"/>
                <w:szCs w:val="21"/>
                <w:highlight w:val="none"/>
                <w:lang w:val="zh-CN" w:eastAsia="zh-CN"/>
                <w14:textFill>
                  <w14:solidFill>
                    <w14:schemeClr w14:val="tx1"/>
                  </w14:solidFill>
                </w14:textFill>
              </w:rPr>
              <w:t>最高限价</w:t>
            </w:r>
            <w:r>
              <w:rPr>
                <w:rFonts w:hint="eastAsia" w:cs="宋体" w:asciiTheme="minorEastAsia" w:hAnsiTheme="minorEastAsia" w:eastAsiaTheme="minorEastAsia"/>
                <w:color w:val="000000" w:themeColor="text1"/>
                <w:sz w:val="21"/>
                <w:szCs w:val="21"/>
                <w:highlight w:val="none"/>
                <w:lang w:val="zh-CN"/>
                <w14:textFill>
                  <w14:solidFill>
                    <w14:schemeClr w14:val="tx1"/>
                  </w14:solidFill>
                </w14:textFill>
              </w:rPr>
              <w:t>：人民币</w:t>
            </w:r>
            <w:r>
              <w:rPr>
                <w:rFonts w:hint="eastAsia" w:cs="宋体" w:asciiTheme="minorEastAsia" w:hAnsiTheme="minorEastAsia" w:eastAsiaTheme="minorEastAsia"/>
                <w:color w:val="000000" w:themeColor="text1"/>
                <w:sz w:val="21"/>
                <w:szCs w:val="21"/>
                <w:highlight w:val="none"/>
                <w:lang w:val="en-US" w:eastAsia="zh-CN"/>
                <w14:textFill>
                  <w14:solidFill>
                    <w14:schemeClr w14:val="tx1"/>
                  </w14:solidFill>
                </w14:textFill>
              </w:rPr>
              <w:t>97570.31</w:t>
            </w:r>
            <w:r>
              <w:rPr>
                <w:rFonts w:hint="eastAsia" w:cs="宋体" w:asciiTheme="minorEastAsia" w:hAnsiTheme="minorEastAsia" w:eastAsiaTheme="minorEastAsia"/>
                <w:color w:val="000000" w:themeColor="text1"/>
                <w:sz w:val="21"/>
                <w:szCs w:val="21"/>
                <w:highlight w:val="none"/>
                <w:lang w:val="zh-CN"/>
                <w14:textFill>
                  <w14:solidFill>
                    <w14:schemeClr w14:val="tx1"/>
                  </w14:solidFill>
                </w14:textFill>
              </w:rPr>
              <w:t>元</w:t>
            </w:r>
            <w:r>
              <w:rPr>
                <w:rFonts w:hint="eastAsia" w:cs="宋体" w:asciiTheme="minorEastAsia" w:hAnsiTheme="minorEastAsia" w:eastAsiaTheme="minorEastAsia"/>
                <w:color w:val="000000" w:themeColor="text1"/>
                <w:sz w:val="21"/>
                <w:szCs w:val="21"/>
                <w:highlight w:val="none"/>
                <w:lang w:val="en-US" w:eastAsia="zh-CN"/>
                <w14:textFill>
                  <w14:solidFill>
                    <w14:schemeClr w14:val="tx1"/>
                  </w14:solidFill>
                </w14:textFill>
              </w:rPr>
              <w:t>。</w:t>
            </w:r>
          </w:p>
          <w:p w14:paraId="124AAF7E">
            <w:pPr>
              <w:pStyle w:val="26"/>
              <w:spacing w:line="360" w:lineRule="auto"/>
              <w:jc w:val="both"/>
              <w:rPr>
                <w:rFonts w:asciiTheme="minorEastAsia" w:hAnsiTheme="minorEastAsia" w:eastAsiaTheme="minorEastAsia"/>
                <w:color w:val="000000" w:themeColor="text1"/>
                <w:sz w:val="21"/>
                <w:szCs w:val="21"/>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1"/>
                <w:szCs w:val="21"/>
                <w:highlight w:val="none"/>
                <w:lang w:val="zh-CN" w:eastAsia="zh-CN"/>
                <w14:textFill>
                  <w14:solidFill>
                    <w14:schemeClr w14:val="tx1"/>
                  </w14:solidFill>
                </w14:textFill>
              </w:rPr>
              <w:t>注：</w:t>
            </w:r>
            <w:r>
              <w:rPr>
                <w:rFonts w:hint="eastAsia" w:cs="宋体" w:asciiTheme="minorEastAsia" w:hAnsiTheme="minorEastAsia" w:eastAsiaTheme="minorEastAsia"/>
                <w:color w:val="000000" w:themeColor="text1"/>
                <w:sz w:val="21"/>
                <w:szCs w:val="21"/>
                <w:highlight w:val="none"/>
                <w:lang w:val="zh-CN"/>
                <w14:textFill>
                  <w14:solidFill>
                    <w14:schemeClr w14:val="tx1"/>
                  </w14:solidFill>
                </w14:textFill>
              </w:rPr>
              <w:t>报价超过最高限价为无效报价，其响应文件按无效处理。</w:t>
            </w:r>
          </w:p>
        </w:tc>
      </w:tr>
      <w:tr w14:paraId="3143532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9" w:type="dxa"/>
            <w:vAlign w:val="center"/>
          </w:tcPr>
          <w:p w14:paraId="39931C1F">
            <w:pPr>
              <w:pStyle w:val="26"/>
              <w:spacing w:line="360" w:lineRule="auto"/>
              <w:jc w:val="center"/>
              <w:rPr>
                <w:rFonts w:cs="Courier New" w:asciiTheme="minorEastAsia" w:hAnsiTheme="minorEastAsia" w:eastAsiaTheme="minorEastAsia"/>
                <w:color w:val="000000" w:themeColor="text1"/>
                <w:sz w:val="21"/>
                <w:szCs w:val="21"/>
                <w:highlight w:val="none"/>
                <w14:textFill>
                  <w14:solidFill>
                    <w14:schemeClr w14:val="tx1"/>
                  </w14:solidFill>
                </w14:textFill>
              </w:rPr>
            </w:pPr>
            <w:r>
              <w:rPr>
                <w:rFonts w:cs="Courier New" w:asciiTheme="minorEastAsia" w:hAnsiTheme="minorEastAsia" w:eastAsiaTheme="minorEastAsia"/>
                <w:color w:val="000000" w:themeColor="text1"/>
                <w:sz w:val="21"/>
                <w:szCs w:val="21"/>
                <w:highlight w:val="none"/>
                <w14:textFill>
                  <w14:solidFill>
                    <w14:schemeClr w14:val="tx1"/>
                  </w14:solidFill>
                </w14:textFill>
              </w:rPr>
              <w:t>3</w:t>
            </w:r>
          </w:p>
        </w:tc>
        <w:tc>
          <w:tcPr>
            <w:tcW w:w="1973" w:type="dxa"/>
            <w:vAlign w:val="center"/>
          </w:tcPr>
          <w:p w14:paraId="2FE68114">
            <w:pPr>
              <w:pStyle w:val="26"/>
              <w:spacing w:line="360" w:lineRule="auto"/>
              <w:jc w:val="center"/>
              <w:rPr>
                <w:rFonts w:hint="eastAsia" w:cs="宋体" w:asciiTheme="minorEastAsia" w:hAnsiTheme="minorEastAsia" w:eastAsiaTheme="minorEastAsia"/>
                <w:color w:val="000000" w:themeColor="text1"/>
                <w:kern w:val="0"/>
                <w:sz w:val="21"/>
                <w:szCs w:val="21"/>
                <w:highlight w:val="none"/>
                <w:lang w:val="en-US" w:eastAsia="zh-CN" w:bidi="ar-SA"/>
                <w14:textFill>
                  <w14:solidFill>
                    <w14:schemeClr w14:val="tx1"/>
                  </w14:solidFill>
                </w14:textFill>
              </w:rPr>
            </w:pPr>
            <w:r>
              <w:rPr>
                <w:rFonts w:hint="eastAsia" w:cs="宋体" w:asciiTheme="minorEastAsia" w:hAnsiTheme="minorEastAsia" w:eastAsiaTheme="minorEastAsia"/>
                <w:color w:val="000000" w:themeColor="text1"/>
                <w:kern w:val="0"/>
                <w:sz w:val="21"/>
                <w:szCs w:val="21"/>
                <w:highlight w:val="none"/>
                <w:lang w:val="en-US" w:eastAsia="zh-CN" w:bidi="ar-SA"/>
                <w14:textFill>
                  <w14:solidFill>
                    <w14:schemeClr w14:val="tx1"/>
                  </w14:solidFill>
                </w14:textFill>
              </w:rPr>
              <w:t>低于成本价</w:t>
            </w:r>
          </w:p>
          <w:p w14:paraId="08BF89AD">
            <w:pPr>
              <w:pStyle w:val="26"/>
              <w:spacing w:line="360" w:lineRule="auto"/>
              <w:jc w:val="center"/>
              <w:rPr>
                <w:rFonts w:hint="eastAsia" w:cs="宋体" w:asciiTheme="minorEastAsia" w:hAnsiTheme="minorEastAsia" w:eastAsiaTheme="minorEastAsia"/>
                <w:color w:val="000000" w:themeColor="text1"/>
                <w:kern w:val="0"/>
                <w:sz w:val="21"/>
                <w:szCs w:val="21"/>
                <w:highlight w:val="none"/>
                <w:lang w:val="en-US" w:eastAsia="zh-CN" w:bidi="ar-SA"/>
                <w14:textFill>
                  <w14:solidFill>
                    <w14:schemeClr w14:val="tx1"/>
                  </w14:solidFill>
                </w14:textFill>
              </w:rPr>
            </w:pPr>
            <w:r>
              <w:rPr>
                <w:rFonts w:hint="eastAsia" w:cs="宋体" w:asciiTheme="minorEastAsia" w:hAnsiTheme="minorEastAsia" w:eastAsiaTheme="minorEastAsia"/>
                <w:color w:val="000000" w:themeColor="text1"/>
                <w:kern w:val="0"/>
                <w:sz w:val="21"/>
                <w:szCs w:val="21"/>
                <w:highlight w:val="none"/>
                <w:lang w:val="en-US" w:eastAsia="zh-CN" w:bidi="ar-SA"/>
                <w14:textFill>
                  <w14:solidFill>
                    <w14:schemeClr w14:val="tx1"/>
                  </w14:solidFill>
                </w14:textFill>
              </w:rPr>
              <w:t>不正当竞争预防措施</w:t>
            </w:r>
          </w:p>
          <w:p w14:paraId="3562710E">
            <w:pPr>
              <w:pStyle w:val="26"/>
              <w:spacing w:line="360" w:lineRule="auto"/>
              <w:jc w:val="center"/>
              <w:rPr>
                <w:rFonts w:hint="eastAsia" w:cs="宋体" w:asciiTheme="minorEastAsia" w:hAnsiTheme="minorEastAsia" w:eastAsiaTheme="minorEastAsia"/>
                <w:color w:val="000000" w:themeColor="text1"/>
                <w:kern w:val="0"/>
                <w:sz w:val="21"/>
                <w:szCs w:val="21"/>
                <w:highlight w:val="none"/>
                <w:lang w:val="en-US" w:eastAsia="zh-CN" w:bidi="ar-SA"/>
                <w14:textFill>
                  <w14:solidFill>
                    <w14:schemeClr w14:val="tx1"/>
                  </w14:solidFill>
                </w14:textFill>
              </w:rPr>
            </w:pPr>
            <w:r>
              <w:rPr>
                <w:rFonts w:hint="eastAsia" w:cs="宋体" w:asciiTheme="minorEastAsia" w:hAnsiTheme="minorEastAsia" w:eastAsiaTheme="minorEastAsia"/>
                <w:color w:val="000000" w:themeColor="text1"/>
                <w:kern w:val="0"/>
                <w:sz w:val="21"/>
                <w:szCs w:val="21"/>
                <w:highlight w:val="none"/>
                <w:lang w:val="en-US" w:eastAsia="zh-CN" w:bidi="ar-SA"/>
                <w14:textFill>
                  <w14:solidFill>
                    <w14:schemeClr w14:val="tx1"/>
                  </w14:solidFill>
                </w14:textFill>
              </w:rPr>
              <w:t>（实质性要求）</w:t>
            </w:r>
          </w:p>
        </w:tc>
        <w:tc>
          <w:tcPr>
            <w:tcW w:w="6694" w:type="dxa"/>
            <w:vAlign w:val="center"/>
          </w:tcPr>
          <w:p w14:paraId="28A91A31">
            <w:pPr>
              <w:pStyle w:val="26"/>
              <w:spacing w:line="360" w:lineRule="auto"/>
              <w:rPr>
                <w:rFonts w:hint="eastAsia" w:cs="宋体" w:asciiTheme="minorEastAsia" w:hAnsiTheme="minorEastAsia" w:eastAsiaTheme="minorEastAsia"/>
                <w:color w:val="000000" w:themeColor="text1"/>
                <w:sz w:val="21"/>
                <w:szCs w:val="21"/>
                <w:highlight w:val="none"/>
                <w:lang w:val="en-US" w:eastAsia="zh-CN"/>
                <w14:textFill>
                  <w14:solidFill>
                    <w14:schemeClr w14:val="tx1"/>
                  </w14:solidFill>
                </w14:textFill>
              </w:rPr>
            </w:pPr>
            <w:bookmarkStart w:id="13" w:name="PO_默认文件内容_111"/>
            <w:r>
              <w:rPr>
                <w:rFonts w:hint="eastAsia" w:cs="宋体" w:asciiTheme="minorEastAsia" w:hAnsiTheme="minorEastAsia" w:eastAsiaTheme="minorEastAsia"/>
                <w:color w:val="000000" w:themeColor="text1"/>
                <w:sz w:val="21"/>
                <w:szCs w:val="21"/>
                <w:highlight w:val="none"/>
                <w:lang w:val="en-US" w:eastAsia="zh-CN"/>
                <w14:textFill>
                  <w14:solidFill>
                    <w14:schemeClr w14:val="tx1"/>
                  </w14:solidFill>
                </w14:textFill>
              </w:rPr>
              <w:t>1、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3"/>
            <w:r>
              <w:rPr>
                <w:rFonts w:hint="eastAsia" w:cs="宋体" w:asciiTheme="minorEastAsia" w:hAnsiTheme="minorEastAsia" w:eastAsiaTheme="minorEastAsia"/>
                <w:color w:val="000000" w:themeColor="text1"/>
                <w:sz w:val="21"/>
                <w:szCs w:val="21"/>
                <w:highlight w:val="none"/>
                <w:lang w:val="en-US" w:eastAsia="zh-CN"/>
                <w14:textFill>
                  <w14:solidFill>
                    <w14:schemeClr w14:val="tx1"/>
                  </w14:solidFill>
                </w14:textFill>
              </w:rPr>
              <w:t>（</w:t>
            </w:r>
            <w:r>
              <w:rPr>
                <w:rFonts w:hint="eastAsia" w:cs="宋体" w:asciiTheme="minorEastAsia" w:hAnsiTheme="minorEastAsia" w:eastAsiaTheme="minorEastAsia"/>
                <w:color w:val="000000" w:themeColor="text1"/>
                <w:sz w:val="21"/>
                <w:szCs w:val="21"/>
                <w:highlight w:val="none"/>
                <w:lang w:val="zh-CN" w:eastAsia="zh-CN"/>
                <w14:textFill>
                  <w14:solidFill>
                    <w14:schemeClr w14:val="tx1"/>
                  </w14:solidFill>
                </w14:textFill>
              </w:rPr>
              <w:t>供应商报价低于最高限价85%或者低于其他有效供应商报价算术平均价90%的，评审委员会可以认为该供应商“报价明显低于其他实质性响应的供应商报价</w:t>
            </w:r>
            <w:r>
              <w:rPr>
                <w:rFonts w:hint="eastAsia" w:cs="宋体" w:asciiTheme="minorEastAsia" w:hAnsiTheme="minorEastAsia" w:eastAsiaTheme="minorEastAsia"/>
                <w:color w:val="000000" w:themeColor="text1"/>
                <w:sz w:val="21"/>
                <w:szCs w:val="21"/>
                <w:highlight w:val="none"/>
                <w:lang w:val="en-US" w:eastAsia="zh-CN"/>
                <w14:textFill>
                  <w14:solidFill>
                    <w14:schemeClr w14:val="tx1"/>
                  </w14:solidFill>
                </w14:textFill>
              </w:rPr>
              <w:t>）。</w:t>
            </w:r>
          </w:p>
          <w:p w14:paraId="34722286">
            <w:pPr>
              <w:pStyle w:val="26"/>
              <w:spacing w:line="360" w:lineRule="auto"/>
              <w:rPr>
                <w:rFonts w:hint="eastAsia" w:cs="宋体" w:asciiTheme="minorEastAsia" w:hAnsiTheme="minorEastAsia" w:eastAsiaTheme="minorEastAsia"/>
                <w:color w:val="000000" w:themeColor="text1"/>
                <w:sz w:val="21"/>
                <w:szCs w:val="21"/>
                <w:highlight w:val="none"/>
                <w:lang w:val="zh-CN" w:eastAsia="zh-CN"/>
                <w14:textFill>
                  <w14:solidFill>
                    <w14:schemeClr w14:val="tx1"/>
                  </w14:solidFill>
                </w14:textFill>
              </w:rPr>
            </w:pPr>
            <w:r>
              <w:rPr>
                <w:rFonts w:hint="eastAsia" w:cs="宋体" w:asciiTheme="minorEastAsia" w:hAnsiTheme="minorEastAsia" w:eastAsiaTheme="minorEastAsia"/>
                <w:color w:val="000000" w:themeColor="text1"/>
                <w:sz w:val="21"/>
                <w:szCs w:val="21"/>
                <w:highlight w:val="none"/>
                <w:lang w:val="zh-CN" w:eastAsia="zh-CN"/>
                <w14:textFill>
                  <w14:solidFill>
                    <w14:schemeClr w14:val="tx1"/>
                  </w14:solidFill>
                </w14:textFill>
              </w:rPr>
              <w:t>2、供应商书面说明应当签字确认或者加盖公章，否则无效。书面说明应由其法定代表人/主要负责人或者其授权代表签字确认。</w:t>
            </w:r>
          </w:p>
          <w:p w14:paraId="0670F1FA">
            <w:pPr>
              <w:pStyle w:val="26"/>
              <w:spacing w:line="360" w:lineRule="auto"/>
              <w:rPr>
                <w:rFonts w:hint="eastAsia" w:cs="宋体" w:asciiTheme="minorEastAsia" w:hAnsiTheme="minorEastAsia" w:eastAsiaTheme="minorEastAsia"/>
                <w:color w:val="000000" w:themeColor="text1"/>
                <w:kern w:val="0"/>
                <w:sz w:val="21"/>
                <w:szCs w:val="21"/>
                <w:highlight w:val="none"/>
                <w:lang w:val="en-US" w:eastAsia="zh-CN" w:bidi="ar-SA"/>
                <w14:textFill>
                  <w14:solidFill>
                    <w14:schemeClr w14:val="tx1"/>
                  </w14:solidFill>
                </w14:textFill>
              </w:rPr>
            </w:pPr>
            <w:r>
              <w:rPr>
                <w:rFonts w:hint="eastAsia" w:cs="宋体" w:asciiTheme="minorEastAsia" w:hAnsiTheme="minorEastAsia" w:eastAsiaTheme="minorEastAsia"/>
                <w:color w:val="000000" w:themeColor="text1"/>
                <w:sz w:val="21"/>
                <w:szCs w:val="21"/>
                <w:highlight w:val="none"/>
                <w:lang w:val="zh-CN" w:eastAsia="zh-CN"/>
                <w14:textFill>
                  <w14:solidFill>
                    <w14:schemeClr w14:val="tx1"/>
                  </w14:solidFill>
                </w14:textFill>
              </w:rPr>
              <w:t>3、供应商提供书面说明后，评审委员会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评审委员会应当将其响应文件作为无效处理。</w:t>
            </w:r>
          </w:p>
        </w:tc>
      </w:tr>
      <w:tr w14:paraId="16C57FA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9" w:type="dxa"/>
            <w:vAlign w:val="center"/>
          </w:tcPr>
          <w:p w14:paraId="2D5F7BC6">
            <w:pPr>
              <w:pStyle w:val="26"/>
              <w:spacing w:line="360" w:lineRule="auto"/>
              <w:jc w:val="center"/>
              <w:rPr>
                <w:rFonts w:cs="Courier New" w:asciiTheme="minorEastAsia" w:hAnsiTheme="minorEastAsia" w:eastAsiaTheme="minorEastAsia"/>
                <w:color w:val="000000" w:themeColor="text1"/>
                <w:sz w:val="21"/>
                <w:szCs w:val="21"/>
                <w:highlight w:val="none"/>
                <w14:textFill>
                  <w14:solidFill>
                    <w14:schemeClr w14:val="tx1"/>
                  </w14:solidFill>
                </w14:textFill>
              </w:rPr>
            </w:pPr>
            <w:r>
              <w:rPr>
                <w:rFonts w:cs="Courier New" w:asciiTheme="minorEastAsia" w:hAnsiTheme="minorEastAsia" w:eastAsiaTheme="minorEastAsia"/>
                <w:color w:val="000000" w:themeColor="text1"/>
                <w:sz w:val="21"/>
                <w:szCs w:val="21"/>
                <w:highlight w:val="none"/>
                <w14:textFill>
                  <w14:solidFill>
                    <w14:schemeClr w14:val="tx1"/>
                  </w14:solidFill>
                </w14:textFill>
              </w:rPr>
              <w:t>4</w:t>
            </w:r>
          </w:p>
        </w:tc>
        <w:tc>
          <w:tcPr>
            <w:tcW w:w="1973" w:type="dxa"/>
            <w:vAlign w:val="center"/>
          </w:tcPr>
          <w:p w14:paraId="7CD49B69">
            <w:pPr>
              <w:pStyle w:val="26"/>
              <w:spacing w:line="360" w:lineRule="auto"/>
              <w:jc w:val="center"/>
              <w:rPr>
                <w:rFonts w:asciiTheme="minorEastAsia" w:hAnsiTheme="minorEastAsia" w:eastAsia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zh-CN"/>
                <w14:textFill>
                  <w14:solidFill>
                    <w14:schemeClr w14:val="tx1"/>
                  </w14:solidFill>
                </w14:textFill>
              </w:rPr>
              <w:t>磋商</w:t>
            </w: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结果</w:t>
            </w:r>
            <w:r>
              <w:rPr>
                <w:rFonts w:hint="eastAsia" w:asciiTheme="minorEastAsia" w:hAnsiTheme="minorEastAsia" w:eastAsiaTheme="minorEastAsia"/>
                <w:color w:val="000000" w:themeColor="text1"/>
                <w:sz w:val="21"/>
                <w:szCs w:val="21"/>
                <w:highlight w:val="none"/>
                <w:lang w:val="zh-CN"/>
                <w14:textFill>
                  <w14:solidFill>
                    <w14:schemeClr w14:val="tx1"/>
                  </w14:solidFill>
                </w14:textFill>
              </w:rPr>
              <w:t>公告</w:t>
            </w:r>
          </w:p>
        </w:tc>
        <w:tc>
          <w:tcPr>
            <w:tcW w:w="6694" w:type="dxa"/>
            <w:vAlign w:val="center"/>
          </w:tcPr>
          <w:p w14:paraId="2CB98E62">
            <w:pPr>
              <w:pStyle w:val="26"/>
              <w:spacing w:line="360" w:lineRule="auto"/>
              <w:jc w:val="both"/>
              <w:rPr>
                <w:rFonts w:asciiTheme="minorEastAsia" w:hAnsiTheme="minorEastAsia" w:eastAsiaTheme="minorEastAsia"/>
                <w:color w:val="000000" w:themeColor="text1"/>
                <w:sz w:val="21"/>
                <w:szCs w:val="21"/>
                <w:highlight w:val="none"/>
                <w:lang w:val="zh-CN"/>
                <w14:textFill>
                  <w14:solidFill>
                    <w14:schemeClr w14:val="tx1"/>
                  </w14:solidFill>
                </w14:textFill>
              </w:rPr>
            </w:pPr>
            <w:bookmarkStart w:id="14" w:name="PO_默认文件内容_15"/>
            <w:r>
              <w:rPr>
                <w:rFonts w:hint="eastAsia" w:asciiTheme="minorEastAsia" w:hAnsiTheme="minorEastAsia" w:eastAsiaTheme="minorEastAsia"/>
                <w:color w:val="000000" w:themeColor="text1"/>
                <w:sz w:val="21"/>
                <w:szCs w:val="21"/>
                <w:highlight w:val="none"/>
                <w:lang w:val="zh-CN"/>
                <w14:textFill>
                  <w14:solidFill>
                    <w14:schemeClr w14:val="tx1"/>
                  </w14:solidFill>
                </w14:textFill>
              </w:rPr>
              <w:t>供应商磋商结果等</w:t>
            </w: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信息</w:t>
            </w:r>
            <w:r>
              <w:rPr>
                <w:rFonts w:hint="eastAsia" w:asciiTheme="minorEastAsia" w:hAnsiTheme="minorEastAsia" w:eastAsiaTheme="minorEastAsia"/>
                <w:color w:val="000000" w:themeColor="text1"/>
                <w:sz w:val="21"/>
                <w:szCs w:val="21"/>
                <w:highlight w:val="none"/>
                <w:lang w:val="zh-CN"/>
                <w14:textFill>
                  <w14:solidFill>
                    <w14:schemeClr w14:val="tx1"/>
                  </w14:solidFill>
                </w14:textFill>
              </w:rPr>
              <w:t>在</w:t>
            </w: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金堂县第一人民医院官网</w:t>
            </w:r>
            <w:r>
              <w:rPr>
                <w:rFonts w:hint="eastAsia" w:asciiTheme="minorEastAsia" w:hAnsiTheme="minorEastAsia" w:eastAsiaTheme="minorEastAsia"/>
                <w:color w:val="000000" w:themeColor="text1"/>
                <w:sz w:val="21"/>
                <w:szCs w:val="21"/>
                <w:highlight w:val="none"/>
                <w:lang w:val="zh-CN"/>
                <w14:textFill>
                  <w14:solidFill>
                    <w14:schemeClr w14:val="tx1"/>
                  </w14:solidFill>
                </w14:textFill>
              </w:rPr>
              <w:t>上中予以公告。</w:t>
            </w:r>
            <w:bookmarkEnd w:id="14"/>
          </w:p>
        </w:tc>
      </w:tr>
      <w:tr w14:paraId="07ED064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839" w:type="dxa"/>
            <w:vAlign w:val="center"/>
          </w:tcPr>
          <w:p w14:paraId="22A95E5E">
            <w:pPr>
              <w:pStyle w:val="26"/>
              <w:spacing w:line="360" w:lineRule="auto"/>
              <w:jc w:val="center"/>
              <w:rPr>
                <w:rFonts w:hint="eastAsia" w:cs="Courier New" w:asciiTheme="minorEastAsia" w:hAnsiTheme="minorEastAsia" w:eastAsiaTheme="minorEastAsia"/>
                <w:color w:val="000000" w:themeColor="text1"/>
                <w:sz w:val="21"/>
                <w:szCs w:val="21"/>
                <w:highlight w:val="none"/>
                <w:lang w:eastAsia="zh-CN"/>
                <w14:textFill>
                  <w14:solidFill>
                    <w14:schemeClr w14:val="tx1"/>
                  </w14:solidFill>
                </w14:textFill>
              </w:rPr>
            </w:pPr>
            <w:r>
              <w:rPr>
                <w:rFonts w:hint="eastAsia" w:cs="Courier New" w:asciiTheme="minorEastAsia" w:hAnsiTheme="minorEastAsia" w:eastAsiaTheme="minorEastAsia"/>
                <w:color w:val="000000" w:themeColor="text1"/>
                <w:sz w:val="21"/>
                <w:szCs w:val="21"/>
                <w:highlight w:val="none"/>
                <w:lang w:val="en-US" w:eastAsia="zh-CN"/>
                <w14:textFill>
                  <w14:solidFill>
                    <w14:schemeClr w14:val="tx1"/>
                  </w14:solidFill>
                </w14:textFill>
              </w:rPr>
              <w:t>5</w:t>
            </w:r>
          </w:p>
        </w:tc>
        <w:tc>
          <w:tcPr>
            <w:tcW w:w="1973" w:type="dxa"/>
            <w:vAlign w:val="center"/>
          </w:tcPr>
          <w:p w14:paraId="55A39B84">
            <w:pPr>
              <w:pStyle w:val="26"/>
              <w:spacing w:line="360" w:lineRule="auto"/>
              <w:jc w:val="center"/>
              <w:rPr>
                <w:rFonts w:asciiTheme="minorEastAsia" w:hAnsiTheme="minorEastAsia" w:eastAsia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zh-CN"/>
                <w14:textFill>
                  <w14:solidFill>
                    <w14:schemeClr w14:val="tx1"/>
                  </w14:solidFill>
                </w14:textFill>
              </w:rPr>
              <w:t>磋商保证金</w:t>
            </w:r>
          </w:p>
        </w:tc>
        <w:tc>
          <w:tcPr>
            <w:tcW w:w="6694" w:type="dxa"/>
            <w:vAlign w:val="center"/>
          </w:tcPr>
          <w:p w14:paraId="60E2E0A4">
            <w:pPr>
              <w:pStyle w:val="26"/>
              <w:spacing w:line="360" w:lineRule="auto"/>
              <w:jc w:val="both"/>
              <w:rPr>
                <w:rFonts w:asciiTheme="minorEastAsia" w:hAnsiTheme="minorEastAsia" w:eastAsiaTheme="minorEastAsia"/>
                <w:bCs/>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zh-CN"/>
                <w14:textFill>
                  <w14:solidFill>
                    <w14:schemeClr w14:val="tx1"/>
                  </w14:solidFill>
                </w14:textFill>
              </w:rPr>
              <w:t>不收取</w:t>
            </w:r>
          </w:p>
        </w:tc>
      </w:tr>
      <w:tr w14:paraId="2F1CB82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839" w:type="dxa"/>
            <w:vAlign w:val="center"/>
          </w:tcPr>
          <w:p w14:paraId="525B9182">
            <w:pPr>
              <w:pStyle w:val="26"/>
              <w:spacing w:line="360" w:lineRule="auto"/>
              <w:jc w:val="center"/>
              <w:rPr>
                <w:rFonts w:hint="eastAsia" w:cs="Courier New" w:asciiTheme="minorEastAsia" w:hAnsiTheme="minorEastAsia" w:eastAsiaTheme="minorEastAsia"/>
                <w:color w:val="000000" w:themeColor="text1"/>
                <w:sz w:val="21"/>
                <w:szCs w:val="21"/>
                <w:highlight w:val="none"/>
                <w:lang w:eastAsia="zh-CN"/>
                <w14:textFill>
                  <w14:solidFill>
                    <w14:schemeClr w14:val="tx1"/>
                  </w14:solidFill>
                </w14:textFill>
              </w:rPr>
            </w:pPr>
            <w:r>
              <w:rPr>
                <w:rFonts w:hint="eastAsia" w:cs="Courier New" w:asciiTheme="minorEastAsia" w:hAnsiTheme="minorEastAsia" w:eastAsiaTheme="minorEastAsia"/>
                <w:color w:val="000000" w:themeColor="text1"/>
                <w:sz w:val="21"/>
                <w:szCs w:val="21"/>
                <w:highlight w:val="none"/>
                <w:lang w:val="en-US" w:eastAsia="zh-CN"/>
                <w14:textFill>
                  <w14:solidFill>
                    <w14:schemeClr w14:val="tx1"/>
                  </w14:solidFill>
                </w14:textFill>
              </w:rPr>
              <w:t>6</w:t>
            </w:r>
          </w:p>
        </w:tc>
        <w:tc>
          <w:tcPr>
            <w:tcW w:w="1973" w:type="dxa"/>
            <w:vAlign w:val="center"/>
          </w:tcPr>
          <w:p w14:paraId="01799B69">
            <w:pPr>
              <w:pStyle w:val="26"/>
              <w:spacing w:line="360" w:lineRule="auto"/>
              <w:jc w:val="center"/>
              <w:rPr>
                <w:rFonts w:asciiTheme="minorEastAsia" w:hAnsiTheme="minorEastAsia" w:eastAsia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zh-CN"/>
                <w14:textFill>
                  <w14:solidFill>
                    <w14:schemeClr w14:val="tx1"/>
                  </w14:solidFill>
                </w14:textFill>
              </w:rPr>
              <w:t>履约保证金</w:t>
            </w:r>
          </w:p>
        </w:tc>
        <w:tc>
          <w:tcPr>
            <w:tcW w:w="6694" w:type="dxa"/>
            <w:vAlign w:val="center"/>
          </w:tcPr>
          <w:p w14:paraId="1F24BFE4">
            <w:pPr>
              <w:pStyle w:val="26"/>
              <w:spacing w:line="360" w:lineRule="auto"/>
              <w:jc w:val="both"/>
              <w:rPr>
                <w:rFonts w:hint="eastAsia" w:asciiTheme="minorEastAsia" w:hAnsiTheme="minorEastAsia" w:eastAsia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zh-CN"/>
                <w14:textFill>
                  <w14:solidFill>
                    <w14:schemeClr w14:val="tx1"/>
                  </w14:solidFill>
                </w14:textFill>
              </w:rPr>
              <w:t>不收取</w:t>
            </w:r>
          </w:p>
        </w:tc>
      </w:tr>
      <w:tr w14:paraId="2CE66A1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9" w:type="dxa"/>
            <w:vAlign w:val="center"/>
          </w:tcPr>
          <w:p w14:paraId="32A48975">
            <w:pPr>
              <w:pStyle w:val="26"/>
              <w:spacing w:line="360" w:lineRule="auto"/>
              <w:jc w:val="center"/>
              <w:rPr>
                <w:rFonts w:hint="eastAsia" w:cs="Courier New" w:asciiTheme="minorEastAsia" w:hAnsiTheme="minorEastAsia" w:eastAsiaTheme="minorEastAsia"/>
                <w:color w:val="000000" w:themeColor="text1"/>
                <w:sz w:val="21"/>
                <w:szCs w:val="21"/>
                <w:highlight w:val="none"/>
                <w:lang w:eastAsia="zh-CN"/>
                <w14:textFill>
                  <w14:solidFill>
                    <w14:schemeClr w14:val="tx1"/>
                  </w14:solidFill>
                </w14:textFill>
              </w:rPr>
            </w:pPr>
            <w:r>
              <w:rPr>
                <w:rFonts w:hint="eastAsia" w:cs="Courier New" w:asciiTheme="minorEastAsia" w:hAnsiTheme="minorEastAsia" w:eastAsiaTheme="minorEastAsia"/>
                <w:color w:val="000000" w:themeColor="text1"/>
                <w:sz w:val="21"/>
                <w:szCs w:val="21"/>
                <w:highlight w:val="none"/>
                <w:lang w:val="en-US" w:eastAsia="zh-CN"/>
                <w14:textFill>
                  <w14:solidFill>
                    <w14:schemeClr w14:val="tx1"/>
                  </w14:solidFill>
                </w14:textFill>
              </w:rPr>
              <w:t>7</w:t>
            </w:r>
          </w:p>
        </w:tc>
        <w:tc>
          <w:tcPr>
            <w:tcW w:w="1973" w:type="dxa"/>
            <w:vAlign w:val="center"/>
          </w:tcPr>
          <w:p w14:paraId="192E3D73">
            <w:pPr>
              <w:pStyle w:val="26"/>
              <w:spacing w:line="360" w:lineRule="auto"/>
              <w:jc w:val="center"/>
              <w:rPr>
                <w:rFonts w:asciiTheme="minorEastAsia" w:hAnsiTheme="minorEastAsia" w:eastAsia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zh-CN"/>
                <w14:textFill>
                  <w14:solidFill>
                    <w14:schemeClr w14:val="tx1"/>
                  </w14:solidFill>
                </w14:textFill>
              </w:rPr>
              <w:t>成交通知书领取</w:t>
            </w:r>
          </w:p>
        </w:tc>
        <w:tc>
          <w:tcPr>
            <w:tcW w:w="6694" w:type="dxa"/>
            <w:vAlign w:val="center"/>
          </w:tcPr>
          <w:p w14:paraId="4EFF5178">
            <w:pPr>
              <w:pStyle w:val="26"/>
              <w:spacing w:line="360" w:lineRule="auto"/>
              <w:jc w:val="both"/>
              <w:rPr>
                <w:rFonts w:hint="default" w:cs="宋体" w:asciiTheme="minorEastAsia" w:hAnsiTheme="minorEastAsia" w:eastAsiaTheme="minorEastAsia"/>
                <w:color w:val="000000" w:themeColor="text1"/>
                <w:sz w:val="21"/>
                <w:szCs w:val="21"/>
                <w:highlight w:val="none"/>
                <w:lang w:val="en-US" w:eastAsia="zh-CN"/>
                <w14:textFill>
                  <w14:solidFill>
                    <w14:schemeClr w14:val="tx1"/>
                  </w14:solidFill>
                </w14:textFill>
              </w:rPr>
            </w:pPr>
            <w:bookmarkStart w:id="15" w:name="PO_默认文件内容_18"/>
            <w:r>
              <w:rPr>
                <w:rFonts w:hint="eastAsia" w:cs="宋体" w:asciiTheme="minorEastAsia" w:hAnsiTheme="minorEastAsia" w:eastAsiaTheme="minorEastAsia"/>
                <w:color w:val="000000" w:themeColor="text1"/>
                <w:sz w:val="21"/>
                <w:szCs w:val="21"/>
                <w:highlight w:val="none"/>
                <w:lang w:val="zh-CN"/>
                <w14:textFill>
                  <w14:solidFill>
                    <w14:schemeClr w14:val="tx1"/>
                  </w14:solidFill>
                </w14:textFill>
              </w:rPr>
              <w:t>成交通知书领取：</w:t>
            </w:r>
            <w:r>
              <w:rPr>
                <w:rFonts w:hint="eastAsia" w:cs="宋体" w:asciiTheme="minorEastAsia" w:hAnsiTheme="minorEastAsia" w:eastAsiaTheme="minorEastAsia"/>
                <w:color w:val="000000" w:themeColor="text1"/>
                <w:sz w:val="21"/>
                <w:szCs w:val="21"/>
                <w:highlight w:val="none"/>
                <w:lang w:val="en-US" w:eastAsia="zh-CN"/>
                <w14:textFill>
                  <w14:solidFill>
                    <w14:schemeClr w14:val="tx1"/>
                  </w14:solidFill>
                </w14:textFill>
              </w:rPr>
              <w:t>028-61568611</w:t>
            </w:r>
          </w:p>
          <w:p w14:paraId="4821F712">
            <w:pPr>
              <w:pStyle w:val="26"/>
              <w:spacing w:line="360" w:lineRule="auto"/>
              <w:jc w:val="both"/>
              <w:rPr>
                <w:rFonts w:asciiTheme="minorEastAsia" w:hAnsiTheme="minorEastAsia" w:eastAsiaTheme="minorEastAsia"/>
                <w:color w:val="000000" w:themeColor="text1"/>
                <w:sz w:val="21"/>
                <w:szCs w:val="21"/>
                <w:highlight w:val="none"/>
                <w:lang w:val="zh-CN"/>
                <w14:textFill>
                  <w14:solidFill>
                    <w14:schemeClr w14:val="tx1"/>
                  </w14:solidFill>
                </w14:textFill>
              </w:rPr>
            </w:pPr>
            <w:r>
              <w:rPr>
                <w:rFonts w:hint="eastAsia" w:cs="宋体" w:asciiTheme="minorEastAsia" w:hAnsiTheme="minorEastAsia" w:eastAsiaTheme="minorEastAsia"/>
                <w:color w:val="000000" w:themeColor="text1"/>
                <w:sz w:val="21"/>
                <w:szCs w:val="21"/>
                <w:highlight w:val="none"/>
                <w:lang w:val="zh-CN"/>
                <w14:textFill>
                  <w14:solidFill>
                    <w14:schemeClr w14:val="tx1"/>
                  </w14:solidFill>
                </w14:textFill>
              </w:rPr>
              <w:t>地    址：</w:t>
            </w:r>
            <w:r>
              <w:rPr>
                <w:rFonts w:hint="eastAsia" w:cs="宋体" w:asciiTheme="minorEastAsia" w:hAnsiTheme="minorEastAsia" w:eastAsiaTheme="minorEastAsia"/>
                <w:color w:val="000000" w:themeColor="text1"/>
                <w:sz w:val="21"/>
                <w:szCs w:val="21"/>
                <w:highlight w:val="none"/>
                <w:lang w:val="en-US" w:eastAsia="zh-CN"/>
                <w14:textFill>
                  <w14:solidFill>
                    <w14:schemeClr w14:val="tx1"/>
                  </w14:solidFill>
                </w14:textFill>
              </w:rPr>
              <w:t>金堂县第一人民医院</w:t>
            </w:r>
            <w:bookmarkEnd w:id="15"/>
          </w:p>
        </w:tc>
      </w:tr>
      <w:tr w14:paraId="3808FB4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37" w:hRule="atLeast"/>
          <w:jc w:val="center"/>
        </w:trPr>
        <w:tc>
          <w:tcPr>
            <w:tcW w:w="839" w:type="dxa"/>
            <w:vAlign w:val="center"/>
          </w:tcPr>
          <w:p w14:paraId="4F165194">
            <w:pPr>
              <w:pStyle w:val="26"/>
              <w:spacing w:line="360" w:lineRule="auto"/>
              <w:jc w:val="center"/>
              <w:rPr>
                <w:rFonts w:hint="eastAsia" w:cs="Courier New" w:asciiTheme="minorEastAsia" w:hAnsiTheme="minorEastAsia" w:eastAsiaTheme="minorEastAsia"/>
                <w:color w:val="000000" w:themeColor="text1"/>
                <w:sz w:val="21"/>
                <w:szCs w:val="21"/>
                <w:highlight w:val="none"/>
                <w:lang w:eastAsia="zh-CN"/>
                <w14:textFill>
                  <w14:solidFill>
                    <w14:schemeClr w14:val="tx1"/>
                  </w14:solidFill>
                </w14:textFill>
              </w:rPr>
            </w:pPr>
            <w:r>
              <w:rPr>
                <w:rFonts w:hint="eastAsia" w:cs="Courier New" w:asciiTheme="minorEastAsia" w:hAnsiTheme="minorEastAsia" w:eastAsiaTheme="minorEastAsia"/>
                <w:color w:val="000000" w:themeColor="text1"/>
                <w:sz w:val="21"/>
                <w:szCs w:val="21"/>
                <w:highlight w:val="none"/>
                <w:lang w:val="en-US" w:eastAsia="zh-CN"/>
                <w14:textFill>
                  <w14:solidFill>
                    <w14:schemeClr w14:val="tx1"/>
                  </w14:solidFill>
                </w14:textFill>
              </w:rPr>
              <w:t>8</w:t>
            </w:r>
          </w:p>
        </w:tc>
        <w:tc>
          <w:tcPr>
            <w:tcW w:w="1973" w:type="dxa"/>
            <w:vAlign w:val="center"/>
          </w:tcPr>
          <w:p w14:paraId="5436C862">
            <w:pPr>
              <w:pStyle w:val="26"/>
              <w:spacing w:line="360" w:lineRule="auto"/>
              <w:jc w:val="center"/>
              <w:rPr>
                <w:rFonts w:cs="Courier New" w:asciiTheme="minorEastAsia" w:hAnsiTheme="minorEastAsia" w:eastAsiaTheme="minorEastAsia"/>
                <w:color w:val="000000" w:themeColor="text1"/>
                <w:sz w:val="21"/>
                <w:szCs w:val="21"/>
                <w:highlight w:val="none"/>
                <w:lang w:val="zh-CN"/>
                <w14:textFill>
                  <w14:solidFill>
                    <w14:schemeClr w14:val="tx1"/>
                  </w14:solidFill>
                </w14:textFill>
              </w:rPr>
            </w:pPr>
            <w:r>
              <w:rPr>
                <w:rFonts w:hint="eastAsia" w:cs="Courier New" w:asciiTheme="minorEastAsia" w:hAnsiTheme="minorEastAsia" w:eastAsiaTheme="minorEastAsia"/>
                <w:color w:val="000000" w:themeColor="text1"/>
                <w:sz w:val="21"/>
                <w:szCs w:val="21"/>
                <w:highlight w:val="none"/>
                <w:lang w:val="zh-CN"/>
                <w14:textFill>
                  <w14:solidFill>
                    <w14:schemeClr w14:val="tx1"/>
                  </w14:solidFill>
                </w14:textFill>
              </w:rPr>
              <w:t>供应商询问</w:t>
            </w:r>
          </w:p>
        </w:tc>
        <w:tc>
          <w:tcPr>
            <w:tcW w:w="6694" w:type="dxa"/>
          </w:tcPr>
          <w:p w14:paraId="671797CF">
            <w:pPr>
              <w:pStyle w:val="26"/>
              <w:spacing w:line="360" w:lineRule="auto"/>
              <w:rPr>
                <w:rFonts w:cs="Courier New" w:asciiTheme="minorEastAsia" w:hAnsiTheme="minorEastAsia" w:eastAsiaTheme="minorEastAsia"/>
                <w:color w:val="000000" w:themeColor="text1"/>
                <w:sz w:val="21"/>
                <w:szCs w:val="21"/>
                <w:highlight w:val="none"/>
                <w:lang w:val="zh-CN"/>
                <w14:textFill>
                  <w14:solidFill>
                    <w14:schemeClr w14:val="tx1"/>
                  </w14:solidFill>
                </w14:textFill>
              </w:rPr>
            </w:pPr>
            <w:r>
              <w:rPr>
                <w:rFonts w:hint="eastAsia" w:cs="Courier New" w:asciiTheme="minorEastAsia" w:hAnsiTheme="minorEastAsia" w:eastAsiaTheme="minorEastAsia"/>
                <w:color w:val="000000" w:themeColor="text1"/>
                <w:sz w:val="21"/>
                <w:szCs w:val="21"/>
                <w:highlight w:val="none"/>
                <w:lang w:val="zh-CN"/>
                <w14:textFill>
                  <w14:solidFill>
                    <w14:schemeClr w14:val="tx1"/>
                  </w14:solidFill>
                </w14:textFill>
              </w:rPr>
              <w:t>项目问题询问：</w:t>
            </w:r>
          </w:p>
          <w:p w14:paraId="133865B4">
            <w:pPr>
              <w:pStyle w:val="26"/>
              <w:spacing w:line="360" w:lineRule="auto"/>
              <w:rPr>
                <w:rFonts w:hint="eastAsia" w:cs="Courier New" w:asciiTheme="minorEastAsia" w:hAnsiTheme="minorEastAsia" w:eastAsiaTheme="minorEastAsia"/>
                <w:color w:val="000000" w:themeColor="text1"/>
                <w:sz w:val="21"/>
                <w:szCs w:val="21"/>
                <w:highlight w:val="none"/>
                <w:lang w:eastAsia="zh-CN"/>
                <w14:textFill>
                  <w14:solidFill>
                    <w14:schemeClr w14:val="tx1"/>
                  </w14:solidFill>
                </w14:textFill>
              </w:rPr>
            </w:pPr>
            <w:r>
              <w:rPr>
                <w:rFonts w:hint="eastAsia" w:cs="Courier New" w:asciiTheme="minorEastAsia" w:hAnsiTheme="minorEastAsia" w:eastAsiaTheme="minorEastAsia"/>
                <w:color w:val="000000" w:themeColor="text1"/>
                <w:sz w:val="21"/>
                <w:szCs w:val="21"/>
                <w:highlight w:val="none"/>
                <w:lang w:val="zh-CN"/>
                <w14:textFill>
                  <w14:solidFill>
                    <w14:schemeClr w14:val="tx1"/>
                  </w14:solidFill>
                </w14:textFill>
              </w:rPr>
              <w:t>联系人：</w:t>
            </w:r>
            <w:r>
              <w:rPr>
                <w:rFonts w:hint="eastAsia" w:cs="Courier New" w:asciiTheme="minorEastAsia" w:hAnsiTheme="minorEastAsia" w:eastAsiaTheme="minorEastAsia"/>
                <w:color w:val="000000" w:themeColor="text1"/>
                <w:sz w:val="21"/>
                <w:szCs w:val="21"/>
                <w:highlight w:val="none"/>
                <w:lang w:val="en-US" w:eastAsia="zh-CN"/>
                <w14:textFill>
                  <w14:solidFill>
                    <w14:schemeClr w14:val="tx1"/>
                  </w14:solidFill>
                </w14:textFill>
              </w:rPr>
              <w:t>毛老师</w:t>
            </w:r>
          </w:p>
          <w:p w14:paraId="65AC33D4">
            <w:pPr>
              <w:pStyle w:val="26"/>
              <w:spacing w:line="360" w:lineRule="auto"/>
              <w:rPr>
                <w:rFonts w:cs="Courier New" w:asciiTheme="minorEastAsia" w:hAnsiTheme="minorEastAsia" w:eastAsiaTheme="minorEastAsia"/>
                <w:color w:val="000000" w:themeColor="text1"/>
                <w:sz w:val="21"/>
                <w:szCs w:val="21"/>
                <w:highlight w:val="none"/>
                <w14:textFill>
                  <w14:solidFill>
                    <w14:schemeClr w14:val="tx1"/>
                  </w14:solidFill>
                </w14:textFill>
              </w:rPr>
            </w:pPr>
            <w:r>
              <w:rPr>
                <w:rFonts w:hint="eastAsia" w:cs="Courier New" w:asciiTheme="minorEastAsia" w:hAnsiTheme="minorEastAsia" w:eastAsiaTheme="minorEastAsia"/>
                <w:color w:val="000000" w:themeColor="text1"/>
                <w:sz w:val="21"/>
                <w:szCs w:val="21"/>
                <w:highlight w:val="none"/>
                <w:lang w:val="zh-CN"/>
                <w14:textFill>
                  <w14:solidFill>
                    <w14:schemeClr w14:val="tx1"/>
                  </w14:solidFill>
                </w14:textFill>
              </w:rPr>
              <w:t>联系电话：</w:t>
            </w:r>
            <w:r>
              <w:rPr>
                <w:rFonts w:hint="eastAsia" w:cs="宋体" w:asciiTheme="minorEastAsia" w:hAnsiTheme="minorEastAsia" w:eastAsiaTheme="minorEastAsia"/>
                <w:color w:val="000000" w:themeColor="text1"/>
                <w:sz w:val="21"/>
                <w:szCs w:val="21"/>
                <w:highlight w:val="none"/>
                <w:lang w:val="en-US" w:eastAsia="zh-CN"/>
                <w14:textFill>
                  <w14:solidFill>
                    <w14:schemeClr w14:val="tx1"/>
                  </w14:solidFill>
                </w14:textFill>
              </w:rPr>
              <w:t>028-61568611</w:t>
            </w:r>
          </w:p>
          <w:p w14:paraId="02B5CAB4">
            <w:pPr>
              <w:pStyle w:val="26"/>
              <w:spacing w:line="360" w:lineRule="auto"/>
              <w:ind w:left="420" w:hanging="420" w:hangingChars="200"/>
              <w:rPr>
                <w:rFonts w:hint="default" w:cs="Courier New" w:asciiTheme="minorEastAsia" w:hAnsiTheme="minorEastAsia" w:eastAsiaTheme="minorEastAsia"/>
                <w:color w:val="000000" w:themeColor="text1"/>
                <w:sz w:val="21"/>
                <w:szCs w:val="21"/>
                <w:highlight w:val="none"/>
                <w:lang w:val="en-US"/>
                <w14:textFill>
                  <w14:solidFill>
                    <w14:schemeClr w14:val="tx1"/>
                  </w14:solidFill>
                </w14:textFill>
              </w:rPr>
            </w:pPr>
            <w:r>
              <w:rPr>
                <w:rFonts w:hint="eastAsia" w:cs="Courier New" w:asciiTheme="minorEastAsia" w:hAnsiTheme="minorEastAsia" w:eastAsiaTheme="minorEastAsia"/>
                <w:color w:val="000000" w:themeColor="text1"/>
                <w:sz w:val="21"/>
                <w:szCs w:val="21"/>
                <w:highlight w:val="none"/>
                <w:lang w:val="zh-CN"/>
                <w14:textFill>
                  <w14:solidFill>
                    <w14:schemeClr w14:val="tx1"/>
                  </w14:solidFill>
                </w14:textFill>
              </w:rPr>
              <w:t>联系地址：</w:t>
            </w:r>
            <w:r>
              <w:rPr>
                <w:rFonts w:hint="eastAsia" w:cs="宋体" w:asciiTheme="minorEastAsia" w:hAnsiTheme="minorEastAsia" w:eastAsiaTheme="minorEastAsia"/>
                <w:color w:val="000000" w:themeColor="text1"/>
                <w:sz w:val="21"/>
                <w:szCs w:val="21"/>
                <w:highlight w:val="none"/>
                <w:lang w:val="en-US" w:eastAsia="zh-CN"/>
                <w14:textFill>
                  <w14:solidFill>
                    <w14:schemeClr w14:val="tx1"/>
                  </w14:solidFill>
                </w14:textFill>
              </w:rPr>
              <w:t>金堂县第一人民医院</w:t>
            </w:r>
          </w:p>
        </w:tc>
      </w:tr>
      <w:tr w14:paraId="248BED6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9" w:type="dxa"/>
            <w:vAlign w:val="center"/>
          </w:tcPr>
          <w:p w14:paraId="4CC4C412">
            <w:pPr>
              <w:pStyle w:val="26"/>
              <w:spacing w:line="360" w:lineRule="auto"/>
              <w:jc w:val="center"/>
              <w:rPr>
                <w:rFonts w:hint="eastAsia" w:cs="Courier New" w:asciiTheme="minorEastAsia" w:hAnsiTheme="minorEastAsia" w:eastAsiaTheme="minorEastAsia"/>
                <w:color w:val="000000" w:themeColor="text1"/>
                <w:sz w:val="21"/>
                <w:szCs w:val="21"/>
                <w:highlight w:val="none"/>
                <w:lang w:eastAsia="zh-CN"/>
                <w14:textFill>
                  <w14:solidFill>
                    <w14:schemeClr w14:val="tx1"/>
                  </w14:solidFill>
                </w14:textFill>
              </w:rPr>
            </w:pPr>
            <w:r>
              <w:rPr>
                <w:rFonts w:hint="eastAsia" w:cs="Courier New" w:asciiTheme="minorEastAsia" w:hAnsiTheme="minorEastAsia" w:eastAsiaTheme="minorEastAsia"/>
                <w:color w:val="000000" w:themeColor="text1"/>
                <w:sz w:val="21"/>
                <w:szCs w:val="21"/>
                <w:highlight w:val="none"/>
                <w:lang w:val="en-US" w:eastAsia="zh-CN"/>
                <w14:textFill>
                  <w14:solidFill>
                    <w14:schemeClr w14:val="tx1"/>
                  </w14:solidFill>
                </w14:textFill>
              </w:rPr>
              <w:t>9</w:t>
            </w:r>
          </w:p>
        </w:tc>
        <w:tc>
          <w:tcPr>
            <w:tcW w:w="1973" w:type="dxa"/>
            <w:vAlign w:val="center"/>
          </w:tcPr>
          <w:p w14:paraId="2A226DA3">
            <w:pPr>
              <w:pStyle w:val="26"/>
              <w:spacing w:line="360" w:lineRule="auto"/>
              <w:jc w:val="center"/>
              <w:rPr>
                <w:rFonts w:cs="Courier New" w:asciiTheme="minorEastAsia" w:hAnsiTheme="minorEastAsia" w:eastAsiaTheme="minorEastAsia"/>
                <w:color w:val="000000" w:themeColor="text1"/>
                <w:sz w:val="21"/>
                <w:szCs w:val="21"/>
                <w:highlight w:val="none"/>
                <w:lang w:val="zh-CN"/>
                <w14:textFill>
                  <w14:solidFill>
                    <w14:schemeClr w14:val="tx1"/>
                  </w14:solidFill>
                </w14:textFill>
              </w:rPr>
            </w:pPr>
            <w:r>
              <w:rPr>
                <w:rFonts w:hint="eastAsia" w:cs="Courier New" w:asciiTheme="minorEastAsia" w:hAnsiTheme="minorEastAsia" w:eastAsiaTheme="minorEastAsia"/>
                <w:color w:val="000000" w:themeColor="text1"/>
                <w:sz w:val="21"/>
                <w:szCs w:val="21"/>
                <w:highlight w:val="none"/>
                <w:lang w:val="zh-CN"/>
                <w14:textFill>
                  <w14:solidFill>
                    <w14:schemeClr w14:val="tx1"/>
                  </w14:solidFill>
                </w14:textFill>
              </w:rPr>
              <w:t>供应商质疑</w:t>
            </w:r>
          </w:p>
        </w:tc>
        <w:tc>
          <w:tcPr>
            <w:tcW w:w="6694" w:type="dxa"/>
            <w:vAlign w:val="center"/>
          </w:tcPr>
          <w:p w14:paraId="581FD60A">
            <w:pPr>
              <w:pStyle w:val="26"/>
              <w:spacing w:line="360" w:lineRule="auto"/>
              <w:rPr>
                <w:rFonts w:cs="Courier New" w:asciiTheme="minorEastAsia" w:hAnsiTheme="minorEastAsia" w:eastAsiaTheme="minorEastAsia"/>
                <w:color w:val="000000" w:themeColor="text1"/>
                <w:sz w:val="21"/>
                <w:szCs w:val="21"/>
                <w:highlight w:val="none"/>
                <w14:textFill>
                  <w14:solidFill>
                    <w14:schemeClr w14:val="tx1"/>
                  </w14:solidFill>
                </w14:textFill>
              </w:rPr>
            </w:pPr>
            <w:r>
              <w:rPr>
                <w:rFonts w:hint="eastAsia" w:cs="Courier New" w:asciiTheme="minorEastAsia" w:hAnsiTheme="minorEastAsia" w:eastAsiaTheme="minorEastAsia"/>
                <w:color w:val="000000" w:themeColor="text1"/>
                <w:sz w:val="21"/>
                <w:szCs w:val="21"/>
                <w:highlight w:val="none"/>
                <w14:textFill>
                  <w14:solidFill>
                    <w14:schemeClr w14:val="tx1"/>
                  </w14:solidFill>
                </w14:textFill>
              </w:rPr>
              <w:t>联系方式：质</w:t>
            </w:r>
            <w:r>
              <w:rPr>
                <w:rFonts w:hint="eastAsia" w:cs="宋体" w:asciiTheme="minorEastAsia" w:hAnsiTheme="minorEastAsia" w:eastAsiaTheme="minorEastAsia"/>
                <w:color w:val="000000" w:themeColor="text1"/>
                <w:sz w:val="21"/>
                <w:szCs w:val="21"/>
                <w:highlight w:val="none"/>
                <w:lang w:val="en-US" w:eastAsia="zh-CN"/>
                <w14:textFill>
                  <w14:solidFill>
                    <w14:schemeClr w14:val="tx1"/>
                  </w14:solidFill>
                </w14:textFill>
              </w:rPr>
              <w:t>028-61568611</w:t>
            </w:r>
          </w:p>
          <w:p w14:paraId="1692A2D8">
            <w:pPr>
              <w:pStyle w:val="26"/>
              <w:spacing w:line="360" w:lineRule="auto"/>
              <w:rPr>
                <w:rFonts w:hint="eastAsia" w:cs="宋体"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cs="Courier New" w:asciiTheme="minorEastAsia" w:hAnsiTheme="minorEastAsia" w:eastAsiaTheme="minorEastAsia"/>
                <w:color w:val="000000" w:themeColor="text1"/>
                <w:sz w:val="21"/>
                <w:szCs w:val="21"/>
                <w:highlight w:val="none"/>
                <w14:textFill>
                  <w14:solidFill>
                    <w14:schemeClr w14:val="tx1"/>
                  </w14:solidFill>
                </w14:textFill>
              </w:rPr>
              <w:t>递交地址：</w:t>
            </w:r>
            <w:r>
              <w:rPr>
                <w:rFonts w:hint="eastAsia" w:cs="宋体" w:asciiTheme="minorEastAsia" w:hAnsiTheme="minorEastAsia" w:eastAsiaTheme="minorEastAsia"/>
                <w:color w:val="000000" w:themeColor="text1"/>
                <w:sz w:val="21"/>
                <w:szCs w:val="21"/>
                <w:highlight w:val="none"/>
                <w:lang w:val="en-US" w:eastAsia="zh-CN"/>
                <w14:textFill>
                  <w14:solidFill>
                    <w14:schemeClr w14:val="tx1"/>
                  </w14:solidFill>
                </w14:textFill>
              </w:rPr>
              <w:t>金堂县第一人民医院</w:t>
            </w:r>
          </w:p>
          <w:p w14:paraId="1BA01A08">
            <w:pPr>
              <w:pStyle w:val="26"/>
              <w:spacing w:line="360" w:lineRule="auto"/>
              <w:rPr>
                <w:rFonts w:cs="Courier New" w:asciiTheme="minorEastAsia" w:hAnsiTheme="minorEastAsia" w:eastAsiaTheme="minorEastAsia"/>
                <w:color w:val="000000" w:themeColor="text1"/>
                <w:sz w:val="21"/>
                <w:szCs w:val="21"/>
                <w:highlight w:val="none"/>
                <w14:textFill>
                  <w14:solidFill>
                    <w14:schemeClr w14:val="tx1"/>
                  </w14:solidFill>
                </w14:textFill>
              </w:rPr>
            </w:pPr>
            <w:r>
              <w:rPr>
                <w:rFonts w:hint="eastAsia" w:cs="Courier New" w:asciiTheme="minorEastAsia" w:hAnsiTheme="minorEastAsia" w:eastAsiaTheme="minorEastAsia"/>
                <w:color w:val="000000" w:themeColor="text1"/>
                <w:sz w:val="21"/>
                <w:szCs w:val="21"/>
                <w:highlight w:val="none"/>
                <w14:textFill>
                  <w14:solidFill>
                    <w14:schemeClr w14:val="tx1"/>
                  </w14:solidFill>
                </w14:textFill>
              </w:rPr>
              <w:t>质疑提出时间：1.对采购文件内容的质疑：在获取采购文件之日起七个工作日内。2.对采购过程质疑时间：为各采购程序环节结束之日起七个工作日内。3.对采购结果提出质疑时间：为成交结果公告期限届满之日起七个工作日内。</w:t>
            </w:r>
          </w:p>
          <w:p w14:paraId="70314854">
            <w:pPr>
              <w:pStyle w:val="26"/>
              <w:spacing w:line="360" w:lineRule="auto"/>
              <w:rPr>
                <w:rFonts w:cs="Courier New" w:asciiTheme="minorEastAsia" w:hAnsiTheme="minorEastAsia" w:eastAsiaTheme="minorEastAsia"/>
                <w:color w:val="000000" w:themeColor="text1"/>
                <w:sz w:val="21"/>
                <w:szCs w:val="21"/>
                <w:highlight w:val="none"/>
                <w14:textFill>
                  <w14:solidFill>
                    <w14:schemeClr w14:val="tx1"/>
                  </w14:solidFill>
                </w14:textFill>
              </w:rPr>
            </w:pPr>
            <w:r>
              <w:rPr>
                <w:rFonts w:hint="eastAsia" w:cs="Courier New" w:asciiTheme="minorEastAsia" w:hAnsiTheme="minorEastAsia" w:eastAsiaTheme="minorEastAsia"/>
                <w:color w:val="000000" w:themeColor="text1"/>
                <w:sz w:val="21"/>
                <w:szCs w:val="21"/>
                <w:highlight w:val="none"/>
                <w14:textFill>
                  <w14:solidFill>
                    <w14:schemeClr w14:val="tx1"/>
                  </w14:solidFill>
                </w14:textFill>
              </w:rPr>
              <w:t>注：1.潜在供应商已依法获取其可质疑的采购文件的，可以对该文件提出质疑。</w:t>
            </w:r>
          </w:p>
          <w:p w14:paraId="36B4791A">
            <w:pPr>
              <w:pStyle w:val="26"/>
              <w:spacing w:line="360" w:lineRule="auto"/>
              <w:rPr>
                <w:rFonts w:cs="Courier New" w:asciiTheme="minorEastAsia" w:hAnsiTheme="minorEastAsia" w:eastAsiaTheme="minorEastAsia"/>
                <w:color w:val="000000" w:themeColor="text1"/>
                <w:sz w:val="21"/>
                <w:szCs w:val="21"/>
                <w:highlight w:val="none"/>
                <w14:textFill>
                  <w14:solidFill>
                    <w14:schemeClr w14:val="tx1"/>
                  </w14:solidFill>
                </w14:textFill>
              </w:rPr>
            </w:pPr>
            <w:r>
              <w:rPr>
                <w:rFonts w:hint="eastAsia" w:cs="Courier New" w:asciiTheme="minorEastAsia" w:hAnsiTheme="minorEastAsia" w:eastAsiaTheme="minorEastAsia"/>
                <w:color w:val="000000" w:themeColor="text1"/>
                <w:sz w:val="21"/>
                <w:szCs w:val="21"/>
                <w:highlight w:val="none"/>
                <w14:textFill>
                  <w14:solidFill>
                    <w14:schemeClr w14:val="tx1"/>
                  </w14:solidFill>
                </w14:textFill>
              </w:rPr>
              <w:t>2.根据《中华人民共和国政府采购法》等规定，供应商质疑不得超出采购文件、采购过程、采购结果的范围, 供应商针对同一采购程序环节的质疑应在法定质疑期内一次性提出。</w:t>
            </w:r>
          </w:p>
          <w:p w14:paraId="4247E8C6">
            <w:pPr>
              <w:pStyle w:val="26"/>
              <w:spacing w:line="360" w:lineRule="auto"/>
              <w:rPr>
                <w:rFonts w:cs="Times New Roman" w:asciiTheme="minorEastAsia" w:hAnsiTheme="minorEastAsia" w:eastAsiaTheme="minorEastAsia"/>
                <w:color w:val="000000" w:themeColor="text1"/>
                <w:kern w:val="2"/>
                <w:sz w:val="21"/>
                <w:szCs w:val="21"/>
                <w:highlight w:val="none"/>
                <w:lang w:val="zh-CN"/>
                <w14:textFill>
                  <w14:solidFill>
                    <w14:schemeClr w14:val="tx1"/>
                  </w14:solidFill>
                </w14:textFill>
              </w:rPr>
            </w:pPr>
            <w:r>
              <w:rPr>
                <w:rFonts w:hint="eastAsia" w:cs="Courier New" w:asciiTheme="minorEastAsia" w:hAnsiTheme="minorEastAsia" w:eastAsiaTheme="minorEastAsia"/>
                <w:color w:val="000000" w:themeColor="text1"/>
                <w:sz w:val="21"/>
                <w:szCs w:val="21"/>
                <w:highlight w:val="none"/>
                <w14:textFill>
                  <w14:solidFill>
                    <w14:schemeClr w14:val="tx1"/>
                  </w14:solidFill>
                </w14:textFill>
              </w:rPr>
              <w:t>3.质疑函相关格式请按照磋商文件第十章附件“政府采购供应商质疑函范本”进行填写。</w:t>
            </w:r>
          </w:p>
        </w:tc>
      </w:tr>
      <w:tr w14:paraId="7FB638B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28" w:hRule="atLeast"/>
          <w:jc w:val="center"/>
        </w:trPr>
        <w:tc>
          <w:tcPr>
            <w:tcW w:w="839" w:type="dxa"/>
            <w:tcBorders>
              <w:bottom w:val="single" w:color="auto" w:sz="18" w:space="0"/>
            </w:tcBorders>
            <w:vAlign w:val="center"/>
          </w:tcPr>
          <w:p w14:paraId="19D6C141">
            <w:pPr>
              <w:pStyle w:val="26"/>
              <w:spacing w:line="360" w:lineRule="auto"/>
              <w:jc w:val="center"/>
              <w:rPr>
                <w:rFonts w:hint="default" w:cs="Courier New"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cs="Courier New" w:asciiTheme="minorEastAsia" w:hAnsiTheme="minorEastAsia" w:eastAsiaTheme="minorEastAsia"/>
                <w:color w:val="000000" w:themeColor="text1"/>
                <w:sz w:val="21"/>
                <w:szCs w:val="21"/>
                <w:highlight w:val="none"/>
                <w:lang w:val="en-US" w:eastAsia="zh-CN"/>
                <w14:textFill>
                  <w14:solidFill>
                    <w14:schemeClr w14:val="tx1"/>
                  </w14:solidFill>
                </w14:textFill>
              </w:rPr>
              <w:t>11</w:t>
            </w:r>
          </w:p>
        </w:tc>
        <w:tc>
          <w:tcPr>
            <w:tcW w:w="1973" w:type="dxa"/>
            <w:tcBorders>
              <w:bottom w:val="single" w:color="auto" w:sz="18" w:space="0"/>
            </w:tcBorders>
            <w:vAlign w:val="center"/>
          </w:tcPr>
          <w:p w14:paraId="05A92BD6">
            <w:pPr>
              <w:pStyle w:val="26"/>
              <w:spacing w:line="360" w:lineRule="auto"/>
              <w:jc w:val="center"/>
              <w:rPr>
                <w:rFonts w:cs="Courier New" w:asciiTheme="minorEastAsia" w:hAnsiTheme="minorEastAsia" w:eastAsia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zh-CN"/>
                <w14:textFill>
                  <w14:solidFill>
                    <w14:schemeClr w14:val="tx1"/>
                  </w14:solidFill>
                </w14:textFill>
              </w:rPr>
              <w:t>分包</w:t>
            </w:r>
          </w:p>
        </w:tc>
        <w:tc>
          <w:tcPr>
            <w:tcW w:w="6694" w:type="dxa"/>
            <w:tcBorders>
              <w:bottom w:val="single" w:color="auto" w:sz="18" w:space="0"/>
            </w:tcBorders>
            <w:vAlign w:val="center"/>
          </w:tcPr>
          <w:p w14:paraId="43FFD442">
            <w:pPr>
              <w:pStyle w:val="26"/>
              <w:spacing w:line="360" w:lineRule="auto"/>
              <w:ind w:firstLine="56" w:firstLineChars="27"/>
              <w:jc w:val="both"/>
              <w:rPr>
                <w:rFonts w:cs="Courier New" w:asciiTheme="minorEastAsia" w:hAnsiTheme="minorEastAsia" w:eastAsiaTheme="minorEastAsia"/>
                <w:color w:val="000000" w:themeColor="text1"/>
                <w:sz w:val="21"/>
                <w:szCs w:val="21"/>
                <w:highlight w:val="none"/>
                <w14:textFill>
                  <w14:solidFill>
                    <w14:schemeClr w14:val="tx1"/>
                  </w14:solidFill>
                </w14:textFill>
              </w:rPr>
            </w:pPr>
            <w:r>
              <w:rPr>
                <w:rFonts w:hint="eastAsia" w:cs="Courier New" w:asciiTheme="minorEastAsia" w:hAnsiTheme="minorEastAsia" w:eastAsiaTheme="minorEastAsia"/>
                <w:color w:val="000000" w:themeColor="text1"/>
                <w:sz w:val="21"/>
                <w:szCs w:val="21"/>
                <w:highlight w:val="none"/>
                <w14:textFill>
                  <w14:solidFill>
                    <w14:schemeClr w14:val="tx1"/>
                  </w14:solidFill>
                </w14:textFill>
              </w:rPr>
              <w:t>不允许分包</w:t>
            </w:r>
          </w:p>
        </w:tc>
      </w:tr>
    </w:tbl>
    <w:p w14:paraId="335CA2F9">
      <w:pPr>
        <w:pStyle w:val="3"/>
        <w:keepNext w:val="0"/>
        <w:keepLines w:val="0"/>
        <w:spacing w:before="0" w:after="0" w:line="360" w:lineRule="auto"/>
        <w:jc w:val="center"/>
        <w:rPr>
          <w:rFonts w:asciiTheme="minorEastAsia" w:hAnsiTheme="minorEastAsia" w:eastAsiaTheme="minorEastAsia"/>
          <w:bCs w:val="0"/>
          <w:color w:val="000000" w:themeColor="text1"/>
          <w:highlight w:val="none"/>
          <w14:textFill>
            <w14:solidFill>
              <w14:schemeClr w14:val="tx1"/>
            </w14:solidFill>
          </w14:textFill>
        </w:rPr>
      </w:pPr>
    </w:p>
    <w:p w14:paraId="773A7222">
      <w:pPr>
        <w:pStyle w:val="3"/>
        <w:keepNext w:val="0"/>
        <w:keepLines w:val="0"/>
        <w:spacing w:before="0" w:after="0" w:line="360" w:lineRule="auto"/>
        <w:jc w:val="center"/>
        <w:rPr>
          <w:rFonts w:asciiTheme="minorEastAsia" w:hAnsiTheme="minorEastAsia" w:eastAsiaTheme="minorEastAsia"/>
          <w:bCs w:val="0"/>
          <w:color w:val="000000" w:themeColor="text1"/>
          <w:highlight w:val="none"/>
          <w14:textFill>
            <w14:solidFill>
              <w14:schemeClr w14:val="tx1"/>
            </w14:solidFill>
          </w14:textFill>
        </w:rPr>
        <w:sectPr>
          <w:footerReference r:id="rId6" w:type="first"/>
          <w:footerReference r:id="rId4" w:type="default"/>
          <w:headerReference r:id="rId3" w:type="even"/>
          <w:footerReference r:id="rId5" w:type="even"/>
          <w:pgSz w:w="11906" w:h="16838"/>
          <w:pgMar w:top="1440" w:right="1797" w:bottom="1440" w:left="1797" w:header="851" w:footer="992" w:gutter="0"/>
          <w:pgNumType w:start="1"/>
          <w:cols w:space="720" w:num="1"/>
          <w:docGrid w:linePitch="326" w:charSpace="0"/>
        </w:sectPr>
      </w:pPr>
    </w:p>
    <w:p w14:paraId="05406960">
      <w:pPr>
        <w:pStyle w:val="3"/>
        <w:keepNext w:val="0"/>
        <w:keepLines w:val="0"/>
        <w:spacing w:before="0" w:after="0" w:line="360" w:lineRule="auto"/>
        <w:jc w:val="center"/>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bCs w:val="0"/>
          <w:color w:val="000000" w:themeColor="text1"/>
          <w:highlight w:val="none"/>
          <w14:textFill>
            <w14:solidFill>
              <w14:schemeClr w14:val="tx1"/>
            </w14:solidFill>
          </w14:textFill>
        </w:rPr>
        <w:t>二、总则</w:t>
      </w:r>
      <w:bookmarkStart w:id="16" w:name="_Toc183682342"/>
      <w:bookmarkStart w:id="17" w:name="_Toc183582205"/>
      <w:bookmarkStart w:id="18" w:name="_Toc217446034"/>
    </w:p>
    <w:p w14:paraId="01DECD89">
      <w:pPr>
        <w:pStyle w:val="4"/>
        <w:keepNext w:val="0"/>
        <w:keepLines w:val="0"/>
        <w:spacing w:before="0" w:after="0" w:line="360" w:lineRule="auto"/>
        <w:ind w:firstLine="482" w:firstLineChars="200"/>
        <w:rPr>
          <w:rFonts w:asciiTheme="minorEastAsia" w:hAnsiTheme="minorEastAsia" w:eastAsiaTheme="minorEastAsia"/>
          <w:color w:val="000000" w:themeColor="text1"/>
          <w:sz w:val="24"/>
          <w:highlight w:val="none"/>
          <w14:textFill>
            <w14:solidFill>
              <w14:schemeClr w14:val="tx1"/>
            </w14:solidFill>
          </w14:textFill>
        </w:rPr>
      </w:pPr>
      <w:bookmarkStart w:id="19" w:name="PO_默认文件内容_23"/>
      <w:r>
        <w:rPr>
          <w:rFonts w:asciiTheme="minorEastAsia" w:hAnsiTheme="minorEastAsia" w:eastAsiaTheme="minorEastAsia"/>
          <w:color w:val="000000" w:themeColor="text1"/>
          <w:sz w:val="24"/>
          <w:highlight w:val="none"/>
          <w14:textFill>
            <w14:solidFill>
              <w14:schemeClr w14:val="tx1"/>
            </w14:solidFill>
          </w14:textFill>
        </w:rPr>
        <w:t>1.</w:t>
      </w:r>
      <w:bookmarkEnd w:id="16"/>
      <w:bookmarkEnd w:id="17"/>
      <w:r>
        <w:rPr>
          <w:rFonts w:hint="eastAsia" w:asciiTheme="minorEastAsia" w:hAnsiTheme="minorEastAsia" w:eastAsiaTheme="minorEastAsia"/>
          <w:color w:val="000000" w:themeColor="text1"/>
          <w:sz w:val="24"/>
          <w:szCs w:val="24"/>
          <w:highlight w:val="none"/>
          <w14:textFill>
            <w14:solidFill>
              <w14:schemeClr w14:val="tx1"/>
            </w14:solidFill>
          </w14:textFill>
        </w:rPr>
        <w:t>适用范围</w:t>
      </w:r>
      <w:bookmarkEnd w:id="18"/>
    </w:p>
    <w:p w14:paraId="5D9D9CD8">
      <w:pPr>
        <w:tabs>
          <w:tab w:val="left" w:pos="7665"/>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1.1 </w:t>
      </w:r>
      <w:r>
        <w:rPr>
          <w:rFonts w:hint="eastAsia" w:asciiTheme="minorEastAsia" w:hAnsiTheme="minorEastAsia" w:eastAsiaTheme="minorEastAsia"/>
          <w:color w:val="000000" w:themeColor="text1"/>
          <w:sz w:val="24"/>
          <w:highlight w:val="none"/>
          <w14:textFill>
            <w14:solidFill>
              <w14:schemeClr w14:val="tx1"/>
            </w14:solidFill>
          </w14:textFill>
        </w:rPr>
        <w:t>本磋商文件仅适用于本次磋商采购项目。</w:t>
      </w:r>
    </w:p>
    <w:p w14:paraId="7F05A260">
      <w:pPr>
        <w:tabs>
          <w:tab w:val="left" w:pos="7665"/>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1.2 </w:t>
      </w:r>
      <w:r>
        <w:rPr>
          <w:rFonts w:hint="eastAsia" w:asciiTheme="minorEastAsia" w:hAnsiTheme="minorEastAsia" w:eastAsiaTheme="minorEastAsia"/>
          <w:color w:val="000000" w:themeColor="text1"/>
          <w:sz w:val="24"/>
          <w:highlight w:val="none"/>
          <w14:textFill>
            <w14:solidFill>
              <w14:schemeClr w14:val="tx1"/>
            </w14:solidFill>
          </w14:textFill>
        </w:rPr>
        <w:t>本磋商文件的解释权归采购人所有。</w:t>
      </w:r>
      <w:bookmarkEnd w:id="19"/>
    </w:p>
    <w:p w14:paraId="26413E7D">
      <w:pPr>
        <w:pStyle w:val="4"/>
        <w:keepNext w:val="0"/>
        <w:keepLines w:val="0"/>
        <w:spacing w:before="0" w:after="0" w:line="360" w:lineRule="auto"/>
        <w:ind w:firstLine="482" w:firstLineChars="200"/>
        <w:rPr>
          <w:rFonts w:asciiTheme="minorEastAsia" w:hAnsiTheme="minorEastAsia" w:eastAsiaTheme="minorEastAsia"/>
          <w:color w:val="000000" w:themeColor="text1"/>
          <w:sz w:val="24"/>
          <w:highlight w:val="none"/>
          <w14:textFill>
            <w14:solidFill>
              <w14:schemeClr w14:val="tx1"/>
            </w14:solidFill>
          </w14:textFill>
        </w:rPr>
      </w:pPr>
      <w:bookmarkStart w:id="20" w:name="_Toc183582206"/>
      <w:bookmarkStart w:id="21" w:name="_Toc183682343"/>
      <w:bookmarkStart w:id="22" w:name="_Toc217446035"/>
      <w:r>
        <w:rPr>
          <w:rFonts w:asciiTheme="minorEastAsia" w:hAnsiTheme="minorEastAsia" w:eastAsiaTheme="minorEastAsia"/>
          <w:color w:val="000000" w:themeColor="text1"/>
          <w:sz w:val="24"/>
          <w:highlight w:val="none"/>
          <w14:textFill>
            <w14:solidFill>
              <w14:schemeClr w14:val="tx1"/>
            </w14:solidFill>
          </w14:textFill>
        </w:rPr>
        <w:t>2.</w:t>
      </w:r>
      <w:bookmarkEnd w:id="20"/>
      <w:bookmarkEnd w:id="21"/>
      <w:bookmarkEnd w:id="22"/>
      <w:r>
        <w:rPr>
          <w:rFonts w:hint="eastAsia" w:asciiTheme="minorEastAsia" w:hAnsiTheme="minorEastAsia" w:eastAsiaTheme="minorEastAsia"/>
          <w:color w:val="000000" w:themeColor="text1"/>
          <w:sz w:val="24"/>
          <w:highlight w:val="none"/>
          <w14:textFill>
            <w14:solidFill>
              <w14:schemeClr w14:val="tx1"/>
            </w14:solidFill>
          </w14:textFill>
        </w:rPr>
        <w:t>采购主体</w:t>
      </w:r>
    </w:p>
    <w:p w14:paraId="1D82BDA3">
      <w:pPr>
        <w:tabs>
          <w:tab w:val="left" w:pos="7665"/>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本次磋商的采购人是</w:t>
      </w:r>
      <w:r>
        <w:rPr>
          <w:rFonts w:hint="eastAsia" w:asciiTheme="minorEastAsia" w:hAnsiTheme="minorEastAsia" w:eastAsiaTheme="minorEastAsia"/>
          <w:color w:val="000000" w:themeColor="text1"/>
          <w:sz w:val="24"/>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sz w:val="24"/>
          <w:highlight w:val="none"/>
          <w:u w:val="single"/>
          <w:lang w:val="en-US" w:eastAsia="zh-CN"/>
          <w14:textFill>
            <w14:solidFill>
              <w14:schemeClr w14:val="tx1"/>
            </w14:solidFill>
          </w14:textFill>
        </w:rPr>
        <w:t>金堂县第一人民医院</w:t>
      </w:r>
      <w:r>
        <w:rPr>
          <w:rFonts w:hint="eastAsia" w:asciiTheme="minorEastAsia" w:hAnsiTheme="minorEastAsia" w:eastAsiaTheme="minorEastAsia"/>
          <w:color w:val="000000" w:themeColor="text1"/>
          <w:sz w:val="24"/>
          <w:highlight w:val="none"/>
          <w14:textFill>
            <w14:solidFill>
              <w14:schemeClr w14:val="tx1"/>
            </w14:solidFill>
          </w14:textFill>
        </w:rPr>
        <w:t>。</w:t>
      </w:r>
    </w:p>
    <w:p w14:paraId="7E205DFA">
      <w:pPr>
        <w:pStyle w:val="4"/>
        <w:keepNext w:val="0"/>
        <w:keepLines w:val="0"/>
        <w:spacing w:before="0" w:after="0" w:line="360" w:lineRule="auto"/>
        <w:ind w:firstLine="482" w:firstLineChars="200"/>
        <w:rPr>
          <w:rFonts w:asciiTheme="minorEastAsia" w:hAnsiTheme="minorEastAsia" w:eastAsiaTheme="minorEastAsia"/>
          <w:color w:val="000000" w:themeColor="text1"/>
          <w:sz w:val="24"/>
          <w:highlight w:val="none"/>
          <w14:textFill>
            <w14:solidFill>
              <w14:schemeClr w14:val="tx1"/>
            </w14:solidFill>
          </w14:textFill>
        </w:rPr>
      </w:pPr>
      <w:bookmarkStart w:id="23" w:name="_Toc217446036"/>
      <w:bookmarkStart w:id="24" w:name="_Toc217390843"/>
      <w:bookmarkStart w:id="25" w:name="_Toc183682344"/>
      <w:bookmarkStart w:id="26" w:name="_Toc183582207"/>
      <w:bookmarkStart w:id="27" w:name="PO_默认文件内容_24"/>
      <w:r>
        <w:rPr>
          <w:rFonts w:asciiTheme="minorEastAsia" w:hAnsiTheme="minorEastAsia" w:eastAsiaTheme="minorEastAsia"/>
          <w:color w:val="000000" w:themeColor="text1"/>
          <w:sz w:val="24"/>
          <w:highlight w:val="none"/>
          <w14:textFill>
            <w14:solidFill>
              <w14:schemeClr w14:val="tx1"/>
            </w14:solidFill>
          </w14:textFill>
        </w:rPr>
        <w:t xml:space="preserve">3. </w:t>
      </w:r>
      <w:r>
        <w:rPr>
          <w:rFonts w:hint="eastAsia" w:asciiTheme="minorEastAsia" w:hAnsiTheme="minorEastAsia" w:eastAsiaTheme="minorEastAsia"/>
          <w:color w:val="000000" w:themeColor="text1"/>
          <w:sz w:val="24"/>
          <w:highlight w:val="none"/>
          <w14:textFill>
            <w14:solidFill>
              <w14:schemeClr w14:val="tx1"/>
            </w14:solidFill>
          </w14:textFill>
        </w:rPr>
        <w:t>合格</w:t>
      </w:r>
      <w:bookmarkEnd w:id="23"/>
      <w:bookmarkEnd w:id="24"/>
      <w:bookmarkEnd w:id="25"/>
      <w:bookmarkEnd w:id="26"/>
      <w:r>
        <w:rPr>
          <w:rFonts w:hint="eastAsia" w:asciiTheme="minorEastAsia" w:hAnsiTheme="minorEastAsia" w:eastAsiaTheme="minorEastAsia"/>
          <w:color w:val="000000" w:themeColor="text1"/>
          <w:sz w:val="24"/>
          <w:highlight w:val="none"/>
          <w14:textFill>
            <w14:solidFill>
              <w14:schemeClr w14:val="tx1"/>
            </w14:solidFill>
          </w14:textFill>
        </w:rPr>
        <w:t>供应商</w:t>
      </w:r>
    </w:p>
    <w:p w14:paraId="592767A1">
      <w:pPr>
        <w:tabs>
          <w:tab w:val="left" w:pos="7665"/>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合格供应商应具备以下条件：</w:t>
      </w:r>
    </w:p>
    <w:p w14:paraId="4533D9F4">
      <w:pPr>
        <w:tabs>
          <w:tab w:val="left" w:pos="7665"/>
        </w:tabs>
        <w:spacing w:line="360" w:lineRule="auto"/>
        <w:ind w:firstLine="480" w:firstLineChars="200"/>
        <w:rPr>
          <w:rFonts w:asciiTheme="minorEastAsia" w:hAnsiTheme="minorEastAsia" w:eastAsiaTheme="minorEastAsia"/>
          <w:color w:val="000000" w:themeColor="text1"/>
          <w:spacing w:val="-4"/>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3.1 </w:t>
      </w:r>
      <w:r>
        <w:rPr>
          <w:rFonts w:hint="eastAsia" w:asciiTheme="minorEastAsia" w:hAnsiTheme="minorEastAsia" w:eastAsiaTheme="minorEastAsia"/>
          <w:color w:val="000000" w:themeColor="text1"/>
          <w:sz w:val="24"/>
          <w:highlight w:val="none"/>
          <w14:textFill>
            <w14:solidFill>
              <w14:schemeClr w14:val="tx1"/>
            </w14:solidFill>
          </w14:textFill>
        </w:rPr>
        <w:t>具备法律法规和本采购文件规定的资格条件</w:t>
      </w:r>
      <w:r>
        <w:rPr>
          <w:rFonts w:hint="eastAsia" w:asciiTheme="minorEastAsia" w:hAnsiTheme="minorEastAsia" w:eastAsiaTheme="minorEastAsia"/>
          <w:color w:val="000000" w:themeColor="text1"/>
          <w:spacing w:val="-4"/>
          <w:sz w:val="24"/>
          <w:highlight w:val="none"/>
          <w14:textFill>
            <w14:solidFill>
              <w14:schemeClr w14:val="tx1"/>
            </w14:solidFill>
          </w14:textFill>
        </w:rPr>
        <w:t>；</w:t>
      </w:r>
    </w:p>
    <w:p w14:paraId="112FAC03">
      <w:pPr>
        <w:tabs>
          <w:tab w:val="left" w:pos="7665"/>
        </w:tabs>
        <w:spacing w:line="360" w:lineRule="auto"/>
        <w:ind w:firstLine="464"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pacing w:val="-4"/>
          <w:sz w:val="24"/>
          <w:highlight w:val="none"/>
          <w14:textFill>
            <w14:solidFill>
              <w14:schemeClr w14:val="tx1"/>
            </w14:solidFill>
          </w14:textFill>
        </w:rPr>
        <w:t xml:space="preserve">3.2 </w:t>
      </w:r>
      <w:r>
        <w:rPr>
          <w:rFonts w:hint="eastAsia" w:asciiTheme="minorEastAsia" w:hAnsiTheme="minorEastAsia" w:eastAsiaTheme="minorEastAsia"/>
          <w:color w:val="000000" w:themeColor="text1"/>
          <w:spacing w:val="-4"/>
          <w:sz w:val="24"/>
          <w:highlight w:val="none"/>
          <w14:textFill>
            <w14:solidFill>
              <w14:schemeClr w14:val="tx1"/>
            </w14:solidFill>
          </w14:textFill>
        </w:rPr>
        <w:t>不属于禁止参加本项目采购活动的供应商；</w:t>
      </w:r>
      <w:bookmarkStart w:id="28" w:name="_Toc217446037"/>
      <w:bookmarkStart w:id="29" w:name="_Toc183582208"/>
      <w:bookmarkStart w:id="30" w:name="_Toc183682345"/>
    </w:p>
    <w:p w14:paraId="59A75478">
      <w:pPr>
        <w:pStyle w:val="4"/>
        <w:keepNext w:val="0"/>
        <w:keepLines w:val="0"/>
        <w:spacing w:before="0" w:after="0" w:line="360" w:lineRule="auto"/>
        <w:ind w:firstLine="482"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4. </w:t>
      </w:r>
      <w:r>
        <w:rPr>
          <w:rFonts w:hint="eastAsia" w:asciiTheme="minorEastAsia" w:hAnsiTheme="minorEastAsia" w:eastAsiaTheme="minorEastAsia"/>
          <w:color w:val="000000" w:themeColor="text1"/>
          <w:sz w:val="24"/>
          <w:highlight w:val="none"/>
          <w14:textFill>
            <w14:solidFill>
              <w14:schemeClr w14:val="tx1"/>
            </w14:solidFill>
          </w14:textFill>
        </w:rPr>
        <w:t>磋商费用</w:t>
      </w:r>
      <w:bookmarkEnd w:id="28"/>
      <w:bookmarkEnd w:id="29"/>
      <w:bookmarkEnd w:id="30"/>
      <w:r>
        <w:rPr>
          <w:rFonts w:hint="eastAsia" w:asciiTheme="minorEastAsia" w:hAnsiTheme="minorEastAsia" w:eastAsiaTheme="minorEastAsia"/>
          <w:color w:val="000000" w:themeColor="text1"/>
          <w:kern w:val="0"/>
          <w:sz w:val="24"/>
          <w:szCs w:val="20"/>
          <w:highlight w:val="none"/>
          <w14:textFill>
            <w14:solidFill>
              <w14:schemeClr w14:val="tx1"/>
            </w14:solidFill>
          </w14:textFill>
        </w:rPr>
        <w:t>（实质性要求）</w:t>
      </w:r>
    </w:p>
    <w:p w14:paraId="14A1AE74">
      <w:pPr>
        <w:tabs>
          <w:tab w:val="left" w:pos="7665"/>
        </w:tabs>
        <w:spacing w:line="360" w:lineRule="auto"/>
        <w:ind w:firstLine="48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供应商应自行承担参加磋商活动的全部费用。</w:t>
      </w:r>
    </w:p>
    <w:p w14:paraId="743EAFC6">
      <w:pPr>
        <w:pStyle w:val="27"/>
        <w:spacing w:line="360" w:lineRule="auto"/>
        <w:ind w:left="1" w:firstLine="482" w:firstLineChars="200"/>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5.</w:t>
      </w:r>
      <w:r>
        <w:rPr>
          <w:rFonts w:hint="eastAsia" w:asciiTheme="minorEastAsia" w:hAnsiTheme="minorEastAsia" w:eastAsiaTheme="minorEastAsia"/>
          <w:b/>
          <w:color w:val="000000" w:themeColor="text1"/>
          <w:sz w:val="24"/>
          <w:highlight w:val="none"/>
          <w14:textFill>
            <w14:solidFill>
              <w14:schemeClr w14:val="tx1"/>
            </w14:solidFill>
          </w14:textFill>
        </w:rPr>
        <w:t>充分、公平竞争保障措施（实质性要求）</w:t>
      </w:r>
    </w:p>
    <w:p w14:paraId="4784B4AD">
      <w:pPr>
        <w:pStyle w:val="27"/>
        <w:spacing w:line="360" w:lineRule="auto"/>
        <w:ind w:left="1" w:firstLine="480" w:firstLineChars="200"/>
        <w:rPr>
          <w:rFonts w:asciiTheme="minorEastAsia" w:hAnsiTheme="minorEastAsia" w:eastAsiaTheme="minorEastAsia"/>
          <w:color w:val="000000" w:themeColor="text1"/>
          <w:sz w:val="28"/>
          <w:szCs w:val="28"/>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5.1</w:t>
      </w:r>
      <w:r>
        <w:rPr>
          <w:rFonts w:hint="eastAsia" w:asciiTheme="minorEastAsia" w:hAnsiTheme="minorEastAsia" w:eastAsiaTheme="minorEastAsia"/>
          <w:color w:val="000000" w:themeColor="text1"/>
          <w:sz w:val="24"/>
          <w:highlight w:val="none"/>
          <w14:textFill>
            <w14:solidFill>
              <w14:schemeClr w14:val="tx1"/>
            </w14:solidFill>
          </w14:textFill>
        </w:rPr>
        <w:t>利害关系供应商处理。单位负责人为同一人或者存在直接控股、管理关系的不同供应商不得参加同一合同项下的采购活动。采购项目实行资格预审的，单位负责人为同一人或者存在直接控股、管理关系的不同供应商可以参加资格预审，但只能由供应商确定其中一家符合条件的供应商参加后续的采购活动，否则，其响应文件作为无效处理。</w:t>
      </w:r>
    </w:p>
    <w:p w14:paraId="28E7170C">
      <w:pPr>
        <w:pStyle w:val="27"/>
        <w:spacing w:line="360" w:lineRule="auto"/>
        <w:ind w:left="1"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5.2</w:t>
      </w:r>
      <w:r>
        <w:rPr>
          <w:rFonts w:hint="eastAsia" w:asciiTheme="minorEastAsia" w:hAnsiTheme="minorEastAsia" w:eastAsiaTheme="minorEastAsia"/>
          <w:color w:val="000000" w:themeColor="text1"/>
          <w:sz w:val="24"/>
          <w:highlight w:val="none"/>
          <w14:textFill>
            <w14:solidFill>
              <w14:schemeClr w14:val="tx1"/>
            </w14:solidFill>
          </w14:textFill>
        </w:rPr>
        <w:t>利害关系授权代表处理。两家以上的供应商不得在同一合同项下的采购项目中，委托同一个自然人、同一家庭的人员、同一单位的人员作为其授权代表，否则，其响应文件作为无效处理。</w:t>
      </w:r>
    </w:p>
    <w:p w14:paraId="5D725829">
      <w:pPr>
        <w:pStyle w:val="27"/>
        <w:spacing w:line="360" w:lineRule="auto"/>
        <w:ind w:left="1"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5.3</w:t>
      </w:r>
      <w:r>
        <w:rPr>
          <w:rFonts w:hint="eastAsia" w:asciiTheme="minorEastAsia" w:hAnsiTheme="minorEastAsia" w:eastAsiaTheme="minorEastAsia"/>
          <w:color w:val="000000" w:themeColor="text1"/>
          <w:sz w:val="24"/>
          <w:highlight w:val="none"/>
          <w14:textFill>
            <w14:solidFill>
              <w14:schemeClr w14:val="tx1"/>
            </w14:solidFill>
          </w14:textFill>
        </w:rPr>
        <w:t>前期参与供应商处理。为采购项目提供整体设计、规范编制或者项目管理、监理、检测等服务的供应商，不得再参加该采购项目的其他采购活动。供应商为采购人在确定采购需求、编制采购文件过程中提供咨询论证，其提供的咨询论证意见成为采购文件中规定的供应商资格条件、技术服务商务要求、评审因素和标准、采购合同等实质性内容条款的，视同为采购项目提供规范编制。</w:t>
      </w:r>
    </w:p>
    <w:p w14:paraId="06EFFC7C">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5.</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同一母公司的两家以上的子公司只能组成联合体参加本项目同一合同项下的采购活动，不得以不同供应商身份同时参加本项目同一合同项下的采购活动。</w:t>
      </w:r>
    </w:p>
    <w:p w14:paraId="78AAEBAE">
      <w:pPr>
        <w:pStyle w:val="27"/>
        <w:spacing w:line="360" w:lineRule="auto"/>
        <w:ind w:left="1"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5.</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5</w:t>
      </w:r>
      <w:r>
        <w:rPr>
          <w:rFonts w:hint="eastAsia" w:asciiTheme="minorEastAsia" w:hAnsiTheme="minorEastAsia" w:eastAsiaTheme="minorEastAsia"/>
          <w:color w:val="000000" w:themeColor="text1"/>
          <w:sz w:val="24"/>
          <w:highlight w:val="none"/>
          <w14:textFill>
            <w14:solidFill>
              <w14:schemeClr w14:val="tx1"/>
            </w14:solidFill>
          </w14:textFill>
        </w:rPr>
        <w:t>回避。采购活动中，采购人员及相关人员与供应商有下列利害关系之一的，应当回避：</w:t>
      </w:r>
    </w:p>
    <w:p w14:paraId="34BD0ACF">
      <w:pPr>
        <w:pStyle w:val="27"/>
        <w:spacing w:line="360" w:lineRule="auto"/>
        <w:ind w:left="1"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）参加采购活动前</w:t>
      </w: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年内与供应商存在劳动关系；</w:t>
      </w:r>
    </w:p>
    <w:p w14:paraId="4CC568CD">
      <w:pPr>
        <w:pStyle w:val="27"/>
        <w:spacing w:line="360" w:lineRule="auto"/>
        <w:ind w:left="1"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）参加采购活动前</w:t>
      </w: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年内担任供应商的董事、监事；</w:t>
      </w:r>
    </w:p>
    <w:p w14:paraId="55A60B3F">
      <w:pPr>
        <w:pStyle w:val="27"/>
        <w:spacing w:line="360" w:lineRule="auto"/>
        <w:ind w:left="1"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）参加采购活动前</w:t>
      </w: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年内是供应商的控股股东或者实际控制人；</w:t>
      </w:r>
    </w:p>
    <w:p w14:paraId="567A8C5A">
      <w:pPr>
        <w:pStyle w:val="27"/>
        <w:spacing w:line="360" w:lineRule="auto"/>
        <w:ind w:left="1"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）与供应商的法定代表人或者负责人有夫妻、直系血亲、三代以内旁系血亲或者近姻亲关系；</w:t>
      </w:r>
    </w:p>
    <w:p w14:paraId="2B9FA03A">
      <w:pPr>
        <w:pStyle w:val="27"/>
        <w:spacing w:line="360" w:lineRule="auto"/>
        <w:ind w:left="1"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5</w:t>
      </w:r>
      <w:r>
        <w:rPr>
          <w:rFonts w:hint="eastAsia" w:asciiTheme="minorEastAsia" w:hAnsiTheme="minorEastAsia" w:eastAsiaTheme="minorEastAsia"/>
          <w:color w:val="000000" w:themeColor="text1"/>
          <w:sz w:val="24"/>
          <w:highlight w:val="none"/>
          <w14:textFill>
            <w14:solidFill>
              <w14:schemeClr w14:val="tx1"/>
            </w14:solidFill>
          </w14:textFill>
        </w:rPr>
        <w:t>）与供应商有其他可能影响采购活动公平、公正进行的关系。</w:t>
      </w:r>
    </w:p>
    <w:p w14:paraId="4D66E508">
      <w:pPr>
        <w:pStyle w:val="27"/>
        <w:spacing w:line="360" w:lineRule="auto"/>
        <w:ind w:left="1"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本项目采购活动中需要依法回避的采购人员是指采购人内部负责采购项目的具体经办工作人员和直接分管采购项目的负责人。本项目采购活动中需要依法回避的相关人员是指磋商小组成员。</w:t>
      </w:r>
    </w:p>
    <w:p w14:paraId="03A5B5F4">
      <w:pPr>
        <w:pStyle w:val="27"/>
        <w:spacing w:line="360" w:lineRule="auto"/>
        <w:ind w:left="1" w:firstLine="480" w:firstLineChars="200"/>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供应商认为采购人员及相关人员与其他供应商有利害关系的，可以向</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采购人</w:t>
      </w:r>
      <w:r>
        <w:rPr>
          <w:rFonts w:hint="eastAsia" w:asciiTheme="minorEastAsia" w:hAnsiTheme="minorEastAsia" w:eastAsiaTheme="minorEastAsia"/>
          <w:color w:val="000000" w:themeColor="text1"/>
          <w:sz w:val="24"/>
          <w:highlight w:val="none"/>
          <w14:textFill>
            <w14:solidFill>
              <w14:schemeClr w14:val="tx1"/>
            </w14:solidFill>
          </w14:textFill>
        </w:rPr>
        <w:t>书面提出回避申请，并说明理由。</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采购人</w:t>
      </w:r>
      <w:r>
        <w:rPr>
          <w:rFonts w:hint="eastAsia" w:asciiTheme="minorEastAsia" w:hAnsiTheme="minorEastAsia" w:eastAsiaTheme="minorEastAsia"/>
          <w:color w:val="000000" w:themeColor="text1"/>
          <w:sz w:val="24"/>
          <w:highlight w:val="none"/>
          <w14:textFill>
            <w14:solidFill>
              <w14:schemeClr w14:val="tx1"/>
            </w14:solidFill>
          </w14:textFill>
        </w:rPr>
        <w:t>将及时询问被申请回避人员，有利害关系的被申请回避人员应当回避。</w:t>
      </w:r>
    </w:p>
    <w:p w14:paraId="1358A1C1">
      <w:pPr>
        <w:pStyle w:val="27"/>
        <w:spacing w:line="360" w:lineRule="auto"/>
        <w:ind w:left="1" w:firstLine="482" w:firstLineChars="200"/>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6.</w:t>
      </w:r>
      <w:r>
        <w:rPr>
          <w:rFonts w:hint="eastAsia" w:asciiTheme="minorEastAsia" w:hAnsiTheme="minorEastAsia" w:eastAsiaTheme="minorEastAsia"/>
          <w:b/>
          <w:color w:val="000000" w:themeColor="text1"/>
          <w:sz w:val="24"/>
          <w:highlight w:val="none"/>
          <w14:textFill>
            <w14:solidFill>
              <w14:schemeClr w14:val="tx1"/>
            </w14:solidFill>
          </w14:textFill>
        </w:rPr>
        <w:t>联合体竞争性磋商（仅适用于允许联合体参与的项目）</w:t>
      </w:r>
    </w:p>
    <w:p w14:paraId="52822C52">
      <w:pPr>
        <w:pStyle w:val="27"/>
        <w:spacing w:line="360" w:lineRule="auto"/>
        <w:ind w:left="1" w:firstLine="480" w:firstLineChars="200"/>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联合体各方应当共同与采购人签订采购合同，就采购合同约定的事项对采购人承担连带责任。</w:t>
      </w:r>
    </w:p>
    <w:p w14:paraId="4276D4B4">
      <w:pPr>
        <w:pStyle w:val="27"/>
        <w:spacing w:line="360" w:lineRule="auto"/>
        <w:ind w:left="1" w:firstLine="482" w:firstLineChars="200"/>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7.</w:t>
      </w:r>
      <w:r>
        <w:rPr>
          <w:rFonts w:hint="eastAsia" w:asciiTheme="minorEastAsia" w:hAnsiTheme="minorEastAsia" w:eastAsiaTheme="minorEastAsia"/>
          <w:b/>
          <w:color w:val="000000" w:themeColor="text1"/>
          <w:sz w:val="24"/>
          <w:highlight w:val="none"/>
          <w14:textFill>
            <w14:solidFill>
              <w14:schemeClr w14:val="tx1"/>
            </w14:solidFill>
          </w14:textFill>
        </w:rPr>
        <w:t>磋商保证金（本项目不适用）</w:t>
      </w:r>
    </w:p>
    <w:p w14:paraId="7FF0F1CB">
      <w:pPr>
        <w:spacing w:line="360" w:lineRule="auto"/>
        <w:ind w:firstLine="470" w:firstLineChars="196"/>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7.1 </w:t>
      </w:r>
      <w:r>
        <w:rPr>
          <w:rFonts w:hint="eastAsia" w:asciiTheme="minorEastAsia" w:hAnsiTheme="minorEastAsia" w:eastAsiaTheme="minorEastAsia"/>
          <w:color w:val="000000" w:themeColor="text1"/>
          <w:sz w:val="24"/>
          <w:highlight w:val="none"/>
          <w14:textFill>
            <w14:solidFill>
              <w14:schemeClr w14:val="tx1"/>
            </w14:solidFill>
          </w14:textFill>
        </w:rPr>
        <w:t>供应商必须以人民币按磋商文件要求足额缴纳磋商保证金。联合体磋商的，可以由联合体的一方或者共同提交磋商保证金，以一方名义提交磋商保证金的，对联合体各方均具有约束力。</w:t>
      </w:r>
    </w:p>
    <w:p w14:paraId="787AE13F">
      <w:pPr>
        <w:spacing w:line="360" w:lineRule="auto"/>
        <w:ind w:firstLine="470" w:firstLineChars="196"/>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7.2 </w:t>
      </w:r>
      <w:r>
        <w:rPr>
          <w:rFonts w:hint="eastAsia" w:asciiTheme="minorEastAsia" w:hAnsiTheme="minorEastAsia" w:eastAsiaTheme="minorEastAsia"/>
          <w:color w:val="000000" w:themeColor="text1"/>
          <w:sz w:val="24"/>
          <w:highlight w:val="none"/>
          <w14:textFill>
            <w14:solidFill>
              <w14:schemeClr w14:val="tx1"/>
            </w14:solidFill>
          </w14:textFill>
        </w:rPr>
        <w:t>未按磋商文件要求在规定时间前交纳规定数额磋商保证金的响应文件无效。</w:t>
      </w:r>
    </w:p>
    <w:p w14:paraId="1E6DFF21">
      <w:pPr>
        <w:spacing w:line="360" w:lineRule="auto"/>
        <w:ind w:firstLine="470" w:firstLineChars="196"/>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7.3 </w:t>
      </w:r>
      <w:r>
        <w:rPr>
          <w:rFonts w:hint="eastAsia" w:asciiTheme="minorEastAsia" w:hAnsiTheme="minorEastAsia" w:eastAsiaTheme="minorEastAsia"/>
          <w:color w:val="000000" w:themeColor="text1"/>
          <w:sz w:val="24"/>
          <w:highlight w:val="none"/>
          <w14:textFill>
            <w14:solidFill>
              <w14:schemeClr w14:val="tx1"/>
            </w14:solidFill>
          </w14:textFill>
        </w:rPr>
        <w:t>供应商所交纳的磋商保证金不计利息。</w:t>
      </w:r>
    </w:p>
    <w:p w14:paraId="593F6E65">
      <w:pPr>
        <w:spacing w:line="360" w:lineRule="auto"/>
        <w:ind w:firstLine="470" w:firstLineChars="196"/>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7.4 </w:t>
      </w:r>
      <w:r>
        <w:rPr>
          <w:rFonts w:hint="eastAsia" w:asciiTheme="minorEastAsia" w:hAnsiTheme="minorEastAsia" w:eastAsiaTheme="minorEastAsia"/>
          <w:color w:val="000000" w:themeColor="text1"/>
          <w:sz w:val="24"/>
          <w:highlight w:val="none"/>
          <w14:textFill>
            <w14:solidFill>
              <w14:schemeClr w14:val="tx1"/>
            </w14:solidFill>
          </w14:textFill>
        </w:rPr>
        <w:t>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人</w:t>
      </w:r>
      <w:r>
        <w:rPr>
          <w:rFonts w:hint="eastAsia" w:asciiTheme="minorEastAsia" w:hAnsiTheme="minorEastAsia" w:eastAsiaTheme="minorEastAsia"/>
          <w:color w:val="000000" w:themeColor="text1"/>
          <w:sz w:val="24"/>
          <w:highlight w:val="none"/>
          <w14:textFill>
            <w14:solidFill>
              <w14:schemeClr w14:val="tx1"/>
            </w14:solidFill>
          </w14:textFill>
        </w:rPr>
        <w:t>不承担相应责任；②供应商因涉嫌违法违规，按照规定应当不予退还保证金的，有关部门处理认定违法违规行为期间不计入退还保证金期限内。）</w:t>
      </w:r>
    </w:p>
    <w:p w14:paraId="6D99D2BB">
      <w:pPr>
        <w:spacing w:line="360" w:lineRule="auto"/>
        <w:ind w:firstLine="470" w:firstLineChars="196"/>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7.5</w:t>
      </w:r>
      <w:r>
        <w:rPr>
          <w:rFonts w:hint="eastAsia" w:asciiTheme="minorEastAsia" w:hAnsiTheme="minorEastAsia" w:eastAsiaTheme="minorEastAsia"/>
          <w:color w:val="000000" w:themeColor="text1"/>
          <w:sz w:val="24"/>
          <w:highlight w:val="none"/>
          <w14:textFill>
            <w14:solidFill>
              <w14:schemeClr w14:val="tx1"/>
            </w14:solidFill>
          </w14:textFill>
        </w:rPr>
        <w:t>发生下列情形之一的，采购人将不予退还磋商保证金：</w:t>
      </w:r>
    </w:p>
    <w:p w14:paraId="27A9613D">
      <w:pPr>
        <w:spacing w:line="360" w:lineRule="auto"/>
        <w:ind w:firstLine="470" w:firstLineChars="196"/>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（一）在磋商文件规定的递交响应文件截止时间后撤销响应文件的；</w:t>
      </w:r>
    </w:p>
    <w:p w14:paraId="05DB3ED6">
      <w:pPr>
        <w:spacing w:line="360" w:lineRule="auto"/>
        <w:ind w:firstLine="470" w:firstLineChars="196"/>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（二）在采购人确定成交供应商之前放弃成交候选资格的；</w:t>
      </w:r>
    </w:p>
    <w:p w14:paraId="3333D848">
      <w:pPr>
        <w:spacing w:line="360" w:lineRule="auto"/>
        <w:ind w:firstLine="470" w:firstLineChars="196"/>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（三）成交后放弃、不领取或者不接收成交通知书的；</w:t>
      </w:r>
    </w:p>
    <w:p w14:paraId="33663301">
      <w:pPr>
        <w:spacing w:line="360" w:lineRule="auto"/>
        <w:ind w:firstLine="470" w:firstLineChars="196"/>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（四）由于成交供应商的原因未能按照磋商文件的规定与采购人签订合同的；</w:t>
      </w:r>
    </w:p>
    <w:p w14:paraId="2979B15A">
      <w:pPr>
        <w:spacing w:line="360" w:lineRule="auto"/>
        <w:ind w:firstLine="470" w:firstLineChars="196"/>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（五）由于成交供应商的原因未能按照磋商文件的规定交纳履约保证金的；</w:t>
      </w:r>
    </w:p>
    <w:p w14:paraId="73A39C3D">
      <w:pPr>
        <w:spacing w:line="360" w:lineRule="auto"/>
        <w:ind w:firstLine="470" w:firstLineChars="196"/>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（六）供应商在采购活动中提供虚假材料的；</w:t>
      </w:r>
    </w:p>
    <w:p w14:paraId="5F2034F3">
      <w:pPr>
        <w:spacing w:line="360" w:lineRule="auto"/>
        <w:ind w:firstLine="470" w:firstLineChars="196"/>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（七）响应文件有效期内，供应商在采购活动中有违法、违规、违纪行为。</w:t>
      </w:r>
    </w:p>
    <w:p w14:paraId="7D1D1FCD">
      <w:pPr>
        <w:spacing w:line="360" w:lineRule="auto"/>
        <w:ind w:firstLine="472" w:firstLineChars="196"/>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8.</w:t>
      </w:r>
      <w:r>
        <w:rPr>
          <w:rFonts w:hint="eastAsia" w:asciiTheme="minorEastAsia" w:hAnsiTheme="minorEastAsia" w:eastAsiaTheme="minorEastAsia"/>
          <w:b/>
          <w:color w:val="000000" w:themeColor="text1"/>
          <w:sz w:val="24"/>
          <w:highlight w:val="none"/>
          <w14:textFill>
            <w14:solidFill>
              <w14:schemeClr w14:val="tx1"/>
            </w14:solidFill>
          </w14:textFill>
        </w:rPr>
        <w:t>响应文件有效期（实质性要求）</w:t>
      </w:r>
    </w:p>
    <w:p w14:paraId="0F0CB14E">
      <w:pPr>
        <w:spacing w:line="360" w:lineRule="auto"/>
        <w:ind w:firstLine="470" w:firstLineChars="196"/>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本项目响应文件有效期为递交磋商响应文件截止之日起</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120</w:t>
      </w:r>
      <w:r>
        <w:rPr>
          <w:rFonts w:hint="eastAsia" w:asciiTheme="minorEastAsia" w:hAnsiTheme="minorEastAsia" w:eastAsiaTheme="minorEastAsia"/>
          <w:color w:val="000000" w:themeColor="text1"/>
          <w:sz w:val="24"/>
          <w:highlight w:val="none"/>
          <w14:textFill>
            <w14:solidFill>
              <w14:schemeClr w14:val="tx1"/>
            </w14:solidFill>
          </w14:textFill>
        </w:rPr>
        <w:t>天。供应商响应文件中必须载明响应文件有效期，响应文件中载明的响应文件有效期可以长于磋商文件规定的期限，但不得短于磋商文件规定的期限。否则，其响应文件将作为无效处理。</w:t>
      </w:r>
    </w:p>
    <w:p w14:paraId="079D1B86">
      <w:pPr>
        <w:pStyle w:val="10"/>
        <w:spacing w:line="360" w:lineRule="auto"/>
        <w:ind w:firstLine="482" w:firstLineChars="200"/>
        <w:rPr>
          <w:rFonts w:asciiTheme="minorEastAsia" w:hAnsiTheme="minorEastAsia" w:eastAsiaTheme="minorEastAsia"/>
          <w:b/>
          <w:bCs/>
          <w:color w:val="000000" w:themeColor="text1"/>
          <w:sz w:val="24"/>
          <w:szCs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9.</w:t>
      </w:r>
      <w:r>
        <w:rPr>
          <w:rFonts w:hint="eastAsia" w:asciiTheme="minorEastAsia" w:hAnsiTheme="minorEastAsia" w:eastAsiaTheme="minorEastAsia"/>
          <w:b/>
          <w:bCs/>
          <w:color w:val="000000" w:themeColor="text1"/>
          <w:sz w:val="24"/>
          <w:szCs w:val="24"/>
          <w:highlight w:val="none"/>
          <w14:textFill>
            <w14:solidFill>
              <w14:schemeClr w14:val="tx1"/>
            </w14:solidFill>
          </w14:textFill>
        </w:rPr>
        <w:t>知识产权（实质性要求）</w:t>
      </w:r>
    </w:p>
    <w:p w14:paraId="178EC1FB">
      <w:pPr>
        <w:pStyle w:val="10"/>
        <w:spacing w:line="360" w:lineRule="auto"/>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asciiTheme="minorEastAsia" w:hAnsiTheme="minorEastAsia" w:eastAsiaTheme="minorEastAsia"/>
          <w:color w:val="000000" w:themeColor="text1"/>
          <w:sz w:val="24"/>
          <w:szCs w:val="24"/>
          <w:highlight w:val="none"/>
          <w14:textFill>
            <w14:solidFill>
              <w14:schemeClr w14:val="tx1"/>
            </w14:solidFill>
          </w14:textFill>
        </w:rPr>
        <w:t>9.1</w:t>
      </w:r>
      <w:r>
        <w:rPr>
          <w:rFonts w:hint="eastAsia" w:asciiTheme="minorEastAsia" w:hAnsiTheme="minorEastAsia" w:eastAsiaTheme="minorEastAsia"/>
          <w:color w:val="000000" w:themeColor="text1"/>
          <w:sz w:val="24"/>
          <w:highlight w:val="none"/>
          <w14:textFill>
            <w14:solidFill>
              <w14:schemeClr w14:val="tx1"/>
            </w14:solidFill>
          </w14:textFill>
        </w:rPr>
        <w:t>供应商</w:t>
      </w:r>
      <w:r>
        <w:rPr>
          <w:rFonts w:hint="eastAsia" w:asciiTheme="minorEastAsia" w:hAnsiTheme="minorEastAsia" w:eastAsiaTheme="minorEastAsia"/>
          <w:color w:val="000000" w:themeColor="text1"/>
          <w:sz w:val="24"/>
          <w:szCs w:val="24"/>
          <w:highlight w:val="none"/>
          <w14:textFill>
            <w14:solidFill>
              <w14:schemeClr w14:val="tx1"/>
            </w14:solidFill>
          </w14:textFill>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Theme="minorEastAsia" w:hAnsiTheme="minorEastAsia" w:eastAsiaTheme="minorEastAsia"/>
          <w:color w:val="000000" w:themeColor="text1"/>
          <w:sz w:val="24"/>
          <w:highlight w:val="none"/>
          <w14:textFill>
            <w14:solidFill>
              <w14:schemeClr w14:val="tx1"/>
            </w14:solidFill>
          </w14:textFill>
        </w:rPr>
        <w:t>供应商</w:t>
      </w:r>
      <w:r>
        <w:rPr>
          <w:rFonts w:hint="eastAsia" w:asciiTheme="minorEastAsia" w:hAnsiTheme="minorEastAsia" w:eastAsiaTheme="minorEastAsia"/>
          <w:color w:val="000000" w:themeColor="text1"/>
          <w:sz w:val="24"/>
          <w:szCs w:val="24"/>
          <w:highlight w:val="none"/>
          <w14:textFill>
            <w14:solidFill>
              <w14:schemeClr w14:val="tx1"/>
            </w14:solidFill>
          </w14:textFill>
        </w:rPr>
        <w:t>承担所有相关责任。</w:t>
      </w:r>
    </w:p>
    <w:p w14:paraId="41C0B5E1">
      <w:pPr>
        <w:pStyle w:val="10"/>
        <w:spacing w:line="360" w:lineRule="auto"/>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asciiTheme="minorEastAsia" w:hAnsiTheme="minorEastAsia" w:eastAsiaTheme="minorEastAsia"/>
          <w:color w:val="000000" w:themeColor="text1"/>
          <w:sz w:val="24"/>
          <w:szCs w:val="24"/>
          <w:highlight w:val="none"/>
          <w14:textFill>
            <w14:solidFill>
              <w14:schemeClr w14:val="tx1"/>
            </w14:solidFill>
          </w14:textFill>
        </w:rPr>
        <w:t xml:space="preserve">9.2 </w:t>
      </w:r>
      <w:r>
        <w:rPr>
          <w:rFonts w:hint="eastAsia" w:asciiTheme="minorEastAsia" w:hAnsiTheme="minorEastAsia" w:eastAsiaTheme="minorEastAsia"/>
          <w:color w:val="000000" w:themeColor="text1"/>
          <w:sz w:val="24"/>
          <w:szCs w:val="24"/>
          <w:highlight w:val="none"/>
          <w14:textFill>
            <w14:solidFill>
              <w14:schemeClr w14:val="tx1"/>
            </w14:solidFill>
          </w14:textFill>
        </w:rPr>
        <w:t>除非磋商文件特别规定，采购人享有本项目实施过程中产生的知识成果及知识产权。</w:t>
      </w:r>
    </w:p>
    <w:p w14:paraId="31C55F16">
      <w:pPr>
        <w:spacing w:line="360" w:lineRule="auto"/>
        <w:ind w:firstLine="480" w:firstLineChars="200"/>
        <w:rPr>
          <w:rFonts w:asciiTheme="minorEastAsia" w:hAnsiTheme="minorEastAsia" w:eastAsiaTheme="minorEastAsia"/>
          <w:color w:val="000000" w:themeColor="text1"/>
          <w:sz w:val="32"/>
          <w:szCs w:val="32"/>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9.3</w:t>
      </w:r>
      <w:r>
        <w:rPr>
          <w:rFonts w:hint="eastAsia" w:asciiTheme="minorEastAsia" w:hAnsiTheme="minorEastAsia" w:eastAsiaTheme="minorEastAsia"/>
          <w:color w:val="000000" w:themeColor="text1"/>
          <w:sz w:val="24"/>
          <w:highlight w:val="none"/>
          <w14:textFill>
            <w14:solidFill>
              <w14:schemeClr w14:val="tx1"/>
            </w14:solidFill>
          </w14:textFill>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14:paraId="31363DFC">
      <w:pPr>
        <w:spacing w:line="360" w:lineRule="auto"/>
        <w:ind w:firstLine="460" w:firstLineChars="192"/>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9.4 </w:t>
      </w:r>
      <w:r>
        <w:rPr>
          <w:rFonts w:hint="eastAsia" w:asciiTheme="minorEastAsia" w:hAnsiTheme="minorEastAsia" w:eastAsiaTheme="minorEastAsia"/>
          <w:color w:val="000000" w:themeColor="text1"/>
          <w:sz w:val="24"/>
          <w:highlight w:val="none"/>
          <w14:textFill>
            <w14:solidFill>
              <w14:schemeClr w14:val="tx1"/>
            </w14:solidFill>
          </w14:textFill>
        </w:rPr>
        <w:t>如采用供应商所不拥有的知识产权，则在报价中必须包括合法获取该知识产权的相关费用。</w:t>
      </w:r>
      <w:bookmarkEnd w:id="27"/>
      <w:bookmarkStart w:id="31" w:name="_Toc183682346"/>
      <w:bookmarkStart w:id="32" w:name="_Toc217446038"/>
      <w:bookmarkStart w:id="33" w:name="_Toc183582209"/>
      <w:bookmarkStart w:id="34" w:name="_Toc89075875"/>
      <w:bookmarkStart w:id="35" w:name="_Toc77400779"/>
    </w:p>
    <w:p w14:paraId="5A41F8C0">
      <w:pPr>
        <w:pStyle w:val="3"/>
        <w:keepNext w:val="0"/>
        <w:keepLines w:val="0"/>
        <w:spacing w:before="0" w:after="0" w:line="360" w:lineRule="auto"/>
        <w:jc w:val="center"/>
        <w:rPr>
          <w:rFonts w:asciiTheme="minorEastAsia" w:hAnsiTheme="minorEastAsia" w:eastAsiaTheme="minorEastAsia"/>
          <w:bCs w:val="0"/>
          <w:color w:val="000000" w:themeColor="text1"/>
          <w:highlight w:val="none"/>
          <w14:textFill>
            <w14:solidFill>
              <w14:schemeClr w14:val="tx1"/>
            </w14:solidFill>
          </w14:textFill>
        </w:rPr>
      </w:pPr>
      <w:r>
        <w:rPr>
          <w:rFonts w:hint="eastAsia" w:asciiTheme="minorEastAsia" w:hAnsiTheme="minorEastAsia" w:eastAsiaTheme="minorEastAsia"/>
          <w:bCs w:val="0"/>
          <w:color w:val="000000" w:themeColor="text1"/>
          <w:highlight w:val="none"/>
          <w14:textFill>
            <w14:solidFill>
              <w14:schemeClr w14:val="tx1"/>
            </w14:solidFill>
          </w14:textFill>
        </w:rPr>
        <w:t>三、磋商文件</w:t>
      </w:r>
      <w:bookmarkEnd w:id="31"/>
      <w:bookmarkEnd w:id="32"/>
      <w:bookmarkEnd w:id="33"/>
      <w:bookmarkEnd w:id="34"/>
      <w:bookmarkEnd w:id="35"/>
    </w:p>
    <w:p w14:paraId="3D8117F8">
      <w:pPr>
        <w:pStyle w:val="4"/>
        <w:keepNext w:val="0"/>
        <w:keepLines w:val="0"/>
        <w:spacing w:before="0" w:after="0" w:line="360" w:lineRule="auto"/>
        <w:ind w:firstLine="482" w:firstLineChars="200"/>
        <w:rPr>
          <w:rFonts w:asciiTheme="minorEastAsia" w:hAnsiTheme="minorEastAsia" w:eastAsiaTheme="minorEastAsia"/>
          <w:color w:val="000000" w:themeColor="text1"/>
          <w:sz w:val="24"/>
          <w:highlight w:val="none"/>
          <w14:textFill>
            <w14:solidFill>
              <w14:schemeClr w14:val="tx1"/>
            </w14:solidFill>
          </w14:textFill>
        </w:rPr>
      </w:pPr>
      <w:bookmarkStart w:id="36" w:name="_Toc183582210"/>
      <w:bookmarkStart w:id="37" w:name="_Toc183682347"/>
      <w:bookmarkStart w:id="38" w:name="_Toc217446039"/>
    </w:p>
    <w:p w14:paraId="14E32CAC">
      <w:pPr>
        <w:pStyle w:val="4"/>
        <w:keepNext w:val="0"/>
        <w:keepLines w:val="0"/>
        <w:spacing w:before="0" w:after="0" w:line="360" w:lineRule="auto"/>
        <w:ind w:firstLine="482" w:firstLineChars="200"/>
        <w:rPr>
          <w:rFonts w:asciiTheme="minorEastAsia" w:hAnsiTheme="minorEastAsia" w:eastAsiaTheme="minorEastAsia"/>
          <w:color w:val="000000" w:themeColor="text1"/>
          <w:sz w:val="24"/>
          <w:highlight w:val="none"/>
          <w14:textFill>
            <w14:solidFill>
              <w14:schemeClr w14:val="tx1"/>
            </w14:solidFill>
          </w14:textFill>
        </w:rPr>
      </w:pPr>
      <w:bookmarkStart w:id="39" w:name="PO_默认文件内容_25"/>
      <w:r>
        <w:rPr>
          <w:rFonts w:asciiTheme="minorEastAsia" w:hAnsiTheme="minorEastAsia" w:eastAsiaTheme="minorEastAsia"/>
          <w:color w:val="000000" w:themeColor="text1"/>
          <w:sz w:val="24"/>
          <w:highlight w:val="none"/>
          <w14:textFill>
            <w14:solidFill>
              <w14:schemeClr w14:val="tx1"/>
            </w14:solidFill>
          </w14:textFill>
        </w:rPr>
        <w:t>10</w:t>
      </w:r>
      <w:r>
        <w:rPr>
          <w:rFonts w:hint="eastAsia" w:asciiTheme="minorEastAsia" w:hAnsiTheme="minorEastAsia" w:eastAsiaTheme="minorEastAsia"/>
          <w:color w:val="000000" w:themeColor="text1"/>
          <w:sz w:val="24"/>
          <w:highlight w:val="none"/>
          <w14:textFill>
            <w14:solidFill>
              <w14:schemeClr w14:val="tx1"/>
            </w14:solidFill>
          </w14:textFill>
        </w:rPr>
        <w:t>．磋商文件的构成</w:t>
      </w:r>
      <w:bookmarkEnd w:id="36"/>
      <w:bookmarkEnd w:id="37"/>
      <w:bookmarkEnd w:id="38"/>
      <w:r>
        <w:rPr>
          <w:rFonts w:hint="eastAsia" w:asciiTheme="minorEastAsia" w:hAnsiTheme="minorEastAsia" w:eastAsiaTheme="minorEastAsia"/>
          <w:color w:val="000000" w:themeColor="text1"/>
          <w:sz w:val="24"/>
          <w:highlight w:val="none"/>
          <w14:textFill>
            <w14:solidFill>
              <w14:schemeClr w14:val="tx1"/>
            </w14:solidFill>
          </w14:textFill>
        </w:rPr>
        <w:t>（实质性要求）</w:t>
      </w:r>
    </w:p>
    <w:p w14:paraId="5A640347">
      <w:pPr>
        <w:tabs>
          <w:tab w:val="left" w:pos="720"/>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10</w:t>
      </w:r>
      <w:r>
        <w:rPr>
          <w:rFonts w:asciiTheme="minorEastAsia" w:hAnsiTheme="minorEastAsia" w:eastAsiaTheme="minorEastAsia"/>
          <w:b/>
          <w:bCs/>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1 </w:t>
      </w:r>
      <w:r>
        <w:rPr>
          <w:rFonts w:hint="eastAsia" w:asciiTheme="minorEastAsia" w:hAnsiTheme="minorEastAsia" w:eastAsiaTheme="minorEastAsia"/>
          <w:color w:val="000000" w:themeColor="text1"/>
          <w:sz w:val="24"/>
          <w:highlight w:val="none"/>
          <w14:textFill>
            <w14:solidFill>
              <w14:schemeClr w14:val="tx1"/>
            </w14:solidFill>
          </w14:textFill>
        </w:rPr>
        <w:t>磋商文件是供应商准备响应文件和参加磋商的依据，同时也是磋商的重要依据。磋商文件用以阐明磋商项目所需的资质、技术、服务及报价等要求、磋商程序、有关规定和注意事项以及合同主要条款等。</w:t>
      </w:r>
    </w:p>
    <w:p w14:paraId="57D7859F">
      <w:pPr>
        <w:tabs>
          <w:tab w:val="left" w:pos="7665"/>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10</w:t>
      </w:r>
      <w:r>
        <w:rPr>
          <w:rFonts w:asciiTheme="minorEastAsia" w:hAnsiTheme="minorEastAsia" w:eastAsiaTheme="minorEastAsia"/>
          <w:b/>
          <w:bCs/>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2 </w:t>
      </w:r>
      <w:r>
        <w:rPr>
          <w:rFonts w:hint="eastAsia" w:asciiTheme="minorEastAsia" w:hAnsiTheme="minorEastAsia" w:eastAsiaTheme="minorEastAsia"/>
          <w:color w:val="000000" w:themeColor="text1"/>
          <w:sz w:val="24"/>
          <w:highlight w:val="none"/>
          <w14:textFill>
            <w14:solidFill>
              <w14:schemeClr w14:val="tx1"/>
            </w14:solidFill>
          </w14:textFill>
        </w:rPr>
        <w:t>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bookmarkStart w:id="40" w:name="_Toc183682348"/>
      <w:bookmarkStart w:id="41" w:name="_Toc183582211"/>
      <w:bookmarkStart w:id="42" w:name="_Toc217446040"/>
    </w:p>
    <w:p w14:paraId="066CD4AE">
      <w:pPr>
        <w:pStyle w:val="4"/>
        <w:keepNext w:val="0"/>
        <w:keepLines w:val="0"/>
        <w:spacing w:before="0" w:after="0" w:line="360" w:lineRule="auto"/>
        <w:ind w:firstLine="482"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11. </w:t>
      </w:r>
      <w:r>
        <w:rPr>
          <w:rFonts w:hint="eastAsia" w:asciiTheme="minorEastAsia" w:hAnsiTheme="minorEastAsia" w:eastAsiaTheme="minorEastAsia"/>
          <w:color w:val="000000" w:themeColor="text1"/>
          <w:sz w:val="24"/>
          <w:highlight w:val="none"/>
          <w14:textFill>
            <w14:solidFill>
              <w14:schemeClr w14:val="tx1"/>
            </w14:solidFill>
          </w14:textFill>
        </w:rPr>
        <w:t>磋商文件的澄清</w:t>
      </w:r>
      <w:bookmarkEnd w:id="40"/>
      <w:bookmarkEnd w:id="41"/>
      <w:r>
        <w:rPr>
          <w:rFonts w:hint="eastAsia" w:asciiTheme="minorEastAsia" w:hAnsiTheme="minorEastAsia" w:eastAsiaTheme="minorEastAsia"/>
          <w:color w:val="000000" w:themeColor="text1"/>
          <w:sz w:val="24"/>
          <w:highlight w:val="none"/>
          <w14:textFill>
            <w14:solidFill>
              <w14:schemeClr w14:val="tx1"/>
            </w14:solidFill>
          </w14:textFill>
        </w:rPr>
        <w:t>和修改</w:t>
      </w:r>
      <w:bookmarkEnd w:id="42"/>
    </w:p>
    <w:p w14:paraId="3AB243BA">
      <w:pPr>
        <w:tabs>
          <w:tab w:val="left" w:pos="720"/>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11.1 </w:t>
      </w:r>
      <w:r>
        <w:rPr>
          <w:rFonts w:hint="eastAsia" w:asciiTheme="minorEastAsia" w:hAnsiTheme="minorEastAsia" w:eastAsiaTheme="minorEastAsia"/>
          <w:color w:val="000000" w:themeColor="text1"/>
          <w:sz w:val="24"/>
          <w:highlight w:val="none"/>
          <w14:textFill>
            <w14:solidFill>
              <w14:schemeClr w14:val="tx1"/>
            </w14:solidFill>
          </w14:textFill>
        </w:rPr>
        <w:t>在递交响应文件截止时间前，采购人可以对磋商文件进行澄清或者修改。</w:t>
      </w:r>
    </w:p>
    <w:p w14:paraId="6F26D094">
      <w:pPr>
        <w:tabs>
          <w:tab w:val="left" w:pos="720"/>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11.2 </w:t>
      </w:r>
      <w:r>
        <w:rPr>
          <w:rFonts w:hint="eastAsia" w:asciiTheme="minorEastAsia" w:hAnsiTheme="minorEastAsia" w:eastAsiaTheme="minorEastAsia"/>
          <w:color w:val="000000" w:themeColor="text1"/>
          <w:sz w:val="24"/>
          <w:highlight w:val="none"/>
          <w14:textFill>
            <w14:solidFill>
              <w14:schemeClr w14:val="tx1"/>
            </w14:solidFill>
          </w14:textFill>
        </w:rPr>
        <w:t>采购人对已发出的磋商文件进行澄清或者修改，应当以书面形式将澄清或者修改的内容通知所有</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报名了</w:t>
      </w:r>
      <w:r>
        <w:rPr>
          <w:rFonts w:hint="eastAsia" w:asciiTheme="minorEastAsia" w:hAnsiTheme="minorEastAsia" w:eastAsiaTheme="minorEastAsia"/>
          <w:color w:val="000000" w:themeColor="text1"/>
          <w:sz w:val="24"/>
          <w:highlight w:val="none"/>
          <w14:textFill>
            <w14:solidFill>
              <w14:schemeClr w14:val="tx1"/>
            </w14:solidFill>
          </w14:textFill>
        </w:rPr>
        <w:t>的供应商，同时在</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金堂县第一人民医院官网</w:t>
      </w:r>
      <w:r>
        <w:rPr>
          <w:rFonts w:hint="eastAsia" w:asciiTheme="minorEastAsia" w:hAnsiTheme="minorEastAsia" w:eastAsiaTheme="minorEastAsia"/>
          <w:color w:val="000000" w:themeColor="text1"/>
          <w:sz w:val="24"/>
          <w:highlight w:val="none"/>
          <w14:textFill>
            <w14:solidFill>
              <w14:schemeClr w14:val="tx1"/>
            </w14:solidFill>
          </w14:textFill>
        </w:rPr>
        <w:t>上发布更正公告。该澄清或者修改的内容为磋商文件的组成部分，澄清或者修改的内容可能影响响应文件编制的，采购人发布公告并书面通知供应商的时间，应当在</w:t>
      </w:r>
      <w:r>
        <w:rPr>
          <w:rFonts w:hint="eastAsia" w:cs="宋体" w:asciiTheme="minorEastAsia" w:hAnsiTheme="minorEastAsia" w:eastAsiaTheme="minorEastAsia"/>
          <w:color w:val="000000" w:themeColor="text1"/>
          <w:sz w:val="24"/>
          <w:highlight w:val="none"/>
          <w14:textFill>
            <w14:solidFill>
              <w14:schemeClr w14:val="tx1"/>
            </w14:solidFill>
          </w14:textFill>
        </w:rPr>
        <w:t>提交</w:t>
      </w:r>
      <w:r>
        <w:rPr>
          <w:rFonts w:hint="eastAsia" w:asciiTheme="minorEastAsia" w:hAnsiTheme="minorEastAsia" w:eastAsiaTheme="minorEastAsia"/>
          <w:color w:val="000000" w:themeColor="text1"/>
          <w:sz w:val="24"/>
          <w:highlight w:val="none"/>
          <w14:textFill>
            <w14:solidFill>
              <w14:schemeClr w14:val="tx1"/>
            </w14:solidFill>
          </w14:textFill>
        </w:rPr>
        <w:t>首次响应文件截</w:t>
      </w:r>
      <w:r>
        <w:rPr>
          <w:rFonts w:hint="eastAsia" w:cs="宋体" w:asciiTheme="minorEastAsia" w:hAnsiTheme="minorEastAsia" w:eastAsiaTheme="minorEastAsia"/>
          <w:color w:val="000000" w:themeColor="text1"/>
          <w:sz w:val="24"/>
          <w:highlight w:val="none"/>
          <w14:textFill>
            <w14:solidFill>
              <w14:schemeClr w14:val="tx1"/>
            </w14:solidFill>
          </w14:textFill>
        </w:rPr>
        <w:t>止之日起</w:t>
      </w:r>
      <w:r>
        <w:rPr>
          <w:rFonts w:cs="宋体" w:asciiTheme="minorEastAsia" w:hAnsiTheme="minorEastAsia" w:eastAsiaTheme="minorEastAsia"/>
          <w:color w:val="000000" w:themeColor="text1"/>
          <w:sz w:val="24"/>
          <w:highlight w:val="none"/>
          <w14:textFill>
            <w14:solidFill>
              <w14:schemeClr w14:val="tx1"/>
            </w14:solidFill>
          </w14:textFill>
        </w:rPr>
        <w:t>5</w:t>
      </w:r>
      <w:r>
        <w:rPr>
          <w:rFonts w:hint="eastAsia" w:cs="宋体" w:asciiTheme="minorEastAsia" w:hAnsiTheme="minorEastAsia" w:eastAsiaTheme="minorEastAsia"/>
          <w:color w:val="000000" w:themeColor="text1"/>
          <w:sz w:val="24"/>
          <w:highlight w:val="none"/>
          <w14:textFill>
            <w14:solidFill>
              <w14:schemeClr w14:val="tx1"/>
            </w14:solidFill>
          </w14:textFill>
        </w:rPr>
        <w:t>日前</w:t>
      </w:r>
      <w:r>
        <w:rPr>
          <w:rFonts w:hint="eastAsia" w:asciiTheme="minorEastAsia" w:hAnsiTheme="minorEastAsia" w:eastAsiaTheme="minorEastAsia"/>
          <w:color w:val="000000" w:themeColor="text1"/>
          <w:sz w:val="24"/>
          <w:highlight w:val="none"/>
          <w14:textFill>
            <w14:solidFill>
              <w14:schemeClr w14:val="tx1"/>
            </w14:solidFill>
          </w14:textFill>
        </w:rPr>
        <w:t>；不足上述时间的，应当顺延递交响应文件的截止时间。</w:t>
      </w:r>
    </w:p>
    <w:p w14:paraId="3078FA06">
      <w:pPr>
        <w:tabs>
          <w:tab w:val="left" w:pos="7665"/>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11.3 </w:t>
      </w:r>
      <w:r>
        <w:rPr>
          <w:rFonts w:hint="eastAsia" w:asciiTheme="minorEastAsia" w:hAnsiTheme="minorEastAsia" w:eastAsiaTheme="minorEastAsia"/>
          <w:color w:val="000000" w:themeColor="text1"/>
          <w:sz w:val="24"/>
          <w:highlight w:val="none"/>
          <w14:textFill>
            <w14:solidFill>
              <w14:schemeClr w14:val="tx1"/>
            </w14:solidFill>
          </w14:textFill>
        </w:rPr>
        <w:t>供应商应于递交响应文件截止前，在</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金堂县第一人民医院官网</w:t>
      </w:r>
      <w:r>
        <w:rPr>
          <w:rFonts w:hint="eastAsia" w:asciiTheme="minorEastAsia" w:hAnsiTheme="minorEastAsia" w:eastAsiaTheme="minorEastAsia"/>
          <w:color w:val="000000" w:themeColor="text1"/>
          <w:sz w:val="24"/>
          <w:highlight w:val="none"/>
          <w14:textFill>
            <w14:solidFill>
              <w14:schemeClr w14:val="tx1"/>
            </w14:solidFill>
          </w14:textFill>
        </w:rPr>
        <w:t>查询本项目的更正公告，以保证其对磋商文件做出正确的响应。供应商未按要求下载相关文件，或由于未及时关注更正公告的信息造成的后果，其责任由供应商自行负责。</w:t>
      </w:r>
    </w:p>
    <w:p w14:paraId="2D9CCECF">
      <w:pPr>
        <w:tabs>
          <w:tab w:val="left" w:pos="720"/>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更正通知通过供应商报名时</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使用的</w:t>
      </w:r>
      <w:r>
        <w:rPr>
          <w:rFonts w:hint="eastAsia" w:asciiTheme="minorEastAsia" w:hAnsiTheme="minorEastAsia" w:eastAsiaTheme="minorEastAsia"/>
          <w:color w:val="000000" w:themeColor="text1"/>
          <w:sz w:val="24"/>
          <w:highlight w:val="none"/>
          <w14:textFill>
            <w14:solidFill>
              <w14:schemeClr w14:val="tx1"/>
            </w14:solidFill>
          </w14:textFill>
        </w:rPr>
        <w:t>电子邮箱发送至所有</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报名了</w:t>
      </w:r>
      <w:r>
        <w:rPr>
          <w:rFonts w:hint="eastAsia" w:asciiTheme="minorEastAsia" w:hAnsiTheme="minorEastAsia" w:eastAsiaTheme="minorEastAsia"/>
          <w:color w:val="000000" w:themeColor="text1"/>
          <w:sz w:val="24"/>
          <w:highlight w:val="none"/>
          <w14:textFill>
            <w14:solidFill>
              <w14:schemeClr w14:val="tx1"/>
            </w14:solidFill>
          </w14:textFill>
        </w:rPr>
        <w:t>的供应商，供应商在收到相应更正通知后，以书面形式给予确认。如供应商未给予书面回复，则视为收到并认可该更正通知的内容。</w:t>
      </w:r>
    </w:p>
    <w:p w14:paraId="28228CBF">
      <w:pPr>
        <w:tabs>
          <w:tab w:val="left" w:pos="720"/>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11.4</w:t>
      </w:r>
      <w:r>
        <w:rPr>
          <w:rFonts w:hint="eastAsia" w:asciiTheme="minorEastAsia" w:hAnsiTheme="minorEastAsia" w:eastAsiaTheme="minorEastAsia"/>
          <w:color w:val="000000" w:themeColor="text1"/>
          <w:sz w:val="24"/>
          <w:highlight w:val="none"/>
          <w14:textFill>
            <w14:solidFill>
              <w14:schemeClr w14:val="tx1"/>
            </w14:solidFill>
          </w14:textFill>
        </w:rPr>
        <w:t>供应商认为需要对磋商文件进行澄清或者修改的，可以以书面形式向采购人提出申请，由采购人决定是否采纳供应商的申请事项。</w:t>
      </w:r>
    </w:p>
    <w:p w14:paraId="6D9EA2CD">
      <w:pPr>
        <w:pStyle w:val="4"/>
        <w:keepNext w:val="0"/>
        <w:keepLines w:val="0"/>
        <w:spacing w:before="0" w:after="0" w:line="360" w:lineRule="auto"/>
        <w:ind w:firstLine="482" w:firstLineChars="200"/>
        <w:rPr>
          <w:rFonts w:asciiTheme="minorEastAsia" w:hAnsiTheme="minorEastAsia" w:eastAsiaTheme="minorEastAsia"/>
          <w:color w:val="000000" w:themeColor="text1"/>
          <w:sz w:val="24"/>
          <w:highlight w:val="none"/>
          <w14:textFill>
            <w14:solidFill>
              <w14:schemeClr w14:val="tx1"/>
            </w14:solidFill>
          </w14:textFill>
        </w:rPr>
      </w:pPr>
      <w:bookmarkStart w:id="43" w:name="_Toc217446041"/>
      <w:bookmarkStart w:id="44" w:name="_Toc208848971"/>
      <w:r>
        <w:rPr>
          <w:rFonts w:asciiTheme="minorEastAsia" w:hAnsiTheme="minorEastAsia" w:eastAsiaTheme="minorEastAsia"/>
          <w:color w:val="000000" w:themeColor="text1"/>
          <w:sz w:val="24"/>
          <w:highlight w:val="none"/>
          <w14:textFill>
            <w14:solidFill>
              <w14:schemeClr w14:val="tx1"/>
            </w14:solidFill>
          </w14:textFill>
        </w:rPr>
        <w:t xml:space="preserve">12. </w:t>
      </w:r>
      <w:r>
        <w:rPr>
          <w:rFonts w:hint="eastAsia" w:asciiTheme="minorEastAsia" w:hAnsiTheme="minorEastAsia" w:eastAsiaTheme="minorEastAsia"/>
          <w:color w:val="000000" w:themeColor="text1"/>
          <w:sz w:val="24"/>
          <w:highlight w:val="none"/>
          <w14:textFill>
            <w14:solidFill>
              <w14:schemeClr w14:val="tx1"/>
            </w14:solidFill>
          </w14:textFill>
        </w:rPr>
        <w:t>答疑会和现场考察</w:t>
      </w:r>
      <w:bookmarkEnd w:id="43"/>
      <w:bookmarkEnd w:id="44"/>
    </w:p>
    <w:p w14:paraId="7A908CEB">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12.1 </w:t>
      </w:r>
      <w:r>
        <w:rPr>
          <w:rFonts w:hint="eastAsia" w:asciiTheme="minorEastAsia" w:hAnsiTheme="minorEastAsia" w:eastAsiaTheme="minorEastAsia"/>
          <w:color w:val="000000" w:themeColor="text1"/>
          <w:sz w:val="24"/>
          <w:highlight w:val="none"/>
          <w14:textFill>
            <w14:solidFill>
              <w14:schemeClr w14:val="tx1"/>
            </w14:solidFill>
          </w14:textFill>
        </w:rPr>
        <w:t>根据采购项目和具体情况，采购人认为有必要，可以在</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报名</w:t>
      </w:r>
      <w:r>
        <w:rPr>
          <w:rFonts w:hint="eastAsia" w:asciiTheme="minorEastAsia" w:hAnsiTheme="minorEastAsia" w:eastAsiaTheme="minorEastAsia"/>
          <w:color w:val="000000" w:themeColor="text1"/>
          <w:sz w:val="24"/>
          <w:highlight w:val="none"/>
          <w14:textFill>
            <w14:solidFill>
              <w14:schemeClr w14:val="tx1"/>
            </w14:solidFill>
          </w14:textFill>
        </w:rPr>
        <w:t>截止后响应文件提交截止前，组织已</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报名</w:t>
      </w:r>
      <w:r>
        <w:rPr>
          <w:rFonts w:hint="eastAsia" w:asciiTheme="minorEastAsia" w:hAnsiTheme="minorEastAsia" w:eastAsiaTheme="minorEastAsia"/>
          <w:color w:val="000000" w:themeColor="text1"/>
          <w:sz w:val="24"/>
          <w:highlight w:val="none"/>
          <w14:textFill>
            <w14:solidFill>
              <w14:schemeClr w14:val="tx1"/>
            </w14:solidFill>
          </w14:textFill>
        </w:rPr>
        <w:t>的潜在供应商现场考察或者召开答疑会。</w:t>
      </w:r>
    </w:p>
    <w:p w14:paraId="54E7F1F6">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12.2</w:t>
      </w:r>
      <w:r>
        <w:rPr>
          <w:rFonts w:hint="eastAsia" w:asciiTheme="minorEastAsia" w:hAnsiTheme="minorEastAsia" w:eastAsiaTheme="minorEastAsia"/>
          <w:color w:val="000000" w:themeColor="text1"/>
          <w:sz w:val="24"/>
          <w:highlight w:val="none"/>
          <w14:textFill>
            <w14:solidFill>
              <w14:schemeClr w14:val="tx1"/>
            </w14:solidFill>
          </w14:textFill>
        </w:rPr>
        <w:t>采购人组织现场考察或者召开答疑会的，将以书面形式通知所有</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报名</w:t>
      </w:r>
      <w:r>
        <w:rPr>
          <w:rFonts w:hint="eastAsia" w:asciiTheme="minorEastAsia" w:hAnsiTheme="minorEastAsia" w:eastAsiaTheme="minorEastAsia"/>
          <w:color w:val="000000" w:themeColor="text1"/>
          <w:sz w:val="24"/>
          <w:highlight w:val="none"/>
          <w14:textFill>
            <w14:solidFill>
              <w14:schemeClr w14:val="tx1"/>
            </w14:solidFill>
          </w14:textFill>
        </w:rPr>
        <w:t>的潜在供应商。供应商接到通知后，不按照要求参加现场考察或者答疑会的，视同放弃参加现场考察或者答疑的权利，采购人不再对该供应商重新组织，但也不会以此限制供应商提交响应文件或者以此将供应商响应文件直接作为无效处理。</w:t>
      </w:r>
    </w:p>
    <w:p w14:paraId="4CE5AFD8">
      <w:pPr>
        <w:adjustRightInd w:val="0"/>
        <w:snapToGrid w:val="0"/>
        <w:spacing w:line="360" w:lineRule="auto"/>
        <w:ind w:firstLine="420" w:firstLineChars="175"/>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12.3 </w:t>
      </w:r>
      <w:r>
        <w:rPr>
          <w:rFonts w:hint="eastAsia" w:asciiTheme="minorEastAsia" w:hAnsiTheme="minorEastAsia" w:eastAsiaTheme="minorEastAsia"/>
          <w:color w:val="000000" w:themeColor="text1"/>
          <w:sz w:val="24"/>
          <w:highlight w:val="none"/>
          <w14:textFill>
            <w14:solidFill>
              <w14:schemeClr w14:val="tx1"/>
            </w14:solidFill>
          </w14:textFill>
        </w:rPr>
        <w:t>供应商考察现场或者参加答疑会所发生的一切费用由供应商自己承担。</w:t>
      </w:r>
      <w:bookmarkEnd w:id="39"/>
    </w:p>
    <w:p w14:paraId="5083DD4F">
      <w:pPr>
        <w:pStyle w:val="3"/>
        <w:keepNext w:val="0"/>
        <w:keepLines w:val="0"/>
        <w:spacing w:before="0" w:after="0" w:line="360" w:lineRule="auto"/>
        <w:jc w:val="center"/>
        <w:rPr>
          <w:rFonts w:asciiTheme="minorEastAsia" w:hAnsiTheme="minorEastAsia" w:eastAsiaTheme="minorEastAsia"/>
          <w:bCs w:val="0"/>
          <w:color w:val="000000" w:themeColor="text1"/>
          <w:highlight w:val="none"/>
          <w14:textFill>
            <w14:solidFill>
              <w14:schemeClr w14:val="tx1"/>
            </w14:solidFill>
          </w14:textFill>
        </w:rPr>
      </w:pPr>
      <w:bookmarkStart w:id="45" w:name="_Toc89075876"/>
      <w:bookmarkStart w:id="46" w:name="_Toc217446042"/>
      <w:bookmarkStart w:id="47" w:name="_Toc183582214"/>
      <w:bookmarkStart w:id="48" w:name="_Toc183682351"/>
      <w:bookmarkStart w:id="49" w:name="_Toc77400780"/>
    </w:p>
    <w:p w14:paraId="6943BA34">
      <w:pPr>
        <w:pStyle w:val="3"/>
        <w:keepNext w:val="0"/>
        <w:keepLines w:val="0"/>
        <w:spacing w:before="0" w:after="0" w:line="360" w:lineRule="auto"/>
        <w:jc w:val="center"/>
        <w:rPr>
          <w:rFonts w:asciiTheme="minorEastAsia" w:hAnsiTheme="minorEastAsia" w:eastAsiaTheme="minorEastAsia"/>
          <w:color w:val="000000" w:themeColor="text1"/>
          <w:highlight w:val="none"/>
          <w14:textFill>
            <w14:solidFill>
              <w14:schemeClr w14:val="tx1"/>
            </w14:solidFill>
          </w14:textFill>
        </w:rPr>
      </w:pPr>
      <w:bookmarkStart w:id="50" w:name="PO_默认文件内容_26"/>
      <w:r>
        <w:rPr>
          <w:rFonts w:hint="eastAsia" w:asciiTheme="minorEastAsia" w:hAnsiTheme="minorEastAsia" w:eastAsiaTheme="minorEastAsia"/>
          <w:bCs w:val="0"/>
          <w:color w:val="000000" w:themeColor="text1"/>
          <w:highlight w:val="none"/>
          <w14:textFill>
            <w14:solidFill>
              <w14:schemeClr w14:val="tx1"/>
            </w14:solidFill>
          </w14:textFill>
        </w:rPr>
        <w:t>四、响应文件</w:t>
      </w:r>
      <w:bookmarkEnd w:id="45"/>
      <w:bookmarkEnd w:id="46"/>
      <w:bookmarkEnd w:id="47"/>
      <w:bookmarkEnd w:id="48"/>
      <w:bookmarkEnd w:id="49"/>
    </w:p>
    <w:p w14:paraId="278AFF78">
      <w:pPr>
        <w:spacing w:line="400" w:lineRule="exact"/>
        <w:ind w:firstLine="482" w:firstLineChars="200"/>
        <w:outlineLvl w:val="2"/>
        <w:rPr>
          <w:rFonts w:asciiTheme="minorEastAsia" w:hAnsiTheme="minorEastAsia" w:eastAsiaTheme="minorEastAsia"/>
          <w:b/>
          <w:bCs/>
          <w:color w:val="000000" w:themeColor="text1"/>
          <w:sz w:val="24"/>
          <w:szCs w:val="32"/>
          <w:highlight w:val="none"/>
          <w14:textFill>
            <w14:solidFill>
              <w14:schemeClr w14:val="tx1"/>
            </w14:solidFill>
          </w14:textFill>
        </w:rPr>
      </w:pPr>
      <w:bookmarkStart w:id="51" w:name="_Toc217446043"/>
      <w:bookmarkStart w:id="52" w:name="_Toc183582215"/>
      <w:bookmarkStart w:id="53" w:name="_Toc183682352"/>
      <w:r>
        <w:rPr>
          <w:rFonts w:asciiTheme="minorEastAsia" w:hAnsiTheme="minorEastAsia" w:eastAsiaTheme="minorEastAsia"/>
          <w:b/>
          <w:bCs/>
          <w:color w:val="000000" w:themeColor="text1"/>
          <w:sz w:val="24"/>
          <w:szCs w:val="32"/>
          <w:highlight w:val="none"/>
          <w14:textFill>
            <w14:solidFill>
              <w14:schemeClr w14:val="tx1"/>
            </w14:solidFill>
          </w14:textFill>
        </w:rPr>
        <w:t>13.</w:t>
      </w:r>
      <w:r>
        <w:rPr>
          <w:rFonts w:hint="eastAsia" w:asciiTheme="minorEastAsia" w:hAnsiTheme="minorEastAsia" w:eastAsiaTheme="minorEastAsia"/>
          <w:b/>
          <w:bCs/>
          <w:color w:val="000000" w:themeColor="text1"/>
          <w:sz w:val="24"/>
          <w:szCs w:val="32"/>
          <w:highlight w:val="none"/>
          <w14:textFill>
            <w14:solidFill>
              <w14:schemeClr w14:val="tx1"/>
            </w14:solidFill>
          </w14:textFill>
        </w:rPr>
        <w:t>响应文件的组成</w:t>
      </w:r>
    </w:p>
    <w:p w14:paraId="7C1ADEF0">
      <w:pPr>
        <w:spacing w:line="400" w:lineRule="exact"/>
        <w:ind w:left="2" w:leftChars="1"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13.1</w:t>
      </w:r>
      <w:r>
        <w:rPr>
          <w:rFonts w:hint="eastAsia" w:asciiTheme="minorEastAsia" w:hAnsiTheme="minorEastAsia" w:eastAsiaTheme="minorEastAsia"/>
          <w:color w:val="000000" w:themeColor="text1"/>
          <w:sz w:val="24"/>
          <w:highlight w:val="none"/>
          <w14:textFill>
            <w14:solidFill>
              <w14:schemeClr w14:val="tx1"/>
            </w14:solidFill>
          </w14:textFill>
        </w:rPr>
        <w:t>供应商应按照磋商文件的规定和要求编制响应文件。供应商在成交后将成交项目的非主体、非关键性工作分包他人完成的，应当在响应文件中载明或磋商过程中澄清。</w:t>
      </w:r>
      <w:r>
        <w:rPr>
          <w:rFonts w:hint="eastAsia" w:asciiTheme="minorEastAsia" w:hAnsiTheme="minorEastAsia" w:eastAsiaTheme="minorEastAsia"/>
          <w:b/>
          <w:color w:val="000000" w:themeColor="text1"/>
          <w:sz w:val="24"/>
          <w:highlight w:val="none"/>
          <w14:textFill>
            <w14:solidFill>
              <w14:schemeClr w14:val="tx1"/>
            </w14:solidFill>
          </w14:textFill>
        </w:rPr>
        <w:t>（实质性要求）</w:t>
      </w:r>
    </w:p>
    <w:p w14:paraId="3B42ABA0">
      <w:pPr>
        <w:spacing w:line="400" w:lineRule="exact"/>
        <w:ind w:left="2" w:leftChars="1"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13.2</w:t>
      </w:r>
      <w:r>
        <w:rPr>
          <w:rFonts w:hint="eastAsia" w:asciiTheme="minorEastAsia" w:hAnsiTheme="minorEastAsia" w:eastAsiaTheme="minorEastAsia"/>
          <w:color w:val="000000" w:themeColor="text1"/>
          <w:sz w:val="24"/>
          <w:highlight w:val="none"/>
          <w14:textFill>
            <w14:solidFill>
              <w14:schemeClr w14:val="tx1"/>
            </w14:solidFill>
          </w14:textFill>
        </w:rPr>
        <w:t>供应商编写的响应文件应包括资格性响应文件和其他响应文件两部分，分册装订。</w:t>
      </w:r>
    </w:p>
    <w:p w14:paraId="48A6315A">
      <w:pPr>
        <w:pStyle w:val="4"/>
        <w:keepNext w:val="0"/>
        <w:keepLines w:val="0"/>
        <w:spacing w:before="0" w:after="0" w:line="360" w:lineRule="auto"/>
        <w:ind w:firstLine="482" w:firstLineChars="200"/>
        <w:rPr>
          <w:rFonts w:asciiTheme="minorEastAsia" w:hAnsiTheme="minorEastAsia" w:eastAsiaTheme="minorEastAsia"/>
          <w:bCs w:val="0"/>
          <w:color w:val="000000" w:themeColor="text1"/>
          <w:sz w:val="24"/>
          <w:highlight w:val="none"/>
          <w14:textFill>
            <w14:solidFill>
              <w14:schemeClr w14:val="tx1"/>
            </w14:solidFill>
          </w14:textFill>
        </w:rPr>
      </w:pPr>
      <w:r>
        <w:rPr>
          <w:rFonts w:asciiTheme="minorEastAsia" w:hAnsiTheme="minorEastAsia" w:eastAsiaTheme="minorEastAsia"/>
          <w:bCs w:val="0"/>
          <w:color w:val="000000" w:themeColor="text1"/>
          <w:sz w:val="24"/>
          <w:highlight w:val="none"/>
          <w14:textFill>
            <w14:solidFill>
              <w14:schemeClr w14:val="tx1"/>
            </w14:solidFill>
          </w14:textFill>
        </w:rPr>
        <w:t>14.</w:t>
      </w:r>
      <w:r>
        <w:rPr>
          <w:rFonts w:hint="eastAsia" w:asciiTheme="minorEastAsia" w:hAnsiTheme="minorEastAsia" w:eastAsiaTheme="minorEastAsia"/>
          <w:bCs w:val="0"/>
          <w:color w:val="000000" w:themeColor="text1"/>
          <w:sz w:val="24"/>
          <w:highlight w:val="none"/>
          <w14:textFill>
            <w14:solidFill>
              <w14:schemeClr w14:val="tx1"/>
            </w14:solidFill>
          </w14:textFill>
        </w:rPr>
        <w:t>响应文件的语言</w:t>
      </w:r>
      <w:bookmarkEnd w:id="51"/>
      <w:bookmarkEnd w:id="52"/>
      <w:bookmarkEnd w:id="53"/>
      <w:r>
        <w:rPr>
          <w:rFonts w:hint="eastAsia" w:asciiTheme="minorEastAsia" w:hAnsiTheme="minorEastAsia" w:eastAsiaTheme="minorEastAsia"/>
          <w:bCs w:val="0"/>
          <w:color w:val="000000" w:themeColor="text1"/>
          <w:sz w:val="24"/>
          <w:highlight w:val="none"/>
          <w14:textFill>
            <w14:solidFill>
              <w14:schemeClr w14:val="tx1"/>
            </w14:solidFill>
          </w14:textFill>
        </w:rPr>
        <w:t>（实质性要求）</w:t>
      </w:r>
    </w:p>
    <w:p w14:paraId="033FDAA9">
      <w:pPr>
        <w:tabs>
          <w:tab w:val="left" w:pos="1134"/>
        </w:tabs>
        <w:spacing w:line="360" w:lineRule="auto"/>
        <w:ind w:firstLine="480" w:firstLineChars="200"/>
        <w:jc w:val="lef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14.1</w:t>
      </w:r>
      <w:r>
        <w:rPr>
          <w:rFonts w:hint="eastAsia" w:asciiTheme="minorEastAsia" w:hAnsiTheme="minorEastAsia" w:eastAsiaTheme="minorEastAsia"/>
          <w:color w:val="000000" w:themeColor="text1"/>
          <w:sz w:val="24"/>
          <w:highlight w:val="none"/>
          <w14:textFill>
            <w14:solidFill>
              <w14:schemeClr w14:val="tx1"/>
            </w14:solidFill>
          </w14:textFill>
        </w:rPr>
        <w:t>供应商提交的响应文件以及供应商与采购组织单位就有关磋商采购的所有来往书面文件均须使用中文。响应文件中如附有外文资料，主要部分对应翻译成中文并加盖供应商公章后附在相关外文资料后面。</w:t>
      </w:r>
    </w:p>
    <w:p w14:paraId="7E5CCAD4">
      <w:pPr>
        <w:tabs>
          <w:tab w:val="left" w:pos="1134"/>
        </w:tabs>
        <w:spacing w:line="360" w:lineRule="auto"/>
        <w:ind w:firstLine="480" w:firstLineChars="200"/>
        <w:jc w:val="lef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14.2 </w:t>
      </w:r>
      <w:r>
        <w:rPr>
          <w:rFonts w:hint="eastAsia" w:asciiTheme="minorEastAsia" w:hAnsiTheme="minorEastAsia" w:eastAsiaTheme="minorEastAsia"/>
          <w:color w:val="000000" w:themeColor="text1"/>
          <w:sz w:val="24"/>
          <w:highlight w:val="none"/>
          <w14:textFill>
            <w14:solidFill>
              <w14:schemeClr w14:val="tx1"/>
            </w14:solidFill>
          </w14:textFill>
        </w:rPr>
        <w:t>翻译的中文资料与外文资料如果出现差异和矛盾时，以中文为准。涉嫌虚假响应的按照相关法律法规处理。</w:t>
      </w:r>
    </w:p>
    <w:p w14:paraId="009FB07D">
      <w:pPr>
        <w:spacing w:line="360" w:lineRule="auto"/>
        <w:ind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cs="宋体" w:asciiTheme="minorEastAsia" w:hAnsiTheme="minorEastAsia" w:eastAsiaTheme="minorEastAsia"/>
          <w:color w:val="000000" w:themeColor="text1"/>
          <w:sz w:val="24"/>
          <w:highlight w:val="none"/>
          <w14:textFill>
            <w14:solidFill>
              <w14:schemeClr w14:val="tx1"/>
            </w14:solidFill>
          </w14:textFill>
        </w:rPr>
        <w:t xml:space="preserve">14.3 </w:t>
      </w:r>
      <w:r>
        <w:rPr>
          <w:rFonts w:hint="eastAsia" w:cs="宋体" w:asciiTheme="minorEastAsia" w:hAnsiTheme="minorEastAsia" w:eastAsiaTheme="minorEastAsia"/>
          <w:color w:val="000000" w:themeColor="text1"/>
          <w:sz w:val="24"/>
          <w:highlight w:val="none"/>
          <w14:textFill>
            <w14:solidFill>
              <w14:schemeClr w14:val="tx1"/>
            </w14:solidFill>
          </w14:textFill>
        </w:rPr>
        <w:t>如因未翻译而造成的响应文件无效风险，由供应商承担。</w:t>
      </w:r>
    </w:p>
    <w:p w14:paraId="78B9D02D">
      <w:pPr>
        <w:pStyle w:val="4"/>
        <w:keepNext w:val="0"/>
        <w:keepLines w:val="0"/>
        <w:spacing w:before="0" w:after="0" w:line="360" w:lineRule="auto"/>
        <w:ind w:firstLine="482" w:firstLineChars="200"/>
        <w:rPr>
          <w:rFonts w:asciiTheme="minorEastAsia" w:hAnsiTheme="minorEastAsia" w:eastAsiaTheme="minorEastAsia"/>
          <w:color w:val="000000" w:themeColor="text1"/>
          <w:sz w:val="24"/>
          <w:highlight w:val="none"/>
          <w14:textFill>
            <w14:solidFill>
              <w14:schemeClr w14:val="tx1"/>
            </w14:solidFill>
          </w14:textFill>
        </w:rPr>
      </w:pPr>
      <w:bookmarkStart w:id="54" w:name="_Toc183582216"/>
      <w:bookmarkStart w:id="55" w:name="_Toc217446044"/>
      <w:bookmarkStart w:id="56" w:name="_Toc183682353"/>
      <w:r>
        <w:rPr>
          <w:rFonts w:asciiTheme="minorEastAsia" w:hAnsiTheme="minorEastAsia" w:eastAsiaTheme="minorEastAsia"/>
          <w:color w:val="000000" w:themeColor="text1"/>
          <w:sz w:val="24"/>
          <w:highlight w:val="none"/>
          <w14:textFill>
            <w14:solidFill>
              <w14:schemeClr w14:val="tx1"/>
            </w14:solidFill>
          </w14:textFill>
        </w:rPr>
        <w:t>15</w:t>
      </w:r>
      <w:r>
        <w:rPr>
          <w:rFonts w:hint="eastAsia" w:asciiTheme="minorEastAsia" w:hAnsiTheme="minorEastAsia" w:eastAsiaTheme="minorEastAsia"/>
          <w:color w:val="000000" w:themeColor="text1"/>
          <w:sz w:val="24"/>
          <w:highlight w:val="none"/>
          <w14:textFill>
            <w14:solidFill>
              <w14:schemeClr w14:val="tx1"/>
            </w14:solidFill>
          </w14:textFill>
        </w:rPr>
        <w:t>．计量单位</w:t>
      </w:r>
      <w:bookmarkEnd w:id="54"/>
      <w:bookmarkEnd w:id="55"/>
      <w:bookmarkEnd w:id="56"/>
      <w:r>
        <w:rPr>
          <w:rFonts w:hint="eastAsia" w:asciiTheme="minorEastAsia" w:hAnsiTheme="minorEastAsia" w:eastAsiaTheme="minorEastAsia"/>
          <w:color w:val="000000" w:themeColor="text1"/>
          <w:sz w:val="24"/>
          <w:highlight w:val="none"/>
          <w14:textFill>
            <w14:solidFill>
              <w14:schemeClr w14:val="tx1"/>
            </w14:solidFill>
          </w14:textFill>
        </w:rPr>
        <w:t>（实质性要求）</w:t>
      </w:r>
    </w:p>
    <w:p w14:paraId="36B2967F">
      <w:pPr>
        <w:spacing w:line="360" w:lineRule="auto"/>
        <w:ind w:firstLine="470" w:firstLineChars="196"/>
        <w:rPr>
          <w:rFonts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除磋商文件中另有规定外，本次采购项目所有合同项下的报价均采用国家法定的计量单位。</w:t>
      </w:r>
      <w:bookmarkStart w:id="57" w:name="_Toc217446045"/>
    </w:p>
    <w:p w14:paraId="26563F1D">
      <w:pPr>
        <w:spacing w:line="360" w:lineRule="auto"/>
        <w:ind w:firstLine="470" w:firstLineChars="195"/>
        <w:rPr>
          <w:rFonts w:asciiTheme="minorEastAsia" w:hAnsiTheme="minorEastAsia" w:eastAsiaTheme="minorEastAsia"/>
          <w:b/>
          <w:bCs/>
          <w:color w:val="000000" w:themeColor="text1"/>
          <w:sz w:val="24"/>
          <w:highlight w:val="none"/>
          <w14:textFill>
            <w14:solidFill>
              <w14:schemeClr w14:val="tx1"/>
            </w14:solidFill>
          </w14:textFill>
        </w:rPr>
      </w:pPr>
      <w:r>
        <w:rPr>
          <w:rFonts w:asciiTheme="minorEastAsia" w:hAnsiTheme="minorEastAsia" w:eastAsiaTheme="minorEastAsia"/>
          <w:b/>
          <w:bCs/>
          <w:color w:val="000000" w:themeColor="text1"/>
          <w:sz w:val="24"/>
          <w:highlight w:val="none"/>
          <w14:textFill>
            <w14:solidFill>
              <w14:schemeClr w14:val="tx1"/>
            </w14:solidFill>
          </w14:textFill>
        </w:rPr>
        <w:t xml:space="preserve">16. </w:t>
      </w:r>
      <w:r>
        <w:rPr>
          <w:rFonts w:hint="eastAsia" w:asciiTheme="minorEastAsia" w:hAnsiTheme="minorEastAsia" w:eastAsiaTheme="minorEastAsia"/>
          <w:b/>
          <w:color w:val="000000" w:themeColor="text1"/>
          <w:sz w:val="24"/>
          <w:highlight w:val="none"/>
          <w14:textFill>
            <w14:solidFill>
              <w14:schemeClr w14:val="tx1"/>
            </w14:solidFill>
          </w14:textFill>
        </w:rPr>
        <w:t>报价</w:t>
      </w:r>
      <w:r>
        <w:rPr>
          <w:rFonts w:hint="eastAsia" w:asciiTheme="minorEastAsia" w:hAnsiTheme="minorEastAsia" w:eastAsiaTheme="minorEastAsia"/>
          <w:b/>
          <w:bCs/>
          <w:color w:val="000000" w:themeColor="text1"/>
          <w:sz w:val="24"/>
          <w:highlight w:val="none"/>
          <w14:textFill>
            <w14:solidFill>
              <w14:schemeClr w14:val="tx1"/>
            </w14:solidFill>
          </w14:textFill>
        </w:rPr>
        <w:t>（实质性要求）</w:t>
      </w:r>
    </w:p>
    <w:p w14:paraId="1FC457C2">
      <w:pPr>
        <w:spacing w:line="360" w:lineRule="auto"/>
        <w:ind w:firstLine="468" w:firstLineChars="195"/>
        <w:rPr>
          <w:rFonts w:asciiTheme="minorEastAsia" w:hAnsiTheme="minorEastAsia" w:eastAsiaTheme="minorEastAsia"/>
          <w:bCs/>
          <w:color w:val="000000" w:themeColor="text1"/>
          <w:sz w:val="24"/>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t xml:space="preserve">16.1 </w:t>
      </w:r>
      <w:r>
        <w:rPr>
          <w:rFonts w:hint="eastAsia" w:asciiTheme="minorEastAsia" w:hAnsiTheme="minorEastAsia" w:eastAsiaTheme="minorEastAsia"/>
          <w:bCs/>
          <w:color w:val="000000" w:themeColor="text1"/>
          <w:sz w:val="24"/>
          <w:highlight w:val="none"/>
          <w14:textFill>
            <w14:solidFill>
              <w14:schemeClr w14:val="tx1"/>
            </w14:solidFill>
          </w14:textFill>
        </w:rPr>
        <w:t>所有报价一律以人民币报价。采购人不接受任何非人民币币种的报价。</w:t>
      </w:r>
    </w:p>
    <w:p w14:paraId="143CB3CC">
      <w:pPr>
        <w:spacing w:line="360" w:lineRule="auto"/>
        <w:ind w:firstLine="468" w:firstLineChars="195"/>
        <w:rPr>
          <w:rFonts w:asciiTheme="minorEastAsia" w:hAnsiTheme="minorEastAsia" w:eastAsiaTheme="minorEastAsia"/>
          <w:bCs/>
          <w:color w:val="000000" w:themeColor="text1"/>
          <w:sz w:val="24"/>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t xml:space="preserve">16.2 </w:t>
      </w:r>
      <w:r>
        <w:rPr>
          <w:rFonts w:hint="eastAsia" w:asciiTheme="minorEastAsia" w:hAnsiTheme="minorEastAsia" w:eastAsiaTheme="minorEastAsia"/>
          <w:bCs/>
          <w:color w:val="000000" w:themeColor="text1"/>
          <w:sz w:val="24"/>
          <w:highlight w:val="none"/>
          <w14:textFill>
            <w14:solidFill>
              <w14:schemeClr w14:val="tx1"/>
            </w14:solidFill>
          </w14:textFill>
        </w:rPr>
        <w:t>供应商的报价是其响应本项目要求的全部工作内容的价格体现，包括供应商完成本项目所需的一切费用。</w:t>
      </w:r>
    </w:p>
    <w:p w14:paraId="14C3B873">
      <w:pPr>
        <w:spacing w:line="360" w:lineRule="auto"/>
        <w:ind w:firstLine="468" w:firstLineChars="195"/>
        <w:rPr>
          <w:rFonts w:asciiTheme="minorEastAsia" w:hAnsiTheme="minorEastAsia" w:eastAsiaTheme="minorEastAsia"/>
          <w:bCs/>
          <w:color w:val="000000" w:themeColor="text1"/>
          <w:szCs w:val="21"/>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t xml:space="preserve">16.3 </w:t>
      </w:r>
      <w:r>
        <w:rPr>
          <w:rFonts w:hint="eastAsia" w:asciiTheme="minorEastAsia" w:hAnsiTheme="minorEastAsia" w:eastAsiaTheme="minorEastAsia"/>
          <w:bCs/>
          <w:color w:val="000000" w:themeColor="text1"/>
          <w:sz w:val="24"/>
          <w:highlight w:val="none"/>
          <w14:textFill>
            <w14:solidFill>
              <w14:schemeClr w14:val="tx1"/>
            </w14:solidFill>
          </w14:textFill>
        </w:rPr>
        <w:t>本项目合同价格形式为</w:t>
      </w:r>
      <w:r>
        <w:rPr>
          <w:rFonts w:hint="eastAsia" w:asciiTheme="minorEastAsia" w:hAnsiTheme="minorEastAsia" w:eastAsiaTheme="minorEastAsia"/>
          <w:b/>
          <w:bCs w:val="0"/>
          <w:color w:val="auto"/>
          <w:sz w:val="24"/>
          <w:highlight w:val="none"/>
        </w:rPr>
        <w:t>固定单价合同</w:t>
      </w:r>
      <w:r>
        <w:rPr>
          <w:rFonts w:hint="eastAsia" w:asciiTheme="minorEastAsia" w:hAnsiTheme="minorEastAsia" w:eastAsiaTheme="minorEastAsia"/>
          <w:bCs/>
          <w:color w:val="000000" w:themeColor="text1"/>
          <w:sz w:val="24"/>
          <w:highlight w:val="none"/>
          <w14:textFill>
            <w14:solidFill>
              <w14:schemeClr w14:val="tx1"/>
            </w14:solidFill>
          </w14:textFill>
        </w:rPr>
        <w:t>。</w:t>
      </w:r>
    </w:p>
    <w:p w14:paraId="019E57F9">
      <w:pPr>
        <w:spacing w:line="360" w:lineRule="auto"/>
        <w:ind w:firstLine="468" w:firstLineChars="195"/>
        <w:rPr>
          <w:rFonts w:asciiTheme="minorEastAsia" w:hAnsiTheme="minorEastAsia" w:eastAsiaTheme="minorEastAsia"/>
          <w:bCs/>
          <w:color w:val="000000" w:themeColor="text1"/>
          <w:sz w:val="24"/>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t>16.</w:t>
      </w:r>
      <w:r>
        <w:rPr>
          <w:rFonts w:hint="eastAsia" w:asciiTheme="minorEastAsia" w:hAnsiTheme="minorEastAsia" w:eastAsiaTheme="minorEastAsia"/>
          <w:bCs/>
          <w:color w:val="000000" w:themeColor="text1"/>
          <w:sz w:val="24"/>
          <w:highlight w:val="none"/>
          <w14:textFill>
            <w14:solidFill>
              <w14:schemeClr w14:val="tx1"/>
            </w14:solidFill>
          </w14:textFill>
        </w:rPr>
        <w:t>4供应商报价超过采购预算或最高限价（具体详见“供应商须知附表”）的，视为无效报价，将被淘汰。</w:t>
      </w:r>
    </w:p>
    <w:bookmarkEnd w:id="57"/>
    <w:p w14:paraId="72742049">
      <w:pPr>
        <w:spacing w:line="360" w:lineRule="auto"/>
        <w:ind w:left="2" w:leftChars="1" w:firstLine="482" w:firstLineChars="200"/>
        <w:rPr>
          <w:rFonts w:asciiTheme="minorEastAsia" w:hAnsiTheme="minorEastAsia" w:eastAsiaTheme="minorEastAsia"/>
          <w:b/>
          <w:bCs/>
          <w:color w:val="000000" w:themeColor="text1"/>
          <w:sz w:val="24"/>
          <w:highlight w:val="none"/>
          <w14:textFill>
            <w14:solidFill>
              <w14:schemeClr w14:val="tx1"/>
            </w14:solidFill>
          </w14:textFill>
        </w:rPr>
      </w:pPr>
      <w:r>
        <w:rPr>
          <w:rFonts w:asciiTheme="minorEastAsia" w:hAnsiTheme="minorEastAsia" w:eastAsiaTheme="minorEastAsia"/>
          <w:b/>
          <w:bCs/>
          <w:color w:val="000000" w:themeColor="text1"/>
          <w:sz w:val="24"/>
          <w:highlight w:val="none"/>
          <w14:textFill>
            <w14:solidFill>
              <w14:schemeClr w14:val="tx1"/>
            </w14:solidFill>
          </w14:textFill>
        </w:rPr>
        <w:t>17.</w:t>
      </w:r>
      <w:r>
        <w:rPr>
          <w:rFonts w:hint="eastAsia" w:asciiTheme="minorEastAsia" w:hAnsiTheme="minorEastAsia" w:eastAsiaTheme="minorEastAsia"/>
          <w:b/>
          <w:bCs/>
          <w:color w:val="000000" w:themeColor="text1"/>
          <w:sz w:val="24"/>
          <w:highlight w:val="none"/>
          <w14:textFill>
            <w14:solidFill>
              <w14:schemeClr w14:val="tx1"/>
            </w14:solidFill>
          </w14:textFill>
        </w:rPr>
        <w:t>响应文件格式</w:t>
      </w:r>
    </w:p>
    <w:p w14:paraId="2371635F">
      <w:pPr>
        <w:spacing w:line="360" w:lineRule="auto"/>
        <w:ind w:left="2" w:leftChars="1" w:firstLine="480" w:firstLineChars="200"/>
        <w:rPr>
          <w:rFonts w:asciiTheme="minorEastAsia" w:hAnsiTheme="minorEastAsia" w:eastAsiaTheme="minorEastAsia"/>
          <w:bCs/>
          <w:color w:val="000000" w:themeColor="text1"/>
          <w:sz w:val="24"/>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t xml:space="preserve">17.1 </w:t>
      </w:r>
      <w:r>
        <w:rPr>
          <w:rFonts w:hint="eastAsia" w:asciiTheme="minorEastAsia" w:hAnsiTheme="minorEastAsia" w:eastAsiaTheme="minorEastAsia"/>
          <w:bCs/>
          <w:color w:val="000000" w:themeColor="text1"/>
          <w:sz w:val="24"/>
          <w:highlight w:val="none"/>
          <w14:textFill>
            <w14:solidFill>
              <w14:schemeClr w14:val="tx1"/>
            </w14:solidFill>
          </w14:textFill>
        </w:rPr>
        <w:t>供应商应执行磋商文件第七章的规定要求。</w:t>
      </w:r>
    </w:p>
    <w:p w14:paraId="54B4CF76">
      <w:pPr>
        <w:spacing w:line="360" w:lineRule="auto"/>
        <w:ind w:left="2" w:leftChars="1"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17.2 </w:t>
      </w:r>
      <w:r>
        <w:rPr>
          <w:rFonts w:hint="eastAsia" w:asciiTheme="minorEastAsia" w:hAnsiTheme="minorEastAsia" w:eastAsiaTheme="minorEastAsia"/>
          <w:color w:val="000000" w:themeColor="text1"/>
          <w:sz w:val="24"/>
          <w:highlight w:val="none"/>
          <w14:textFill>
            <w14:solidFill>
              <w14:schemeClr w14:val="tx1"/>
            </w14:solidFill>
          </w14:textFill>
        </w:rPr>
        <w:t>对于没有格式要求的磋商文件由供应商自行编写。</w:t>
      </w:r>
      <w:bookmarkStart w:id="58" w:name="_Toc217446051"/>
      <w:bookmarkStart w:id="59" w:name="_Toc183582224"/>
      <w:bookmarkStart w:id="60" w:name="_Toc183682361"/>
    </w:p>
    <w:p w14:paraId="69366B7B">
      <w:pPr>
        <w:spacing w:line="360" w:lineRule="auto"/>
        <w:ind w:firstLine="472" w:firstLineChars="196"/>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18.</w:t>
      </w:r>
      <w:r>
        <w:rPr>
          <w:rFonts w:hint="eastAsia" w:asciiTheme="minorEastAsia" w:hAnsiTheme="minorEastAsia" w:eastAsiaTheme="minorEastAsia"/>
          <w:b/>
          <w:color w:val="000000" w:themeColor="text1"/>
          <w:sz w:val="24"/>
          <w:highlight w:val="none"/>
          <w14:textFill>
            <w14:solidFill>
              <w14:schemeClr w14:val="tx1"/>
            </w14:solidFill>
          </w14:textFill>
        </w:rPr>
        <w:t>响应文件的编制和签署</w:t>
      </w:r>
    </w:p>
    <w:p w14:paraId="6BCC3328">
      <w:pPr>
        <w:spacing w:line="360" w:lineRule="auto"/>
        <w:ind w:firstLine="468" w:firstLineChars="195"/>
        <w:rPr>
          <w:rFonts w:asciiTheme="minorEastAsia" w:hAnsiTheme="minorEastAsia" w:eastAsiaTheme="minorEastAsia"/>
          <w:bCs/>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18.1 </w:t>
      </w:r>
      <w:r>
        <w:rPr>
          <w:rFonts w:hint="eastAsia" w:asciiTheme="minorEastAsia" w:hAnsiTheme="minorEastAsia" w:eastAsiaTheme="minorEastAsia"/>
          <w:color w:val="000000" w:themeColor="text1"/>
          <w:sz w:val="24"/>
          <w:highlight w:val="none"/>
          <w14:textFill>
            <w14:solidFill>
              <w14:schemeClr w14:val="tx1"/>
            </w14:solidFill>
          </w14:textFill>
        </w:rPr>
        <w:t>资格性响应文件正本</w:t>
      </w: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份副本</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份</w:t>
      </w:r>
      <w:r>
        <w:rPr>
          <w:rFonts w:hint="eastAsia" w:asciiTheme="minorEastAsia" w:hAnsiTheme="minorEastAsia" w:eastAsiaTheme="minorEastAsia"/>
          <w:bCs/>
          <w:color w:val="000000" w:themeColor="text1"/>
          <w:sz w:val="24"/>
          <w:highlight w:val="none"/>
          <w14:textFill>
            <w14:solidFill>
              <w14:schemeClr w14:val="tx1"/>
            </w14:solidFill>
          </w14:textFill>
        </w:rPr>
        <w:t>，并在其封面上清楚地标明资格性响应文件、采购项目名称、采购项目编号、包件号及名称（若有）、供应商名称以及“正本”或“副本”字样。若正本和副本有不一致的内容，以正本书面响应文件为准。</w:t>
      </w:r>
    </w:p>
    <w:p w14:paraId="38AA0D81">
      <w:pPr>
        <w:spacing w:line="360" w:lineRule="auto"/>
        <w:ind w:firstLine="468" w:firstLineChars="195"/>
        <w:rPr>
          <w:rFonts w:asciiTheme="minorEastAsia" w:hAnsiTheme="minorEastAsia" w:eastAsiaTheme="minorEastAsia"/>
          <w:bCs/>
          <w:color w:val="000000" w:themeColor="text1"/>
          <w:sz w:val="24"/>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t xml:space="preserve">18.2 </w:t>
      </w:r>
      <w:r>
        <w:rPr>
          <w:rFonts w:hint="eastAsia" w:asciiTheme="minorEastAsia" w:hAnsiTheme="minorEastAsia" w:eastAsiaTheme="minorEastAsia"/>
          <w:bCs/>
          <w:color w:val="000000" w:themeColor="text1"/>
          <w:sz w:val="24"/>
          <w:highlight w:val="none"/>
          <w14:textFill>
            <w14:solidFill>
              <w14:schemeClr w14:val="tx1"/>
            </w14:solidFill>
          </w14:textFill>
        </w:rPr>
        <w:t>其他响应文件正本</w:t>
      </w:r>
      <w:r>
        <w:rPr>
          <w:rFonts w:asciiTheme="minorEastAsia" w:hAnsiTheme="minorEastAsia" w:eastAsiaTheme="minorEastAsia"/>
          <w:bCs/>
          <w:color w:val="000000" w:themeColor="text1"/>
          <w:sz w:val="24"/>
          <w:highlight w:val="none"/>
          <w14:textFill>
            <w14:solidFill>
              <w14:schemeClr w14:val="tx1"/>
            </w14:solidFill>
          </w14:textFill>
        </w:rPr>
        <w:t>1</w:t>
      </w:r>
      <w:r>
        <w:rPr>
          <w:rFonts w:hint="eastAsia" w:asciiTheme="minorEastAsia" w:hAnsiTheme="minorEastAsia" w:eastAsiaTheme="minorEastAsia"/>
          <w:bCs/>
          <w:color w:val="000000" w:themeColor="text1"/>
          <w:sz w:val="24"/>
          <w:highlight w:val="none"/>
          <w14:textFill>
            <w14:solidFill>
              <w14:schemeClr w14:val="tx1"/>
            </w14:solidFill>
          </w14:textFill>
        </w:rPr>
        <w:t>份副本</w:t>
      </w:r>
      <w:r>
        <w:rPr>
          <w:rFonts w:hint="eastAsia" w:asciiTheme="minorEastAsia" w:hAnsiTheme="minorEastAsia" w:eastAsiaTheme="minorEastAsia"/>
          <w:bCs/>
          <w:color w:val="000000" w:themeColor="text1"/>
          <w:sz w:val="24"/>
          <w:highlight w:val="none"/>
          <w:lang w:val="en-US" w:eastAsia="zh-CN"/>
          <w14:textFill>
            <w14:solidFill>
              <w14:schemeClr w14:val="tx1"/>
            </w14:solidFill>
          </w14:textFill>
        </w:rPr>
        <w:t>1</w:t>
      </w:r>
      <w:r>
        <w:rPr>
          <w:rFonts w:hint="eastAsia" w:asciiTheme="minorEastAsia" w:hAnsiTheme="minorEastAsia" w:eastAsiaTheme="minorEastAsia"/>
          <w:bCs/>
          <w:color w:val="000000" w:themeColor="text1"/>
          <w:sz w:val="24"/>
          <w:highlight w:val="none"/>
          <w14:textFill>
            <w14:solidFill>
              <w14:schemeClr w14:val="tx1"/>
            </w14:solidFill>
          </w14:textFill>
        </w:rPr>
        <w:t>份，并在其封面上清楚地标明其他响应文件、采购项目名称、采购项目编号、包件号及名称（若有）、供应商名称以及“正本”或“副本”字样。若正本和副本有不一致的内容，以正本书面响应文件为准。</w:t>
      </w:r>
    </w:p>
    <w:bookmarkEnd w:id="58"/>
    <w:bookmarkEnd w:id="59"/>
    <w:bookmarkEnd w:id="60"/>
    <w:p w14:paraId="5EC629B4">
      <w:pPr>
        <w:spacing w:line="360" w:lineRule="auto"/>
        <w:ind w:firstLine="468" w:firstLineChars="195"/>
        <w:rPr>
          <w:rFonts w:asciiTheme="minorEastAsia" w:hAnsiTheme="minorEastAsia" w:eastAsiaTheme="minorEastAsia"/>
          <w:bCs/>
          <w:color w:val="000000" w:themeColor="text1"/>
          <w:sz w:val="24"/>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t xml:space="preserve">18.3 </w:t>
      </w:r>
      <w:r>
        <w:rPr>
          <w:rFonts w:hint="eastAsia" w:asciiTheme="minorEastAsia" w:hAnsiTheme="minorEastAsia" w:eastAsiaTheme="minorEastAsia"/>
          <w:bCs/>
          <w:color w:val="000000" w:themeColor="text1"/>
          <w:sz w:val="24"/>
          <w:highlight w:val="none"/>
          <w14:textFill>
            <w14:solidFill>
              <w14:schemeClr w14:val="tx1"/>
            </w14:solidFill>
          </w14:textFill>
        </w:rPr>
        <w:t>响应文件正本和副本均需在规定签章处签字和盖章。响应文件副本可采用正本的复印件，提供电子文档</w:t>
      </w:r>
      <w:r>
        <w:rPr>
          <w:rFonts w:asciiTheme="minorEastAsia" w:hAnsiTheme="minorEastAsia" w:eastAsiaTheme="minorEastAsia"/>
          <w:bCs/>
          <w:color w:val="000000" w:themeColor="text1"/>
          <w:sz w:val="24"/>
          <w:highlight w:val="none"/>
          <w14:textFill>
            <w14:solidFill>
              <w14:schemeClr w14:val="tx1"/>
            </w14:solidFill>
          </w14:textFill>
        </w:rPr>
        <w:t>1</w:t>
      </w:r>
      <w:r>
        <w:rPr>
          <w:rFonts w:hint="eastAsia" w:asciiTheme="minorEastAsia" w:hAnsiTheme="minorEastAsia" w:eastAsiaTheme="minorEastAsia"/>
          <w:bCs/>
          <w:color w:val="000000" w:themeColor="text1"/>
          <w:sz w:val="24"/>
          <w:highlight w:val="none"/>
          <w14:textFill>
            <w14:solidFill>
              <w14:schemeClr w14:val="tx1"/>
            </w14:solidFill>
          </w14:textFill>
        </w:rPr>
        <w:t>份采用</w:t>
      </w:r>
      <w:r>
        <w:rPr>
          <w:rFonts w:asciiTheme="minorEastAsia" w:hAnsiTheme="minorEastAsia" w:eastAsiaTheme="minorEastAsia"/>
          <w:bCs/>
          <w:color w:val="000000" w:themeColor="text1"/>
          <w:sz w:val="24"/>
          <w:highlight w:val="none"/>
          <w14:textFill>
            <w14:solidFill>
              <w14:schemeClr w14:val="tx1"/>
            </w14:solidFill>
          </w14:textFill>
        </w:rPr>
        <w:t>U</w:t>
      </w:r>
      <w:r>
        <w:rPr>
          <w:rFonts w:hint="eastAsia" w:asciiTheme="minorEastAsia" w:hAnsiTheme="minorEastAsia" w:eastAsiaTheme="minorEastAsia"/>
          <w:bCs/>
          <w:color w:val="000000" w:themeColor="text1"/>
          <w:sz w:val="24"/>
          <w:highlight w:val="none"/>
          <w14:textFill>
            <w14:solidFill>
              <w14:schemeClr w14:val="tx1"/>
            </w14:solidFill>
          </w14:textFill>
        </w:rPr>
        <w:t>盘制作。</w:t>
      </w:r>
    </w:p>
    <w:p w14:paraId="6BE5330E">
      <w:pPr>
        <w:spacing w:line="360" w:lineRule="auto"/>
        <w:ind w:firstLine="468" w:firstLineChars="195"/>
        <w:rPr>
          <w:rFonts w:asciiTheme="minorEastAsia" w:hAnsiTheme="minorEastAsia" w:eastAsiaTheme="minorEastAsia"/>
          <w:bCs/>
          <w:color w:val="000000" w:themeColor="text1"/>
          <w:sz w:val="24"/>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t>18.4</w:t>
      </w:r>
      <w:r>
        <w:rPr>
          <w:rFonts w:hint="eastAsia" w:asciiTheme="minorEastAsia" w:hAnsiTheme="minorEastAsia" w:eastAsiaTheme="minorEastAsia"/>
          <w:bCs/>
          <w:color w:val="000000" w:themeColor="text1"/>
          <w:sz w:val="24"/>
          <w:highlight w:val="none"/>
          <w14:textFill>
            <w14:solidFill>
              <w14:schemeClr w14:val="tx1"/>
            </w14:solidFill>
          </w14:textFill>
        </w:rPr>
        <w:t>响应文件的打印和书写应清楚工整，任何行间插字、涂改或增删，必须由供应商的法定代表人</w:t>
      </w:r>
      <w:r>
        <w:rPr>
          <w:rFonts w:asciiTheme="minorEastAsia" w:hAnsiTheme="minorEastAsia" w:eastAsiaTheme="minorEastAsia"/>
          <w:bCs/>
          <w:color w:val="000000" w:themeColor="text1"/>
          <w:sz w:val="24"/>
          <w:highlight w:val="none"/>
          <w14:textFill>
            <w14:solidFill>
              <w14:schemeClr w14:val="tx1"/>
            </w14:solidFill>
          </w14:textFill>
        </w:rPr>
        <w:t>/</w:t>
      </w:r>
      <w:r>
        <w:rPr>
          <w:rFonts w:hint="eastAsia" w:asciiTheme="minorEastAsia" w:hAnsiTheme="minorEastAsia" w:eastAsiaTheme="minorEastAsia"/>
          <w:bCs/>
          <w:color w:val="000000" w:themeColor="text1"/>
          <w:sz w:val="24"/>
          <w:highlight w:val="none"/>
          <w14:textFill>
            <w14:solidFill>
              <w14:schemeClr w14:val="tx1"/>
            </w14:solidFill>
          </w14:textFill>
        </w:rPr>
        <w:t>单位负责人或其授权代表签字并盖供应商公章。</w:t>
      </w:r>
    </w:p>
    <w:p w14:paraId="0B9D27EA">
      <w:pPr>
        <w:spacing w:line="360" w:lineRule="auto"/>
        <w:ind w:firstLine="468" w:firstLineChars="195"/>
        <w:rPr>
          <w:rFonts w:asciiTheme="minorEastAsia" w:hAnsiTheme="minorEastAsia" w:eastAsiaTheme="minorEastAsia"/>
          <w:bCs/>
          <w:color w:val="000000" w:themeColor="text1"/>
          <w:sz w:val="24"/>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t>18.5</w:t>
      </w:r>
      <w:r>
        <w:rPr>
          <w:rFonts w:hint="eastAsia" w:asciiTheme="minorEastAsia" w:hAnsiTheme="minorEastAsia" w:eastAsiaTheme="minorEastAsia"/>
          <w:b/>
          <w:bCs/>
          <w:color w:val="000000" w:themeColor="text1"/>
          <w:sz w:val="24"/>
          <w:highlight w:val="none"/>
          <w14:textFill>
            <w14:solidFill>
              <w14:schemeClr w14:val="tx1"/>
            </w14:solidFill>
          </w14:textFill>
        </w:rPr>
        <w:t>（实质性要求）</w:t>
      </w:r>
      <w:r>
        <w:rPr>
          <w:rFonts w:hint="eastAsia" w:asciiTheme="minorEastAsia" w:hAnsiTheme="minorEastAsia" w:eastAsiaTheme="minorEastAsia"/>
          <w:bCs/>
          <w:color w:val="000000" w:themeColor="text1"/>
          <w:sz w:val="24"/>
          <w:highlight w:val="none"/>
          <w14:textFill>
            <w14:solidFill>
              <w14:schemeClr w14:val="tx1"/>
            </w14:solidFill>
          </w14:textFill>
        </w:rPr>
        <w:t>响应文件应由供应商法定代表人</w:t>
      </w:r>
      <w:r>
        <w:rPr>
          <w:rFonts w:asciiTheme="minorEastAsia" w:hAnsiTheme="minorEastAsia" w:eastAsiaTheme="minorEastAsia"/>
          <w:bCs/>
          <w:color w:val="000000" w:themeColor="text1"/>
          <w:sz w:val="24"/>
          <w:highlight w:val="none"/>
          <w14:textFill>
            <w14:solidFill>
              <w14:schemeClr w14:val="tx1"/>
            </w14:solidFill>
          </w14:textFill>
        </w:rPr>
        <w:t>/</w:t>
      </w:r>
      <w:r>
        <w:rPr>
          <w:rFonts w:hint="eastAsia" w:asciiTheme="minorEastAsia" w:hAnsiTheme="minorEastAsia" w:eastAsiaTheme="minorEastAsia"/>
          <w:bCs/>
          <w:color w:val="000000" w:themeColor="text1"/>
          <w:sz w:val="24"/>
          <w:highlight w:val="none"/>
          <w14:textFill>
            <w14:solidFill>
              <w14:schemeClr w14:val="tx1"/>
            </w14:solidFill>
          </w14:textFill>
        </w:rPr>
        <w:t>主要负责人</w:t>
      </w:r>
      <w:r>
        <w:rPr>
          <w:rFonts w:asciiTheme="minorEastAsia" w:hAnsiTheme="minorEastAsia" w:eastAsiaTheme="minorEastAsia"/>
          <w:bCs/>
          <w:color w:val="000000" w:themeColor="text1"/>
          <w:sz w:val="24"/>
          <w:highlight w:val="none"/>
          <w14:textFill>
            <w14:solidFill>
              <w14:schemeClr w14:val="tx1"/>
            </w14:solidFill>
          </w14:textFill>
        </w:rPr>
        <w:t>/</w:t>
      </w:r>
      <w:r>
        <w:rPr>
          <w:rFonts w:hint="eastAsia" w:asciiTheme="minorEastAsia" w:hAnsiTheme="minorEastAsia" w:eastAsiaTheme="minorEastAsia"/>
          <w:bCs/>
          <w:color w:val="000000" w:themeColor="text1"/>
          <w:sz w:val="24"/>
          <w:highlight w:val="none"/>
          <w14:textFill>
            <w14:solidFill>
              <w14:schemeClr w14:val="tx1"/>
            </w14:solidFill>
          </w14:textFill>
        </w:rPr>
        <w:t>本人或其授权代表在响应文件要求的地方签字（注：</w:t>
      </w:r>
      <w:r>
        <w:rPr>
          <w:rFonts w:hint="eastAsia" w:asciiTheme="minorEastAsia" w:hAnsiTheme="minorEastAsia" w:eastAsiaTheme="minorEastAsia"/>
          <w:color w:val="000000" w:themeColor="text1"/>
          <w:sz w:val="24"/>
          <w:highlight w:val="none"/>
          <w14:textFill>
            <w14:solidFill>
              <w14:schemeClr w14:val="tx1"/>
            </w14:solidFill>
          </w14:textFill>
        </w:rPr>
        <w:t>供应商为法人的，应当由其法定代表人或者</w:t>
      </w:r>
      <w:r>
        <w:rPr>
          <w:rFonts w:hint="eastAsia" w:asciiTheme="minorEastAsia" w:hAnsiTheme="minorEastAsia" w:eastAsiaTheme="minorEastAsia"/>
          <w:bCs/>
          <w:color w:val="000000" w:themeColor="text1"/>
          <w:sz w:val="24"/>
          <w:highlight w:val="none"/>
          <w14:textFill>
            <w14:solidFill>
              <w14:schemeClr w14:val="tx1"/>
            </w14:solidFill>
          </w14:textFill>
        </w:rPr>
        <w:t>授权代表</w:t>
      </w:r>
      <w:r>
        <w:rPr>
          <w:rFonts w:hint="eastAsia" w:asciiTheme="minorEastAsia" w:hAnsiTheme="minorEastAsia" w:eastAsiaTheme="minorEastAsia"/>
          <w:color w:val="000000" w:themeColor="text1"/>
          <w:sz w:val="24"/>
          <w:highlight w:val="none"/>
          <w14:textFill>
            <w14:solidFill>
              <w14:schemeClr w14:val="tx1"/>
            </w14:solidFill>
          </w14:textFill>
        </w:rPr>
        <w:t>签字确认；供应商为其他组织的，应当由其主要负责人或者</w:t>
      </w:r>
      <w:r>
        <w:rPr>
          <w:rFonts w:hint="eastAsia" w:asciiTheme="minorEastAsia" w:hAnsiTheme="minorEastAsia" w:eastAsiaTheme="minorEastAsia"/>
          <w:bCs/>
          <w:color w:val="000000" w:themeColor="text1"/>
          <w:sz w:val="24"/>
          <w:highlight w:val="none"/>
          <w14:textFill>
            <w14:solidFill>
              <w14:schemeClr w14:val="tx1"/>
            </w14:solidFill>
          </w14:textFill>
        </w:rPr>
        <w:t>授权代表</w:t>
      </w:r>
      <w:r>
        <w:rPr>
          <w:rFonts w:hint="eastAsia" w:asciiTheme="minorEastAsia" w:hAnsiTheme="minorEastAsia" w:eastAsiaTheme="minorEastAsia"/>
          <w:color w:val="000000" w:themeColor="text1"/>
          <w:sz w:val="24"/>
          <w:highlight w:val="none"/>
          <w14:textFill>
            <w14:solidFill>
              <w14:schemeClr w14:val="tx1"/>
            </w14:solidFill>
          </w14:textFill>
        </w:rPr>
        <w:t>签字确认；供应商为自然人的，应当由其本人或者</w:t>
      </w:r>
      <w:r>
        <w:rPr>
          <w:rFonts w:hint="eastAsia" w:asciiTheme="minorEastAsia" w:hAnsiTheme="minorEastAsia" w:eastAsiaTheme="minorEastAsia"/>
          <w:bCs/>
          <w:color w:val="000000" w:themeColor="text1"/>
          <w:sz w:val="24"/>
          <w:highlight w:val="none"/>
          <w14:textFill>
            <w14:solidFill>
              <w14:schemeClr w14:val="tx1"/>
            </w14:solidFill>
          </w14:textFill>
        </w:rPr>
        <w:t>授权代表</w:t>
      </w:r>
      <w:r>
        <w:rPr>
          <w:rFonts w:hint="eastAsia" w:asciiTheme="minorEastAsia" w:hAnsiTheme="minorEastAsia" w:eastAsiaTheme="minorEastAsia"/>
          <w:color w:val="000000" w:themeColor="text1"/>
          <w:sz w:val="24"/>
          <w:highlight w:val="none"/>
          <w14:textFill>
            <w14:solidFill>
              <w14:schemeClr w14:val="tx1"/>
            </w14:solidFill>
          </w14:textFill>
        </w:rPr>
        <w:t>签字确认</w:t>
      </w:r>
      <w:r>
        <w:rPr>
          <w:rFonts w:hint="eastAsia" w:asciiTheme="minorEastAsia" w:hAnsiTheme="minorEastAsia" w:eastAsiaTheme="minorEastAsia"/>
          <w:bCs/>
          <w:color w:val="000000" w:themeColor="text1"/>
          <w:sz w:val="24"/>
          <w:highlight w:val="none"/>
          <w14:textFill>
            <w14:solidFill>
              <w14:schemeClr w14:val="tx1"/>
            </w14:solidFill>
          </w14:textFill>
        </w:rPr>
        <w:t>）或加盖私人印章，要求加盖公章的地方加盖单位公章，不得使用专用章（如经济合同章、投标专用章等）或下属单位印章代替。</w:t>
      </w:r>
    </w:p>
    <w:p w14:paraId="720437B3">
      <w:pPr>
        <w:spacing w:line="360" w:lineRule="auto"/>
        <w:ind w:firstLine="468" w:firstLineChars="195"/>
        <w:rPr>
          <w:rFonts w:asciiTheme="minorEastAsia" w:hAnsiTheme="minorEastAsia" w:eastAsiaTheme="minorEastAsia"/>
          <w:bCs/>
          <w:color w:val="000000" w:themeColor="text1"/>
          <w:sz w:val="24"/>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t>18.6</w:t>
      </w:r>
      <w:r>
        <w:rPr>
          <w:rFonts w:hint="eastAsia" w:asciiTheme="minorEastAsia" w:hAnsiTheme="minorEastAsia" w:eastAsiaTheme="minorEastAsia"/>
          <w:bCs/>
          <w:color w:val="000000" w:themeColor="text1"/>
          <w:sz w:val="24"/>
          <w:highlight w:val="none"/>
          <w14:textFill>
            <w14:solidFill>
              <w14:schemeClr w14:val="tx1"/>
            </w14:solidFill>
          </w14:textFill>
        </w:rPr>
        <w:t>响应文件正本和副本需要逐页编目编码。</w:t>
      </w:r>
    </w:p>
    <w:p w14:paraId="7076C1DC">
      <w:pPr>
        <w:tabs>
          <w:tab w:val="left" w:pos="1080"/>
        </w:tabs>
        <w:spacing w:line="360" w:lineRule="auto"/>
        <w:ind w:firstLine="460" w:firstLineChars="192"/>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18.7</w:t>
      </w:r>
      <w:r>
        <w:rPr>
          <w:rFonts w:hint="eastAsia" w:asciiTheme="minorEastAsia" w:hAnsiTheme="minorEastAsia" w:eastAsiaTheme="minorEastAsia"/>
          <w:b/>
          <w:color w:val="000000" w:themeColor="text1"/>
          <w:sz w:val="24"/>
          <w:highlight w:val="none"/>
          <w14:textFill>
            <w14:solidFill>
              <w14:schemeClr w14:val="tx1"/>
            </w14:solidFill>
          </w14:textFill>
        </w:rPr>
        <w:t>（实质性要求）</w:t>
      </w:r>
      <w:r>
        <w:rPr>
          <w:rFonts w:hint="eastAsia" w:asciiTheme="minorEastAsia" w:hAnsiTheme="minorEastAsia" w:eastAsiaTheme="minorEastAsia"/>
          <w:color w:val="000000" w:themeColor="text1"/>
          <w:sz w:val="24"/>
          <w:highlight w:val="none"/>
          <w14:textFill>
            <w14:solidFill>
              <w14:schemeClr w14:val="tx1"/>
            </w14:solidFill>
          </w14:textFill>
        </w:rPr>
        <w:t>响应文件正本和副本应当采用胶装方式装订成册，不得散装或者合页装订。</w:t>
      </w:r>
    </w:p>
    <w:p w14:paraId="45E3F1F0">
      <w:pPr>
        <w:tabs>
          <w:tab w:val="left" w:pos="1080"/>
        </w:tabs>
        <w:spacing w:line="400" w:lineRule="exact"/>
        <w:ind w:firstLine="460" w:firstLineChars="192"/>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18.8</w:t>
      </w:r>
      <w:r>
        <w:rPr>
          <w:rFonts w:hint="eastAsia" w:asciiTheme="minorEastAsia" w:hAnsiTheme="minorEastAsia" w:eastAsiaTheme="minorEastAsia"/>
          <w:b/>
          <w:color w:val="000000" w:themeColor="text1"/>
          <w:sz w:val="24"/>
          <w:highlight w:val="none"/>
          <w14:textFill>
            <w14:solidFill>
              <w14:schemeClr w14:val="tx1"/>
            </w14:solidFill>
          </w14:textFill>
        </w:rPr>
        <w:t>（实质性要求）</w:t>
      </w:r>
      <w:r>
        <w:rPr>
          <w:rFonts w:hint="eastAsia" w:asciiTheme="minorEastAsia" w:hAnsiTheme="minorEastAsia" w:eastAsiaTheme="minorEastAsia"/>
          <w:color w:val="000000" w:themeColor="text1"/>
          <w:sz w:val="24"/>
          <w:highlight w:val="none"/>
          <w14:textFill>
            <w14:solidFill>
              <w14:schemeClr w14:val="tx1"/>
            </w14:solidFill>
          </w14:textFill>
        </w:rPr>
        <w:t>响应文件应按磋商文件的要求签署、盖章（第八章</w:t>
      </w:r>
      <w:r>
        <w:rPr>
          <w:rFonts w:asciiTheme="minorEastAsia" w:hAnsiTheme="minorEastAsia" w:eastAsiaTheme="minorEastAsia"/>
          <w:color w:val="000000" w:themeColor="text1"/>
          <w:sz w:val="24"/>
          <w:highlight w:val="none"/>
          <w14:textFill>
            <w14:solidFill>
              <w14:schemeClr w14:val="tx1"/>
            </w14:solidFill>
          </w14:textFill>
        </w:rPr>
        <w:t>2.4.6</w:t>
      </w:r>
      <w:r>
        <w:rPr>
          <w:rFonts w:hint="eastAsia" w:asciiTheme="minorEastAsia" w:hAnsiTheme="minorEastAsia" w:eastAsiaTheme="minorEastAsia"/>
          <w:color w:val="000000" w:themeColor="text1"/>
          <w:sz w:val="24"/>
          <w:highlight w:val="none"/>
          <w14:textFill>
            <w14:solidFill>
              <w14:schemeClr w14:val="tx1"/>
            </w14:solidFill>
          </w14:textFill>
        </w:rPr>
        <w:t>规定的例外情形除外）。</w:t>
      </w:r>
    </w:p>
    <w:p w14:paraId="5F5AE2B0">
      <w:pPr>
        <w:tabs>
          <w:tab w:val="left" w:pos="1080"/>
        </w:tabs>
        <w:spacing w:line="360" w:lineRule="auto"/>
        <w:ind w:firstLine="460" w:firstLineChars="192"/>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18.9</w:t>
      </w:r>
      <w:r>
        <w:rPr>
          <w:rFonts w:hint="eastAsia" w:asciiTheme="minorEastAsia" w:hAnsiTheme="minorEastAsia" w:eastAsiaTheme="minorEastAsia"/>
          <w:color w:val="000000" w:themeColor="text1"/>
          <w:sz w:val="24"/>
          <w:highlight w:val="none"/>
          <w14:textFill>
            <w14:solidFill>
              <w14:schemeClr w14:val="tx1"/>
            </w14:solidFill>
          </w14:textFill>
        </w:rPr>
        <w:t>响应文件统一用</w:t>
      </w:r>
      <w:r>
        <w:rPr>
          <w:rFonts w:asciiTheme="minorEastAsia" w:hAnsiTheme="minorEastAsia" w:eastAsiaTheme="minorEastAsia"/>
          <w:color w:val="000000" w:themeColor="text1"/>
          <w:sz w:val="24"/>
          <w:highlight w:val="none"/>
          <w14:textFill>
            <w14:solidFill>
              <w14:schemeClr w14:val="tx1"/>
            </w14:solidFill>
          </w14:textFill>
        </w:rPr>
        <w:t>A4</w:t>
      </w:r>
      <w:r>
        <w:rPr>
          <w:rFonts w:hint="eastAsia" w:asciiTheme="minorEastAsia" w:hAnsiTheme="minorEastAsia" w:eastAsiaTheme="minorEastAsia"/>
          <w:color w:val="000000" w:themeColor="text1"/>
          <w:sz w:val="24"/>
          <w:highlight w:val="none"/>
          <w14:textFill>
            <w14:solidFill>
              <w14:schemeClr w14:val="tx1"/>
            </w14:solidFill>
          </w14:textFill>
        </w:rPr>
        <w:t>幅面纸印制，除另有规定外。</w:t>
      </w:r>
      <w:bookmarkStart w:id="61" w:name="_Toc183682363"/>
      <w:bookmarkStart w:id="62" w:name="_Toc183582226"/>
      <w:bookmarkStart w:id="63" w:name="_Toc89075877"/>
      <w:bookmarkStart w:id="64" w:name="_Toc77400781"/>
      <w:bookmarkStart w:id="65" w:name="_Toc217446053"/>
    </w:p>
    <w:p w14:paraId="6AD36C2D">
      <w:pPr>
        <w:tabs>
          <w:tab w:val="left" w:pos="1080"/>
        </w:tabs>
        <w:spacing w:line="360" w:lineRule="auto"/>
        <w:ind w:firstLine="463" w:firstLineChars="192"/>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19.</w:t>
      </w:r>
      <w:r>
        <w:rPr>
          <w:rFonts w:hint="eastAsia" w:asciiTheme="minorEastAsia" w:hAnsiTheme="minorEastAsia" w:eastAsiaTheme="minorEastAsia"/>
          <w:b/>
          <w:color w:val="000000" w:themeColor="text1"/>
          <w:sz w:val="24"/>
          <w:highlight w:val="none"/>
          <w14:textFill>
            <w14:solidFill>
              <w14:schemeClr w14:val="tx1"/>
            </w14:solidFill>
          </w14:textFill>
        </w:rPr>
        <w:t>响应文件的密封和标注（不属于本项目磋商小组评审范畴，由采购人、采购代理机构在接收响应文件时及时处理）</w:t>
      </w:r>
    </w:p>
    <w:p w14:paraId="40105D54">
      <w:pPr>
        <w:tabs>
          <w:tab w:val="left" w:pos="1080"/>
        </w:tabs>
        <w:spacing w:line="360" w:lineRule="auto"/>
        <w:ind w:firstLine="460" w:firstLineChars="192"/>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19.1 </w:t>
      </w:r>
      <w:r>
        <w:rPr>
          <w:rFonts w:hint="eastAsia" w:asciiTheme="minorEastAsia" w:hAnsiTheme="minorEastAsia" w:eastAsiaTheme="minorEastAsia"/>
          <w:color w:val="000000" w:themeColor="text1"/>
          <w:sz w:val="24"/>
          <w:highlight w:val="none"/>
          <w14:textFill>
            <w14:solidFill>
              <w14:schemeClr w14:val="tx1"/>
            </w14:solidFill>
          </w14:textFill>
        </w:rPr>
        <w:t>响应文件可以单独密封包装，也可以所有响应文件密封包装在一个密封袋内。</w:t>
      </w:r>
    </w:p>
    <w:p w14:paraId="4BCCFCFC">
      <w:pPr>
        <w:tabs>
          <w:tab w:val="left" w:pos="1080"/>
        </w:tabs>
        <w:spacing w:line="360" w:lineRule="auto"/>
        <w:ind w:firstLine="460" w:firstLineChars="192"/>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19.2 </w:t>
      </w:r>
      <w:r>
        <w:rPr>
          <w:rFonts w:hint="eastAsia" w:asciiTheme="minorEastAsia" w:hAnsiTheme="minorEastAsia" w:eastAsiaTheme="minorEastAsia"/>
          <w:color w:val="000000" w:themeColor="text1"/>
          <w:sz w:val="24"/>
          <w:highlight w:val="none"/>
          <w14:textFill>
            <w14:solidFill>
              <w14:schemeClr w14:val="tx1"/>
            </w14:solidFill>
          </w14:textFill>
        </w:rPr>
        <w:t>响应文件密封袋的最外层应清楚地标明采购项目名称、采购项目编号、包件号及名称（若有）、供应商名称。</w:t>
      </w:r>
    </w:p>
    <w:p w14:paraId="0F087DA1">
      <w:pPr>
        <w:tabs>
          <w:tab w:val="left" w:pos="1080"/>
        </w:tabs>
        <w:spacing w:line="360" w:lineRule="auto"/>
        <w:ind w:firstLine="460" w:firstLineChars="192"/>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19.3 </w:t>
      </w:r>
      <w:r>
        <w:rPr>
          <w:rFonts w:hint="eastAsia" w:asciiTheme="minorEastAsia" w:hAnsiTheme="minorEastAsia" w:eastAsiaTheme="minorEastAsia"/>
          <w:color w:val="000000" w:themeColor="text1"/>
          <w:sz w:val="24"/>
          <w:highlight w:val="none"/>
          <w14:textFill>
            <w14:solidFill>
              <w14:schemeClr w14:val="tx1"/>
            </w14:solidFill>
          </w14:textFill>
        </w:rPr>
        <w:t>所有外层密封袋的封口处应粘贴牢固。</w:t>
      </w:r>
    </w:p>
    <w:p w14:paraId="2ADE9B25">
      <w:pPr>
        <w:tabs>
          <w:tab w:val="left" w:pos="1080"/>
        </w:tabs>
        <w:spacing w:line="360" w:lineRule="auto"/>
        <w:ind w:firstLine="460" w:firstLineChars="192"/>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19.4 </w:t>
      </w:r>
      <w:r>
        <w:rPr>
          <w:rFonts w:hint="eastAsia" w:asciiTheme="minorEastAsia" w:hAnsiTheme="minorEastAsia" w:eastAsiaTheme="minorEastAsia"/>
          <w:color w:val="000000" w:themeColor="text1"/>
          <w:sz w:val="24"/>
          <w:highlight w:val="none"/>
          <w14:textFill>
            <w14:solidFill>
              <w14:schemeClr w14:val="tx1"/>
            </w14:solidFill>
          </w14:textFill>
        </w:rPr>
        <w:t>未密封的响应文件，采购人将拒收或者在时间允许的范围内，要求供应商密封完善后接收。</w:t>
      </w:r>
    </w:p>
    <w:p w14:paraId="2CC61711">
      <w:pPr>
        <w:tabs>
          <w:tab w:val="left" w:pos="1080"/>
        </w:tabs>
        <w:spacing w:line="360" w:lineRule="auto"/>
        <w:ind w:firstLine="463" w:firstLineChars="192"/>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20.</w:t>
      </w:r>
      <w:r>
        <w:rPr>
          <w:rFonts w:hint="eastAsia" w:asciiTheme="minorEastAsia" w:hAnsiTheme="minorEastAsia" w:eastAsiaTheme="minorEastAsia"/>
          <w:b/>
          <w:color w:val="000000" w:themeColor="text1"/>
          <w:sz w:val="24"/>
          <w:highlight w:val="none"/>
          <w14:textFill>
            <w14:solidFill>
              <w14:schemeClr w14:val="tx1"/>
            </w14:solidFill>
          </w14:textFill>
        </w:rPr>
        <w:t>响应文件的递交</w:t>
      </w:r>
    </w:p>
    <w:p w14:paraId="4BF7B05A">
      <w:pPr>
        <w:tabs>
          <w:tab w:val="left" w:pos="1080"/>
        </w:tabs>
        <w:spacing w:line="360" w:lineRule="auto"/>
        <w:ind w:firstLine="460" w:firstLineChars="192"/>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20.1 </w:t>
      </w:r>
      <w:r>
        <w:rPr>
          <w:rFonts w:hint="eastAsia" w:asciiTheme="minorEastAsia" w:hAnsiTheme="minorEastAsia" w:eastAsiaTheme="minorEastAsia"/>
          <w:color w:val="000000" w:themeColor="text1"/>
          <w:sz w:val="24"/>
          <w:highlight w:val="none"/>
          <w14:textFill>
            <w14:solidFill>
              <w14:schemeClr w14:val="tx1"/>
            </w14:solidFill>
          </w14:textFill>
        </w:rPr>
        <w:t>资格性响应文件和其他响应文件应于递交响应文件截止时间前送达指定地点，采购人拒绝接收截止时间后送达的响应文件。供应商在递交响应文件时，用正楷填写 “递交响应文件登记表”然后将登记表和响应文件一并递交给采购</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人</w:t>
      </w:r>
      <w:r>
        <w:rPr>
          <w:rFonts w:hint="eastAsia" w:asciiTheme="minorEastAsia" w:hAnsiTheme="minorEastAsia" w:eastAsiaTheme="minorEastAsia"/>
          <w:color w:val="000000" w:themeColor="text1"/>
          <w:sz w:val="24"/>
          <w:highlight w:val="none"/>
          <w14:textFill>
            <w14:solidFill>
              <w14:schemeClr w14:val="tx1"/>
            </w14:solidFill>
          </w14:textFill>
        </w:rPr>
        <w:t>。</w:t>
      </w:r>
    </w:p>
    <w:p w14:paraId="0CFE5B01">
      <w:pPr>
        <w:tabs>
          <w:tab w:val="left" w:pos="1080"/>
        </w:tabs>
        <w:spacing w:line="360" w:lineRule="auto"/>
        <w:ind w:firstLine="460" w:firstLineChars="192"/>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20.2 </w:t>
      </w:r>
      <w:r>
        <w:rPr>
          <w:rFonts w:hint="eastAsia" w:asciiTheme="minorEastAsia" w:hAnsiTheme="minorEastAsia" w:eastAsiaTheme="minorEastAsia"/>
          <w:color w:val="000000" w:themeColor="text1"/>
          <w:sz w:val="24"/>
          <w:highlight w:val="none"/>
          <w14:textFill>
            <w14:solidFill>
              <w14:schemeClr w14:val="tx1"/>
            </w14:solidFill>
          </w14:textFill>
        </w:rPr>
        <w:t>采购</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人</w:t>
      </w:r>
      <w:r>
        <w:rPr>
          <w:rFonts w:hint="eastAsia" w:asciiTheme="minorEastAsia" w:hAnsiTheme="minorEastAsia" w:eastAsiaTheme="minorEastAsia"/>
          <w:color w:val="000000" w:themeColor="text1"/>
          <w:sz w:val="24"/>
          <w:highlight w:val="none"/>
          <w14:textFill>
            <w14:solidFill>
              <w14:schemeClr w14:val="tx1"/>
            </w14:solidFill>
          </w14:textFill>
        </w:rPr>
        <w:t>将向通过资格审查的供应商发出磋商邀请；告知未通过资格审查的供应商未通过的原因。</w:t>
      </w:r>
    </w:p>
    <w:p w14:paraId="531567B8">
      <w:pPr>
        <w:tabs>
          <w:tab w:val="left" w:pos="1080"/>
        </w:tabs>
        <w:spacing w:line="360" w:lineRule="auto"/>
        <w:ind w:firstLine="460" w:firstLineChars="192"/>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20.3 </w:t>
      </w:r>
      <w:r>
        <w:rPr>
          <w:rFonts w:hint="eastAsia" w:asciiTheme="minorEastAsia" w:hAnsiTheme="minorEastAsia" w:eastAsiaTheme="minorEastAsia"/>
          <w:color w:val="000000" w:themeColor="text1"/>
          <w:sz w:val="24"/>
          <w:highlight w:val="none"/>
          <w14:textFill>
            <w14:solidFill>
              <w14:schemeClr w14:val="tx1"/>
            </w14:solidFill>
          </w14:textFill>
        </w:rPr>
        <w:t>报价表在磋商后，磋商小组要求供应商进行报价时递交。</w:t>
      </w:r>
    </w:p>
    <w:p w14:paraId="44641C23">
      <w:pPr>
        <w:tabs>
          <w:tab w:val="left" w:pos="1080"/>
        </w:tabs>
        <w:spacing w:line="360" w:lineRule="auto"/>
        <w:ind w:firstLine="460" w:firstLineChars="192"/>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20.4 </w:t>
      </w:r>
      <w:r>
        <w:rPr>
          <w:rFonts w:hint="eastAsia" w:asciiTheme="minorEastAsia" w:hAnsiTheme="minorEastAsia" w:eastAsiaTheme="minorEastAsia"/>
          <w:color w:val="000000" w:themeColor="text1"/>
          <w:sz w:val="24"/>
          <w:highlight w:val="none"/>
          <w14:textFill>
            <w14:solidFill>
              <w14:schemeClr w14:val="tx1"/>
            </w14:solidFill>
          </w14:textFill>
        </w:rPr>
        <w:t>本次采购不接收邮寄的响应文件。</w:t>
      </w:r>
    </w:p>
    <w:bookmarkEnd w:id="61"/>
    <w:bookmarkEnd w:id="62"/>
    <w:bookmarkEnd w:id="63"/>
    <w:bookmarkEnd w:id="64"/>
    <w:bookmarkEnd w:id="65"/>
    <w:p w14:paraId="42EF0F8C">
      <w:pPr>
        <w:tabs>
          <w:tab w:val="left" w:pos="1080"/>
        </w:tabs>
        <w:spacing w:line="360" w:lineRule="auto"/>
        <w:ind w:firstLine="463" w:firstLineChars="192"/>
        <w:rPr>
          <w:rFonts w:asciiTheme="minorEastAsia" w:hAnsiTheme="minorEastAsia" w:eastAsiaTheme="minorEastAsia"/>
          <w:b/>
          <w:color w:val="000000" w:themeColor="text1"/>
          <w:sz w:val="24"/>
          <w:highlight w:val="none"/>
          <w14:textFill>
            <w14:solidFill>
              <w14:schemeClr w14:val="tx1"/>
            </w14:solidFill>
          </w14:textFill>
        </w:rPr>
      </w:pPr>
      <w:bookmarkStart w:id="66" w:name="_Toc217446055"/>
      <w:bookmarkStart w:id="67" w:name="_Toc183582228"/>
      <w:bookmarkStart w:id="68" w:name="_Toc183682365"/>
      <w:r>
        <w:rPr>
          <w:rFonts w:asciiTheme="minorEastAsia" w:hAnsiTheme="minorEastAsia" w:eastAsiaTheme="minorEastAsia"/>
          <w:b/>
          <w:color w:val="000000" w:themeColor="text1"/>
          <w:sz w:val="24"/>
          <w:highlight w:val="none"/>
          <w14:textFill>
            <w14:solidFill>
              <w14:schemeClr w14:val="tx1"/>
            </w14:solidFill>
          </w14:textFill>
        </w:rPr>
        <w:t>21.</w:t>
      </w:r>
      <w:r>
        <w:rPr>
          <w:rFonts w:hint="eastAsia" w:asciiTheme="minorEastAsia" w:hAnsiTheme="minorEastAsia" w:eastAsiaTheme="minorEastAsia"/>
          <w:b/>
          <w:color w:val="000000" w:themeColor="text1"/>
          <w:sz w:val="24"/>
          <w:highlight w:val="none"/>
          <w14:textFill>
            <w14:solidFill>
              <w14:schemeClr w14:val="tx1"/>
            </w14:solidFill>
          </w14:textFill>
        </w:rPr>
        <w:t>响应文件的修改和撤回（补充、修改响应文件的密封和标注按照本章“</w:t>
      </w:r>
      <w:r>
        <w:rPr>
          <w:rFonts w:asciiTheme="minorEastAsia" w:hAnsiTheme="minorEastAsia" w:eastAsiaTheme="minorEastAsia"/>
          <w:b/>
          <w:color w:val="000000" w:themeColor="text1"/>
          <w:sz w:val="24"/>
          <w:highlight w:val="none"/>
          <w14:textFill>
            <w14:solidFill>
              <w14:schemeClr w14:val="tx1"/>
            </w14:solidFill>
          </w14:textFill>
        </w:rPr>
        <w:t>19.</w:t>
      </w:r>
      <w:r>
        <w:rPr>
          <w:rFonts w:hint="eastAsia" w:asciiTheme="minorEastAsia" w:hAnsiTheme="minorEastAsia" w:eastAsiaTheme="minorEastAsia"/>
          <w:b/>
          <w:color w:val="000000" w:themeColor="text1"/>
          <w:sz w:val="24"/>
          <w:highlight w:val="none"/>
          <w14:textFill>
            <w14:solidFill>
              <w14:schemeClr w14:val="tx1"/>
            </w14:solidFill>
          </w14:textFill>
        </w:rPr>
        <w:t>响应文件的密封和标注”规定处理）</w:t>
      </w:r>
    </w:p>
    <w:p w14:paraId="207FB02D">
      <w:pPr>
        <w:pStyle w:val="7"/>
        <w:spacing w:line="360" w:lineRule="auto"/>
        <w:ind w:firstLine="480"/>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21.1</w:t>
      </w:r>
      <w:r>
        <w:rPr>
          <w:rFonts w:hint="eastAsia" w:asciiTheme="minorEastAsia" w:hAnsiTheme="minorEastAsia" w:eastAsiaTheme="minorEastAsia"/>
          <w:color w:val="000000" w:themeColor="text1"/>
          <w:highlight w:val="none"/>
          <w14:textFill>
            <w14:solidFill>
              <w14:schemeClr w14:val="tx1"/>
            </w14:solidFill>
          </w14:textFill>
        </w:rPr>
        <w:t>供应商在提交响应文件后可对其响应文件进行修改或撤回，但该修改或撤回的书面通知须在递交截止时间之前送达</w:t>
      </w:r>
      <w:r>
        <w:rPr>
          <w:rFonts w:hint="eastAsia" w:asciiTheme="minorEastAsia" w:hAnsiTheme="minorEastAsia" w:eastAsiaTheme="minorEastAsia"/>
          <w:color w:val="000000" w:themeColor="text1"/>
          <w:sz w:val="24"/>
          <w:highlight w:val="none"/>
          <w14:textFill>
            <w14:solidFill>
              <w14:schemeClr w14:val="tx1"/>
            </w14:solidFill>
          </w14:textFill>
        </w:rPr>
        <w:t>采购</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人</w:t>
      </w:r>
      <w:r>
        <w:rPr>
          <w:rFonts w:hint="eastAsia" w:asciiTheme="minorEastAsia" w:hAnsiTheme="minorEastAsia" w:eastAsiaTheme="minorEastAsia"/>
          <w:color w:val="000000" w:themeColor="text1"/>
          <w:highlight w:val="none"/>
          <w14:textFill>
            <w14:solidFill>
              <w14:schemeClr w14:val="tx1"/>
            </w14:solidFill>
          </w14:textFill>
        </w:rPr>
        <w:t>，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72DABDE7">
      <w:pPr>
        <w:adjustRightInd w:val="0"/>
        <w:snapToGri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21.2</w:t>
      </w:r>
      <w:r>
        <w:rPr>
          <w:rFonts w:hint="eastAsia" w:asciiTheme="minorEastAsia" w:hAnsiTheme="minorEastAsia" w:eastAsiaTheme="minorEastAsia"/>
          <w:color w:val="000000" w:themeColor="text1"/>
          <w:sz w:val="24"/>
          <w:highlight w:val="none"/>
          <w14:textFill>
            <w14:solidFill>
              <w14:schemeClr w14:val="tx1"/>
            </w14:solidFill>
          </w14:textFill>
        </w:rPr>
        <w:t>供应商对响应文件修改的书面材料或撤回的通知应该按规定进行编写、密封、标注和递送，并注明“修改响应文件”字样。</w:t>
      </w:r>
    </w:p>
    <w:p w14:paraId="599B881E">
      <w:pPr>
        <w:adjustRightInd w:val="0"/>
        <w:snapToGri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21.3</w:t>
      </w:r>
      <w:r>
        <w:rPr>
          <w:rFonts w:hint="eastAsia" w:asciiTheme="minorEastAsia" w:hAnsiTheme="minorEastAsia" w:eastAsiaTheme="minorEastAsia"/>
          <w:color w:val="000000" w:themeColor="text1"/>
          <w:sz w:val="24"/>
          <w:highlight w:val="none"/>
          <w14:textFill>
            <w14:solidFill>
              <w14:schemeClr w14:val="tx1"/>
            </w14:solidFill>
          </w14:textFill>
        </w:rPr>
        <w:t>供应商不得在递交截止时间起至响应文件有效期期满前撤销其响应文件。否则其磋商保证金将按相关规定不予退还。</w:t>
      </w:r>
    </w:p>
    <w:p w14:paraId="4CE7AB1B">
      <w:pPr>
        <w:spacing w:line="360" w:lineRule="auto"/>
        <w:ind w:firstLine="48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21.4</w:t>
      </w:r>
      <w:r>
        <w:rPr>
          <w:rFonts w:hint="eastAsia" w:asciiTheme="minorEastAsia" w:hAnsiTheme="minorEastAsia" w:eastAsiaTheme="minorEastAsia"/>
          <w:color w:val="000000" w:themeColor="text1"/>
          <w:sz w:val="24"/>
          <w:highlight w:val="none"/>
          <w14:textFill>
            <w14:solidFill>
              <w14:schemeClr w14:val="tx1"/>
            </w14:solidFill>
          </w14:textFill>
        </w:rPr>
        <w:t>供应商对其提交的响应文件的真实性、合法性承担法律责任。</w:t>
      </w:r>
      <w:bookmarkEnd w:id="66"/>
      <w:bookmarkEnd w:id="67"/>
      <w:bookmarkEnd w:id="68"/>
    </w:p>
    <w:p w14:paraId="57C772D4">
      <w:pPr>
        <w:pStyle w:val="3"/>
        <w:keepNext w:val="0"/>
        <w:keepLines w:val="0"/>
        <w:spacing w:line="360" w:lineRule="auto"/>
        <w:jc w:val="center"/>
        <w:rPr>
          <w:rFonts w:asciiTheme="minorEastAsia" w:hAnsiTheme="minorEastAsia" w:eastAsiaTheme="minorEastAsia"/>
          <w:color w:val="000000" w:themeColor="text1"/>
          <w:highlight w:val="none"/>
          <w14:textFill>
            <w14:solidFill>
              <w14:schemeClr w14:val="tx1"/>
            </w14:solidFill>
          </w14:textFill>
        </w:rPr>
      </w:pPr>
      <w:bookmarkStart w:id="69" w:name="_Toc77400782"/>
      <w:bookmarkStart w:id="70" w:name="_Toc183582231"/>
      <w:bookmarkStart w:id="71" w:name="_Toc89075878"/>
      <w:bookmarkStart w:id="72" w:name="_Toc183682368"/>
      <w:bookmarkStart w:id="73" w:name="_Toc217446056"/>
      <w:r>
        <w:rPr>
          <w:rFonts w:hint="eastAsia" w:asciiTheme="minorEastAsia" w:hAnsiTheme="minorEastAsia" w:eastAsiaTheme="minorEastAsia"/>
          <w:color w:val="000000" w:themeColor="text1"/>
          <w:highlight w:val="none"/>
          <w14:textFill>
            <w14:solidFill>
              <w14:schemeClr w14:val="tx1"/>
            </w14:solidFill>
          </w14:textFill>
        </w:rPr>
        <w:t>五、评审</w:t>
      </w:r>
    </w:p>
    <w:p w14:paraId="4C73FEB3">
      <w:pPr>
        <w:pStyle w:val="3"/>
        <w:keepNext w:val="0"/>
        <w:keepLines w:val="0"/>
        <w:spacing w:line="360" w:lineRule="auto"/>
        <w:ind w:firstLine="482" w:firstLineChars="200"/>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asciiTheme="minorEastAsia" w:hAnsiTheme="minorEastAsia" w:eastAsiaTheme="minorEastAsia"/>
          <w:color w:val="000000" w:themeColor="text1"/>
          <w:sz w:val="24"/>
          <w:szCs w:val="24"/>
          <w:highlight w:val="none"/>
          <w14:textFill>
            <w14:solidFill>
              <w14:schemeClr w14:val="tx1"/>
            </w14:solidFill>
          </w14:textFill>
        </w:rPr>
        <w:t>22.</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磋商小组的组建及其评审工作按照有关法律制度和本文件第八章的规定进行。</w:t>
      </w:r>
    </w:p>
    <w:p w14:paraId="7EDEA7D6">
      <w:pPr>
        <w:pStyle w:val="3"/>
        <w:keepNext w:val="0"/>
        <w:keepLines w:val="0"/>
        <w:spacing w:line="360" w:lineRule="auto"/>
        <w:jc w:val="center"/>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六、成交事项</w:t>
      </w:r>
    </w:p>
    <w:p w14:paraId="64A0D6A9">
      <w:pPr>
        <w:pStyle w:val="3"/>
        <w:keepNext w:val="0"/>
        <w:keepLines w:val="0"/>
        <w:spacing w:after="0" w:line="360" w:lineRule="auto"/>
        <w:ind w:firstLine="482"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asciiTheme="minorEastAsia" w:hAnsiTheme="minorEastAsia" w:eastAsiaTheme="minorEastAsia"/>
          <w:color w:val="000000" w:themeColor="text1"/>
          <w:sz w:val="24"/>
          <w:szCs w:val="24"/>
          <w:highlight w:val="none"/>
          <w14:textFill>
            <w14:solidFill>
              <w14:schemeClr w14:val="tx1"/>
            </w14:solidFill>
          </w14:textFill>
        </w:rPr>
        <w:t>23.</w:t>
      </w:r>
      <w:r>
        <w:rPr>
          <w:rFonts w:hint="eastAsia" w:asciiTheme="minorEastAsia" w:hAnsiTheme="minorEastAsia" w:eastAsiaTheme="minorEastAsia"/>
          <w:color w:val="000000" w:themeColor="text1"/>
          <w:sz w:val="24"/>
          <w:szCs w:val="24"/>
          <w:highlight w:val="none"/>
          <w14:textFill>
            <w14:solidFill>
              <w14:schemeClr w14:val="tx1"/>
            </w14:solidFill>
          </w14:textFill>
        </w:rPr>
        <w:t>确定成交供应商</w:t>
      </w:r>
    </w:p>
    <w:p w14:paraId="26FF2A5D">
      <w:pPr>
        <w:pStyle w:val="3"/>
        <w:keepNext w:val="0"/>
        <w:keepLines w:val="0"/>
        <w:spacing w:before="0" w:after="0" w:line="360" w:lineRule="auto"/>
        <w:ind w:firstLine="480" w:firstLineChars="200"/>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color w:val="000000" w:themeColor="text1"/>
          <w:sz w:val="24"/>
          <w:szCs w:val="24"/>
          <w:highlight w:val="none"/>
          <w14:textFill>
            <w14:solidFill>
              <w14:schemeClr w14:val="tx1"/>
            </w14:solidFill>
          </w14:textFill>
        </w:rPr>
        <w:t>本项目采用方式一确定成交供应商。</w:t>
      </w:r>
    </w:p>
    <w:p w14:paraId="6D43E544">
      <w:pPr>
        <w:pStyle w:val="3"/>
        <w:keepNext w:val="0"/>
        <w:keepLines w:val="0"/>
        <w:spacing w:before="0" w:after="0" w:line="360" w:lineRule="auto"/>
        <w:ind w:firstLine="480" w:firstLineChars="200"/>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color w:val="000000" w:themeColor="text1"/>
          <w:sz w:val="24"/>
          <w:szCs w:val="24"/>
          <w:highlight w:val="none"/>
          <w14:textFill>
            <w14:solidFill>
              <w14:schemeClr w14:val="tx1"/>
            </w14:solidFill>
          </w14:textFill>
        </w:rPr>
        <w:t>采购人将按磋商小组推荐的成交候选供应商顺序确定成交供应商。</w:t>
      </w:r>
    </w:p>
    <w:p w14:paraId="55239903">
      <w:pPr>
        <w:pStyle w:val="3"/>
        <w:keepNext w:val="0"/>
        <w:keepLines w:val="0"/>
        <w:spacing w:before="0" w:after="0" w:line="360" w:lineRule="auto"/>
        <w:ind w:firstLine="480" w:firstLineChars="200"/>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asciiTheme="minorEastAsia" w:hAnsiTheme="minorEastAsia" w:eastAsiaTheme="minorEastAsia"/>
          <w:b w:val="0"/>
          <w:color w:val="000000" w:themeColor="text1"/>
          <w:sz w:val="24"/>
          <w:szCs w:val="24"/>
          <w:highlight w:val="none"/>
          <w14:textFill>
            <w14:solidFill>
              <w14:schemeClr w14:val="tx1"/>
            </w14:solidFill>
          </w14:textFill>
        </w:rPr>
        <w:t>23.</w:t>
      </w:r>
      <w:r>
        <w:rPr>
          <w:rFonts w:hint="eastAsia" w:asciiTheme="minorEastAsia" w:hAnsiTheme="minorEastAsia" w:eastAsiaTheme="minorEastAsia"/>
          <w:b w:val="0"/>
          <w:color w:val="000000" w:themeColor="text1"/>
          <w:sz w:val="24"/>
          <w:szCs w:val="24"/>
          <w:highlight w:val="none"/>
          <w:lang w:val="en-US" w:eastAsia="zh-CN"/>
          <w14:textFill>
            <w14:solidFill>
              <w14:schemeClr w14:val="tx1"/>
            </w14:solidFill>
          </w14:textFill>
        </w:rPr>
        <w:t>1</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采购人收到磋商报告及有关资料后，将在</w:t>
      </w:r>
      <w:r>
        <w:rPr>
          <w:rFonts w:asciiTheme="minorEastAsia" w:hAnsiTheme="minorEastAsia" w:eastAsiaTheme="minorEastAsia"/>
          <w:b w:val="0"/>
          <w:color w:val="000000" w:themeColor="text1"/>
          <w:sz w:val="24"/>
          <w:szCs w:val="24"/>
          <w:highlight w:val="none"/>
          <w14:textFill>
            <w14:solidFill>
              <w14:schemeClr w14:val="tx1"/>
            </w14:solidFill>
          </w14:textFill>
        </w:rPr>
        <w:t>5</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个工作日内按照磋商报告中推荐的成交候选供应商顺序确定成交供应商。成交候选供应商并列的，采购人自主采取公平、择优的方式选择成交供应商。</w:t>
      </w:r>
    </w:p>
    <w:p w14:paraId="2B5B8424">
      <w:pPr>
        <w:pStyle w:val="3"/>
        <w:keepNext w:val="0"/>
        <w:keepLines w:val="0"/>
        <w:spacing w:before="0" w:after="0" w:line="360" w:lineRule="auto"/>
        <w:ind w:firstLine="480" w:firstLineChars="200"/>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asciiTheme="minorEastAsia" w:hAnsiTheme="minorEastAsia" w:eastAsiaTheme="minorEastAsia"/>
          <w:b w:val="0"/>
          <w:color w:val="000000" w:themeColor="text1"/>
          <w:sz w:val="24"/>
          <w:szCs w:val="24"/>
          <w:highlight w:val="none"/>
          <w14:textFill>
            <w14:solidFill>
              <w14:schemeClr w14:val="tx1"/>
            </w14:solidFill>
          </w14:textFill>
        </w:rPr>
        <w:t>23.</w:t>
      </w:r>
      <w:r>
        <w:rPr>
          <w:rFonts w:hint="eastAsia" w:asciiTheme="minorEastAsia" w:hAnsiTheme="minorEastAsia" w:eastAsiaTheme="minorEastAsia"/>
          <w:b w:val="0"/>
          <w:color w:val="000000" w:themeColor="text1"/>
          <w:sz w:val="24"/>
          <w:szCs w:val="24"/>
          <w:highlight w:val="none"/>
          <w:lang w:val="en-US" w:eastAsia="zh-CN"/>
          <w14:textFill>
            <w14:solidFill>
              <w14:schemeClr w14:val="tx1"/>
            </w14:solidFill>
          </w14:textFill>
        </w:rPr>
        <w:t>2</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采购人确定成交供应商过程中，发现成交候选供应商有下列情形之一的，应当不予确定其为成交供应商：</w:t>
      </w:r>
    </w:p>
    <w:p w14:paraId="6D2D2639">
      <w:pPr>
        <w:pStyle w:val="3"/>
        <w:keepNext w:val="0"/>
        <w:keepLines w:val="0"/>
        <w:spacing w:before="0" w:after="0" w:line="360" w:lineRule="auto"/>
        <w:ind w:firstLine="480" w:firstLineChars="200"/>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color w:val="000000" w:themeColor="text1"/>
          <w:sz w:val="24"/>
          <w:szCs w:val="24"/>
          <w:highlight w:val="none"/>
          <w14:textFill>
            <w14:solidFill>
              <w14:schemeClr w14:val="tx1"/>
            </w14:solidFill>
          </w14:textFill>
        </w:rPr>
        <w:t>（</w:t>
      </w:r>
      <w:r>
        <w:rPr>
          <w:rFonts w:asciiTheme="minorEastAsia" w:hAnsiTheme="minorEastAsia" w:eastAsiaTheme="minorEastAsia"/>
          <w:b w:val="0"/>
          <w:color w:val="000000" w:themeColor="text1"/>
          <w:sz w:val="24"/>
          <w:szCs w:val="24"/>
          <w:highlight w:val="none"/>
          <w14:textFill>
            <w14:solidFill>
              <w14:schemeClr w14:val="tx1"/>
            </w14:solidFill>
          </w14:textFill>
        </w:rPr>
        <w:t>1</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）发现成交候选供应商存在禁止参加本项目采购活动的违法行为的；</w:t>
      </w:r>
    </w:p>
    <w:p w14:paraId="4859C815">
      <w:pPr>
        <w:pStyle w:val="3"/>
        <w:keepNext w:val="0"/>
        <w:keepLines w:val="0"/>
        <w:spacing w:before="0" w:after="0" w:line="360" w:lineRule="auto"/>
        <w:ind w:firstLine="480" w:firstLineChars="200"/>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color w:val="000000" w:themeColor="text1"/>
          <w:sz w:val="24"/>
          <w:szCs w:val="24"/>
          <w:highlight w:val="none"/>
          <w14:textFill>
            <w14:solidFill>
              <w14:schemeClr w14:val="tx1"/>
            </w14:solidFill>
          </w14:textFill>
        </w:rPr>
        <w:t>（</w:t>
      </w:r>
      <w:r>
        <w:rPr>
          <w:rFonts w:asciiTheme="minorEastAsia" w:hAnsiTheme="minorEastAsia" w:eastAsiaTheme="minorEastAsia"/>
          <w:b w:val="0"/>
          <w:color w:val="000000" w:themeColor="text1"/>
          <w:sz w:val="24"/>
          <w:szCs w:val="24"/>
          <w:highlight w:val="none"/>
          <w14:textFill>
            <w14:solidFill>
              <w14:schemeClr w14:val="tx1"/>
            </w14:solidFill>
          </w14:textFill>
        </w:rPr>
        <w:t>2</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）成交候选供应商因不可抗力，不能继续参加采购活动；</w:t>
      </w:r>
    </w:p>
    <w:p w14:paraId="0BE21A2E">
      <w:pPr>
        <w:pStyle w:val="3"/>
        <w:keepNext w:val="0"/>
        <w:keepLines w:val="0"/>
        <w:spacing w:before="0" w:after="0" w:line="360" w:lineRule="auto"/>
        <w:ind w:firstLine="480" w:firstLineChars="200"/>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color w:val="000000" w:themeColor="text1"/>
          <w:sz w:val="24"/>
          <w:szCs w:val="24"/>
          <w:highlight w:val="none"/>
          <w14:textFill>
            <w14:solidFill>
              <w14:schemeClr w14:val="tx1"/>
            </w14:solidFill>
          </w14:textFill>
        </w:rPr>
        <w:t>（</w:t>
      </w:r>
      <w:r>
        <w:rPr>
          <w:rFonts w:asciiTheme="minorEastAsia" w:hAnsiTheme="minorEastAsia" w:eastAsiaTheme="minorEastAsia"/>
          <w:b w:val="0"/>
          <w:color w:val="000000" w:themeColor="text1"/>
          <w:sz w:val="24"/>
          <w:szCs w:val="24"/>
          <w:highlight w:val="none"/>
          <w14:textFill>
            <w14:solidFill>
              <w14:schemeClr w14:val="tx1"/>
            </w14:solidFill>
          </w14:textFill>
        </w:rPr>
        <w:t>3</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）成交候选供应商无偿赠与或者低于成本价竞争；</w:t>
      </w:r>
    </w:p>
    <w:p w14:paraId="6AA9508B">
      <w:pPr>
        <w:pStyle w:val="3"/>
        <w:keepNext w:val="0"/>
        <w:keepLines w:val="0"/>
        <w:spacing w:before="0" w:after="0" w:line="360" w:lineRule="auto"/>
        <w:ind w:firstLine="480" w:firstLineChars="200"/>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color w:val="000000" w:themeColor="text1"/>
          <w:sz w:val="24"/>
          <w:szCs w:val="24"/>
          <w:highlight w:val="none"/>
          <w14:textFill>
            <w14:solidFill>
              <w14:schemeClr w14:val="tx1"/>
            </w14:solidFill>
          </w14:textFill>
        </w:rPr>
        <w:t>（</w:t>
      </w:r>
      <w:r>
        <w:rPr>
          <w:rFonts w:asciiTheme="minorEastAsia" w:hAnsiTheme="minorEastAsia" w:eastAsiaTheme="minorEastAsia"/>
          <w:b w:val="0"/>
          <w:color w:val="000000" w:themeColor="text1"/>
          <w:sz w:val="24"/>
          <w:szCs w:val="24"/>
          <w:highlight w:val="none"/>
          <w14:textFill>
            <w14:solidFill>
              <w14:schemeClr w14:val="tx1"/>
            </w14:solidFill>
          </w14:textFill>
        </w:rPr>
        <w:t>4</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）成交候选供应商提供虚假材料；</w:t>
      </w:r>
    </w:p>
    <w:p w14:paraId="041DB083">
      <w:pPr>
        <w:pStyle w:val="3"/>
        <w:keepNext w:val="0"/>
        <w:keepLines w:val="0"/>
        <w:spacing w:before="0" w:after="0" w:line="360" w:lineRule="auto"/>
        <w:ind w:firstLine="480" w:firstLineChars="2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b w:val="0"/>
          <w:color w:val="000000" w:themeColor="text1"/>
          <w:sz w:val="24"/>
          <w:szCs w:val="24"/>
          <w:highlight w:val="none"/>
          <w14:textFill>
            <w14:solidFill>
              <w14:schemeClr w14:val="tx1"/>
            </w14:solidFill>
          </w14:textFill>
        </w:rPr>
        <w:t>（</w:t>
      </w:r>
      <w:r>
        <w:rPr>
          <w:rFonts w:asciiTheme="minorEastAsia" w:hAnsiTheme="minorEastAsia" w:eastAsiaTheme="minorEastAsia"/>
          <w:b w:val="0"/>
          <w:color w:val="000000" w:themeColor="text1"/>
          <w:sz w:val="24"/>
          <w:szCs w:val="24"/>
          <w:highlight w:val="none"/>
          <w14:textFill>
            <w14:solidFill>
              <w14:schemeClr w14:val="tx1"/>
            </w14:solidFill>
          </w14:textFill>
        </w:rPr>
        <w:t>5</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）成交候选供应商恶意串通。</w:t>
      </w:r>
    </w:p>
    <w:p w14:paraId="4137071F">
      <w:pPr>
        <w:pStyle w:val="3"/>
        <w:keepNext w:val="0"/>
        <w:keepLines w:val="0"/>
        <w:spacing w:before="0" w:after="0" w:line="360" w:lineRule="auto"/>
        <w:ind w:firstLine="482"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asciiTheme="minorEastAsia" w:hAnsiTheme="minorEastAsia" w:eastAsiaTheme="minorEastAsia"/>
          <w:color w:val="000000" w:themeColor="text1"/>
          <w:sz w:val="24"/>
          <w:szCs w:val="24"/>
          <w:highlight w:val="none"/>
          <w14:textFill>
            <w14:solidFill>
              <w14:schemeClr w14:val="tx1"/>
            </w14:solidFill>
          </w14:textFill>
        </w:rPr>
        <w:t>24.</w:t>
      </w:r>
      <w:r>
        <w:rPr>
          <w:rFonts w:hint="eastAsia" w:asciiTheme="minorEastAsia" w:hAnsiTheme="minorEastAsia" w:eastAsiaTheme="minorEastAsia"/>
          <w:color w:val="000000" w:themeColor="text1"/>
          <w:sz w:val="24"/>
          <w:szCs w:val="24"/>
          <w:highlight w:val="none"/>
          <w14:textFill>
            <w14:solidFill>
              <w14:schemeClr w14:val="tx1"/>
            </w14:solidFill>
          </w14:textFill>
        </w:rPr>
        <w:t>成交结果</w:t>
      </w:r>
    </w:p>
    <w:p w14:paraId="5287641A">
      <w:pPr>
        <w:pStyle w:val="3"/>
        <w:keepNext w:val="0"/>
        <w:keepLines w:val="0"/>
        <w:spacing w:before="0" w:after="0" w:line="360" w:lineRule="auto"/>
        <w:ind w:firstLine="480" w:firstLineChars="200"/>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asciiTheme="minorEastAsia" w:hAnsiTheme="minorEastAsia" w:eastAsiaTheme="minorEastAsia"/>
          <w:b w:val="0"/>
          <w:color w:val="000000" w:themeColor="text1"/>
          <w:sz w:val="24"/>
          <w:szCs w:val="24"/>
          <w:highlight w:val="none"/>
          <w14:textFill>
            <w14:solidFill>
              <w14:schemeClr w14:val="tx1"/>
            </w14:solidFill>
          </w14:textFill>
        </w:rPr>
        <w:t>24.1</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采购人确定成交供应商后，将及时发出成交通知书并发布成交结果公告。</w:t>
      </w:r>
    </w:p>
    <w:p w14:paraId="396C4E3F">
      <w:pPr>
        <w:spacing w:line="360" w:lineRule="auto"/>
        <w:ind w:firstLine="480" w:firstLineChars="200"/>
        <w:rPr>
          <w:rFonts w:asciiTheme="minorEastAsia" w:hAnsiTheme="minorEastAsia" w:eastAsiaTheme="minorEastAsia"/>
          <w:bCs/>
          <w:color w:val="000000" w:themeColor="text1"/>
          <w:sz w:val="24"/>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t>24.2</w:t>
      </w:r>
      <w:r>
        <w:rPr>
          <w:rFonts w:hint="eastAsia" w:asciiTheme="minorEastAsia" w:hAnsiTheme="minorEastAsia" w:eastAsiaTheme="minorEastAsia"/>
          <w:bCs/>
          <w:color w:val="000000" w:themeColor="text1"/>
          <w:sz w:val="24"/>
          <w:highlight w:val="none"/>
          <w14:textFill>
            <w14:solidFill>
              <w14:schemeClr w14:val="tx1"/>
            </w14:solidFill>
          </w14:textFill>
        </w:rPr>
        <w:t>成交供应商应当及时领取成交通知书。本项目需要交纳履约保证金的，成交供应商应当及时向采购人交纳。</w:t>
      </w:r>
    </w:p>
    <w:p w14:paraId="7C5C1AEE">
      <w:pPr>
        <w:spacing w:line="360" w:lineRule="auto"/>
        <w:ind w:firstLine="465"/>
        <w:rPr>
          <w:rFonts w:asciiTheme="minorEastAsia" w:hAnsiTheme="minorEastAsia" w:eastAsiaTheme="minorEastAsia"/>
          <w:bCs/>
          <w:color w:val="000000" w:themeColor="text1"/>
          <w:sz w:val="24"/>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t>24.3</w:t>
      </w:r>
      <w:r>
        <w:rPr>
          <w:rFonts w:hint="eastAsia" w:asciiTheme="minorEastAsia" w:hAnsiTheme="minorEastAsia" w:eastAsiaTheme="minorEastAsia"/>
          <w:bCs/>
          <w:color w:val="000000" w:themeColor="text1"/>
          <w:sz w:val="24"/>
          <w:highlight w:val="none"/>
          <w14:textFill>
            <w14:solidFill>
              <w14:schemeClr w14:val="tx1"/>
            </w14:solidFill>
          </w14:textFill>
        </w:rPr>
        <w:t>成交供应商不能及时领取成交通知书，采购人应当通过邮寄、快递等方式将项目成交通知书送达成交供应商。</w:t>
      </w:r>
    </w:p>
    <w:p w14:paraId="781EDE1B">
      <w:pPr>
        <w:pStyle w:val="3"/>
        <w:keepNext w:val="0"/>
        <w:keepLines w:val="0"/>
        <w:spacing w:before="0" w:after="0" w:line="360" w:lineRule="auto"/>
        <w:ind w:firstLine="482"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asciiTheme="minorEastAsia" w:hAnsiTheme="minorEastAsia" w:eastAsiaTheme="minorEastAsia"/>
          <w:color w:val="000000" w:themeColor="text1"/>
          <w:sz w:val="24"/>
          <w:szCs w:val="24"/>
          <w:highlight w:val="none"/>
          <w14:textFill>
            <w14:solidFill>
              <w14:schemeClr w14:val="tx1"/>
            </w14:solidFill>
          </w14:textFill>
        </w:rPr>
        <w:t>25.</w:t>
      </w:r>
      <w:r>
        <w:rPr>
          <w:rFonts w:hint="eastAsia" w:asciiTheme="minorEastAsia" w:hAnsiTheme="minorEastAsia" w:eastAsiaTheme="minorEastAsia"/>
          <w:color w:val="000000" w:themeColor="text1"/>
          <w:sz w:val="24"/>
          <w:szCs w:val="24"/>
          <w:highlight w:val="none"/>
          <w14:textFill>
            <w14:solidFill>
              <w14:schemeClr w14:val="tx1"/>
            </w14:solidFill>
          </w14:textFill>
        </w:rPr>
        <w:t>成交通知书</w:t>
      </w:r>
    </w:p>
    <w:p w14:paraId="19B2BD38">
      <w:pPr>
        <w:pStyle w:val="3"/>
        <w:keepNext w:val="0"/>
        <w:keepLines w:val="0"/>
        <w:spacing w:before="0" w:after="0" w:line="360" w:lineRule="auto"/>
        <w:ind w:firstLine="480" w:firstLineChars="200"/>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asciiTheme="minorEastAsia" w:hAnsiTheme="minorEastAsia" w:eastAsiaTheme="minorEastAsia"/>
          <w:b w:val="0"/>
          <w:color w:val="000000" w:themeColor="text1"/>
          <w:sz w:val="24"/>
          <w:szCs w:val="24"/>
          <w:highlight w:val="none"/>
          <w14:textFill>
            <w14:solidFill>
              <w14:schemeClr w14:val="tx1"/>
            </w14:solidFill>
          </w14:textFill>
        </w:rPr>
        <w:t>25.1</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成交通知书为签订采购合同的依据之一，是合同的有效组成部分。</w:t>
      </w:r>
    </w:p>
    <w:p w14:paraId="037F020E">
      <w:pPr>
        <w:pStyle w:val="3"/>
        <w:keepNext w:val="0"/>
        <w:keepLines w:val="0"/>
        <w:spacing w:before="0" w:after="0" w:line="360" w:lineRule="auto"/>
        <w:ind w:firstLine="480" w:firstLineChars="200"/>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asciiTheme="minorEastAsia" w:hAnsiTheme="minorEastAsia" w:eastAsiaTheme="minorEastAsia"/>
          <w:b w:val="0"/>
          <w:color w:val="000000" w:themeColor="text1"/>
          <w:sz w:val="24"/>
          <w:szCs w:val="24"/>
          <w:highlight w:val="none"/>
          <w14:textFill>
            <w14:solidFill>
              <w14:schemeClr w14:val="tx1"/>
            </w14:solidFill>
          </w14:textFill>
        </w:rPr>
        <w:t>25.2</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成交通知书对采购人和成交供应商均具有法律效力。成交通知书发出后，采购人无正当理由改变成交结果，或者成交供应商无正当理由放弃成交的，将承担相应的法律责任。</w:t>
      </w:r>
    </w:p>
    <w:p w14:paraId="7ABFA348">
      <w:pPr>
        <w:pStyle w:val="3"/>
        <w:keepNext w:val="0"/>
        <w:keepLines w:val="0"/>
        <w:spacing w:before="0" w:after="0" w:line="360" w:lineRule="auto"/>
        <w:ind w:firstLine="480" w:firstLineChars="200"/>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b w:val="0"/>
          <w:color w:val="000000" w:themeColor="text1"/>
          <w:sz w:val="24"/>
          <w:szCs w:val="24"/>
          <w:highlight w:val="none"/>
          <w14:textFill>
            <w14:solidFill>
              <w14:schemeClr w14:val="tx1"/>
            </w14:solidFill>
          </w14:textFill>
        </w:rPr>
        <w:t>25.3</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成交供应商的响应文件作为无效响应文件处理或者有采购法律法规规章制度规定的成交无效情形的，采购人在取得有权主体的认定以后，有权宣布发出的成交通知书无效，并收回发出的成交通知书，依法重新确定成交供应商或者重新开展采购活动。</w:t>
      </w:r>
    </w:p>
    <w:p w14:paraId="2414A34E">
      <w:pPr>
        <w:pStyle w:val="3"/>
        <w:keepNext w:val="0"/>
        <w:keepLines w:val="0"/>
        <w:spacing w:line="360" w:lineRule="auto"/>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七、合同事项</w:t>
      </w:r>
    </w:p>
    <w:p w14:paraId="07227909">
      <w:pPr>
        <w:pStyle w:val="3"/>
        <w:keepNext w:val="0"/>
        <w:keepLines w:val="0"/>
        <w:spacing w:before="0" w:after="0" w:line="360" w:lineRule="auto"/>
        <w:ind w:firstLine="472" w:firstLineChars="196"/>
        <w:rPr>
          <w:rFonts w:asciiTheme="minorEastAsia" w:hAnsiTheme="minorEastAsia" w:eastAsiaTheme="minorEastAsia"/>
          <w:color w:val="000000" w:themeColor="text1"/>
          <w:sz w:val="24"/>
          <w:szCs w:val="24"/>
          <w:highlight w:val="none"/>
          <w14:textFill>
            <w14:solidFill>
              <w14:schemeClr w14:val="tx1"/>
            </w14:solidFill>
          </w14:textFill>
        </w:rPr>
      </w:pPr>
      <w:bookmarkStart w:id="74" w:name="_Toc430773927"/>
      <w:bookmarkStart w:id="75" w:name="_Toc209847069"/>
      <w:bookmarkStart w:id="76" w:name="_Toc101338364"/>
      <w:bookmarkStart w:id="77" w:name="_Toc101174151"/>
      <w:bookmarkStart w:id="78" w:name="_Toc101250646"/>
      <w:r>
        <w:rPr>
          <w:rFonts w:asciiTheme="minorEastAsia" w:hAnsiTheme="minorEastAsia" w:eastAsiaTheme="minorEastAsia"/>
          <w:color w:val="000000" w:themeColor="text1"/>
          <w:sz w:val="24"/>
          <w:szCs w:val="24"/>
          <w:highlight w:val="none"/>
          <w14:textFill>
            <w14:solidFill>
              <w14:schemeClr w14:val="tx1"/>
            </w14:solidFill>
          </w14:textFill>
        </w:rPr>
        <w:t>26.</w:t>
      </w:r>
      <w:r>
        <w:rPr>
          <w:rFonts w:hint="eastAsia" w:asciiTheme="minorEastAsia" w:hAnsiTheme="minorEastAsia" w:eastAsiaTheme="minorEastAsia"/>
          <w:color w:val="000000" w:themeColor="text1"/>
          <w:sz w:val="24"/>
          <w:szCs w:val="24"/>
          <w:highlight w:val="none"/>
          <w14:textFill>
            <w14:solidFill>
              <w14:schemeClr w14:val="tx1"/>
            </w14:solidFill>
          </w14:textFill>
        </w:rPr>
        <w:t>签订合同</w:t>
      </w:r>
      <w:bookmarkEnd w:id="74"/>
      <w:bookmarkEnd w:id="75"/>
      <w:bookmarkEnd w:id="76"/>
      <w:bookmarkEnd w:id="77"/>
      <w:bookmarkEnd w:id="78"/>
    </w:p>
    <w:p w14:paraId="7BA99B54">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26.1 </w:t>
      </w:r>
      <w:r>
        <w:rPr>
          <w:rFonts w:hint="eastAsia" w:asciiTheme="minorEastAsia" w:hAnsiTheme="minorEastAsia" w:eastAsiaTheme="minorEastAsia"/>
          <w:color w:val="000000" w:themeColor="text1"/>
          <w:sz w:val="24"/>
          <w:highlight w:val="none"/>
          <w14:textFill>
            <w14:solidFill>
              <w14:schemeClr w14:val="tx1"/>
            </w14:solidFill>
          </w14:textFill>
        </w:rPr>
        <w:t>成交供应商应在成交通知书发出之日起三十日内与采购人签订采购合同。由于成交供应商的原因逾期未与采购人签订采购合同的，将视为放弃成交，取消其成交资格并将按相关规定进行处理。</w:t>
      </w:r>
    </w:p>
    <w:p w14:paraId="45E7CFB7">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26.2 </w:t>
      </w:r>
      <w:r>
        <w:rPr>
          <w:rFonts w:hint="eastAsia" w:asciiTheme="minorEastAsia" w:hAnsiTheme="minorEastAsia" w:eastAsiaTheme="minorEastAsia"/>
          <w:color w:val="000000" w:themeColor="text1"/>
          <w:sz w:val="24"/>
          <w:highlight w:val="none"/>
          <w14:textFill>
            <w14:solidFill>
              <w14:schemeClr w14:val="tx1"/>
            </w14:solidFill>
          </w14:textFill>
        </w:rPr>
        <w:t>磋商文件、成交供应商的响应文件及双方确认的澄清文件等，均为有法律约束力的合同组成部分。</w:t>
      </w:r>
    </w:p>
    <w:p w14:paraId="189684FE">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26.3 </w:t>
      </w:r>
      <w:r>
        <w:rPr>
          <w:rFonts w:hint="eastAsia" w:asciiTheme="minorEastAsia" w:hAnsiTheme="minorEastAsia" w:eastAsiaTheme="minorEastAsia"/>
          <w:color w:val="000000" w:themeColor="text1"/>
          <w:sz w:val="24"/>
          <w:highlight w:val="none"/>
          <w14:textFill>
            <w14:solidFill>
              <w14:schemeClr w14:val="tx1"/>
            </w14:solidFill>
          </w14:textFill>
        </w:rPr>
        <w:t>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3F1626DC">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26.4 </w:t>
      </w:r>
      <w:r>
        <w:rPr>
          <w:rFonts w:hint="eastAsia" w:asciiTheme="minorEastAsia" w:hAnsiTheme="minorEastAsia" w:eastAsiaTheme="minorEastAsia"/>
          <w:color w:val="000000" w:themeColor="text1"/>
          <w:sz w:val="24"/>
          <w:highlight w:val="none"/>
          <w14:textFill>
            <w14:solidFill>
              <w14:schemeClr w14:val="tx1"/>
            </w14:solidFill>
          </w14:textFill>
        </w:rPr>
        <w:t>成交供应商因不可抗力原因不能履行采购合同或放弃成交的，采购人可以与排在成交供应商之后第一位的成交候选人签订采购合同，以此类推。</w:t>
      </w:r>
    </w:p>
    <w:p w14:paraId="4D5C56C8">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26.5</w:t>
      </w:r>
      <w:r>
        <w:rPr>
          <w:rFonts w:hint="eastAsia" w:asciiTheme="minorEastAsia" w:hAnsiTheme="minorEastAsia" w:eastAsiaTheme="minorEastAsia"/>
          <w:color w:val="000000" w:themeColor="text1"/>
          <w:sz w:val="24"/>
          <w:highlight w:val="none"/>
          <w14:textFill>
            <w14:solidFill>
              <w14:schemeClr w14:val="tx1"/>
            </w14:solidFill>
          </w14:textFill>
        </w:rPr>
        <w:t>竞争性磋商文件、成交供应商提交的响应文件、磋商中的最后报价、成交供应商承诺书、成交通知书等均称为有法律约束力的合同组成内容。</w:t>
      </w:r>
    </w:p>
    <w:p w14:paraId="27A600D7">
      <w:pPr>
        <w:spacing w:line="360" w:lineRule="auto"/>
        <w:ind w:firstLine="482" w:firstLineChars="200"/>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27.</w:t>
      </w:r>
      <w:r>
        <w:rPr>
          <w:rFonts w:hint="eastAsia" w:asciiTheme="minorEastAsia" w:hAnsiTheme="minorEastAsia" w:eastAsiaTheme="minorEastAsia"/>
          <w:b/>
          <w:color w:val="000000" w:themeColor="text1"/>
          <w:sz w:val="24"/>
          <w:highlight w:val="none"/>
          <w14:textFill>
            <w14:solidFill>
              <w14:schemeClr w14:val="tx1"/>
            </w14:solidFill>
          </w14:textFill>
        </w:rPr>
        <w:t>合同分包（实质性要求）</w:t>
      </w:r>
    </w:p>
    <w:p w14:paraId="18137BA5">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27.1 </w:t>
      </w:r>
      <w:r>
        <w:rPr>
          <w:rFonts w:hint="eastAsia" w:asciiTheme="minorEastAsia" w:hAnsiTheme="minorEastAsia" w:eastAsiaTheme="minorEastAsia"/>
          <w:color w:val="000000" w:themeColor="text1"/>
          <w:sz w:val="24"/>
          <w:highlight w:val="none"/>
          <w14:textFill>
            <w14:solidFill>
              <w14:schemeClr w14:val="tx1"/>
            </w14:solidFill>
          </w14:textFill>
        </w:rPr>
        <w:t>经采购人同意，成交供应商可以依法采取分包方式履行合同。这种要求应当在合同签订之前征得采购人同意，并且分包供应商履行的分包项目的品牌、规格型号及技术要求等，必须与成交的一致。分包工作实施前，将其选择的分包单位的资质、专业能力等相关资料情况报采购人。</w:t>
      </w:r>
    </w:p>
    <w:p w14:paraId="754EDEB4">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分包履行合同的部分应当为采购项目的非主体、非关键性工作，不属于成交供应商的主要合同义务。</w:t>
      </w:r>
    </w:p>
    <w:p w14:paraId="41B59F4B">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27.2 </w:t>
      </w:r>
      <w:r>
        <w:rPr>
          <w:rFonts w:hint="eastAsia" w:asciiTheme="minorEastAsia" w:hAnsiTheme="minorEastAsia" w:eastAsiaTheme="minorEastAsia"/>
          <w:color w:val="000000" w:themeColor="text1"/>
          <w:sz w:val="24"/>
          <w:highlight w:val="none"/>
          <w14:textFill>
            <w14:solidFill>
              <w14:schemeClr w14:val="tx1"/>
            </w14:solidFill>
          </w14:textFill>
        </w:rPr>
        <w:t>采购合同实行分包履行的，成交供应商就采购项目和分包项目向采购人负责，分包供应商就分包项目承担责任。</w:t>
      </w:r>
    </w:p>
    <w:p w14:paraId="26A34224">
      <w:pPr>
        <w:spacing w:line="360" w:lineRule="auto"/>
        <w:ind w:firstLine="482" w:firstLineChars="200"/>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28.</w:t>
      </w:r>
      <w:r>
        <w:rPr>
          <w:rFonts w:hint="eastAsia" w:asciiTheme="minorEastAsia" w:hAnsiTheme="minorEastAsia" w:eastAsiaTheme="minorEastAsia"/>
          <w:b/>
          <w:color w:val="000000" w:themeColor="text1"/>
          <w:sz w:val="24"/>
          <w:highlight w:val="none"/>
          <w14:textFill>
            <w14:solidFill>
              <w14:schemeClr w14:val="tx1"/>
            </w14:solidFill>
          </w14:textFill>
        </w:rPr>
        <w:t>合同转包（实质性要求）</w:t>
      </w:r>
    </w:p>
    <w:p w14:paraId="4437B30B">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本采购项目严禁成交供应商将任何采购合同义务转包。本项目所称转包，是指成交供应商将采购合同义务转让给第三人，并退出现有采购合同当事人双方的权利义务关系，受让人（即第三人）成为采购合同的另一方当事人的行为。</w:t>
      </w:r>
    </w:p>
    <w:p w14:paraId="52F0BA69">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成交供应商转包的，视同拒绝履行采购合同义务，将依法追究法律责任。</w:t>
      </w:r>
    </w:p>
    <w:p w14:paraId="49E1A547">
      <w:pPr>
        <w:spacing w:line="360" w:lineRule="auto"/>
        <w:ind w:firstLine="482" w:firstLineChars="200"/>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29.</w:t>
      </w:r>
      <w:r>
        <w:rPr>
          <w:rFonts w:hint="eastAsia" w:asciiTheme="minorEastAsia" w:hAnsiTheme="minorEastAsia" w:eastAsiaTheme="minorEastAsia"/>
          <w:b/>
          <w:color w:val="000000" w:themeColor="text1"/>
          <w:sz w:val="24"/>
          <w:highlight w:val="none"/>
          <w14:textFill>
            <w14:solidFill>
              <w14:schemeClr w14:val="tx1"/>
            </w14:solidFill>
          </w14:textFill>
        </w:rPr>
        <w:t>补充合同</w:t>
      </w:r>
    </w:p>
    <w:p w14:paraId="71779649">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采购合同履行过程中，不得在原采购合同履行结束后，且采购货物、工程和服务的名称、价格、履约方式、验收标准等必须与原采购合同一致。</w:t>
      </w:r>
    </w:p>
    <w:p w14:paraId="08985116">
      <w:pPr>
        <w:spacing w:line="360" w:lineRule="auto"/>
        <w:ind w:firstLine="482" w:firstLineChars="200"/>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30.</w:t>
      </w:r>
      <w:r>
        <w:rPr>
          <w:rFonts w:hint="eastAsia" w:asciiTheme="minorEastAsia" w:hAnsiTheme="minorEastAsia" w:eastAsiaTheme="minorEastAsia"/>
          <w:b/>
          <w:color w:val="000000" w:themeColor="text1"/>
          <w:sz w:val="24"/>
          <w:highlight w:val="none"/>
          <w14:textFill>
            <w14:solidFill>
              <w14:schemeClr w14:val="tx1"/>
            </w14:solidFill>
          </w14:textFill>
        </w:rPr>
        <w:t>履约保证金（</w:t>
      </w:r>
      <w:r>
        <w:rPr>
          <w:rFonts w:hint="eastAsia" w:asciiTheme="minorEastAsia" w:hAnsiTheme="minorEastAsia" w:eastAsiaTheme="minorEastAsia"/>
          <w:b/>
          <w:color w:val="000000" w:themeColor="text1"/>
          <w:sz w:val="24"/>
          <w:highlight w:val="none"/>
          <w:lang w:val="en-US" w:eastAsia="zh-CN"/>
          <w14:textFill>
            <w14:solidFill>
              <w14:schemeClr w14:val="tx1"/>
            </w14:solidFill>
          </w14:textFill>
        </w:rPr>
        <w:t>本项目不提供</w:t>
      </w:r>
      <w:r>
        <w:rPr>
          <w:rFonts w:hint="eastAsia" w:asciiTheme="minorEastAsia" w:hAnsiTheme="minorEastAsia" w:eastAsiaTheme="minorEastAsia"/>
          <w:b/>
          <w:color w:val="000000" w:themeColor="text1"/>
          <w:sz w:val="24"/>
          <w:highlight w:val="none"/>
          <w14:textFill>
            <w14:solidFill>
              <w14:schemeClr w14:val="tx1"/>
            </w14:solidFill>
          </w14:textFill>
        </w:rPr>
        <w:t>）</w:t>
      </w:r>
    </w:p>
    <w:p w14:paraId="1BA4C01B">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30.1 </w:t>
      </w:r>
      <w:r>
        <w:rPr>
          <w:rFonts w:hint="eastAsia" w:asciiTheme="minorEastAsia" w:hAnsiTheme="minorEastAsia" w:eastAsiaTheme="minorEastAsia"/>
          <w:color w:val="000000" w:themeColor="text1"/>
          <w:sz w:val="24"/>
          <w:highlight w:val="none"/>
          <w14:textFill>
            <w14:solidFill>
              <w14:schemeClr w14:val="tx1"/>
            </w14:solidFill>
          </w14:textFill>
        </w:rPr>
        <w:t>成交供应商应在合同签订之前交纳竞争性磋商文件规定数额的履约保证金。</w:t>
      </w:r>
    </w:p>
    <w:p w14:paraId="78CE40AB">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30.2 </w:t>
      </w:r>
      <w:r>
        <w:rPr>
          <w:rFonts w:hint="eastAsia" w:asciiTheme="minorEastAsia" w:hAnsiTheme="minorEastAsia" w:eastAsiaTheme="minorEastAsia"/>
          <w:color w:val="000000" w:themeColor="text1"/>
          <w:sz w:val="24"/>
          <w:highlight w:val="none"/>
          <w14:textFill>
            <w14:solidFill>
              <w14:schemeClr w14:val="tx1"/>
            </w14:solidFill>
          </w14:textFill>
        </w:rPr>
        <w:t>如果成交供应商在规定的合同签订时间内，没有按照采购文件的规定交纳履约保证金，且又无正当理由的，将视为放弃成交。</w:t>
      </w:r>
    </w:p>
    <w:p w14:paraId="788779B5">
      <w:pPr>
        <w:spacing w:line="360" w:lineRule="auto"/>
        <w:ind w:firstLine="482" w:firstLineChars="200"/>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31.</w:t>
      </w:r>
      <w:r>
        <w:rPr>
          <w:rFonts w:hint="eastAsia" w:asciiTheme="minorEastAsia" w:hAnsiTheme="minorEastAsia" w:eastAsiaTheme="minorEastAsia"/>
          <w:b/>
          <w:color w:val="000000" w:themeColor="text1"/>
          <w:sz w:val="24"/>
          <w:highlight w:val="none"/>
          <w14:textFill>
            <w14:solidFill>
              <w14:schemeClr w14:val="tx1"/>
            </w14:solidFill>
          </w14:textFill>
        </w:rPr>
        <w:t>履行合同</w:t>
      </w:r>
    </w:p>
    <w:p w14:paraId="61333002">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31.1 </w:t>
      </w:r>
      <w:r>
        <w:rPr>
          <w:rFonts w:hint="eastAsia" w:asciiTheme="minorEastAsia" w:hAnsiTheme="minorEastAsia" w:eastAsiaTheme="minorEastAsia"/>
          <w:color w:val="000000" w:themeColor="text1"/>
          <w:sz w:val="24"/>
          <w:highlight w:val="none"/>
          <w14:textFill>
            <w14:solidFill>
              <w14:schemeClr w14:val="tx1"/>
            </w14:solidFill>
          </w14:textFill>
        </w:rPr>
        <w:t>成交供应商与采购人签订合同后，合同双方应严格执行合同条款，履行合同规定的义务，保证合同的顺利完成。</w:t>
      </w:r>
    </w:p>
    <w:p w14:paraId="280B47C3">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31.2 </w:t>
      </w:r>
      <w:r>
        <w:rPr>
          <w:rFonts w:hint="eastAsia" w:asciiTheme="minorEastAsia" w:hAnsiTheme="minorEastAsia" w:eastAsiaTheme="minorEastAsia"/>
          <w:color w:val="000000" w:themeColor="text1"/>
          <w:sz w:val="24"/>
          <w:highlight w:val="none"/>
          <w14:textFill>
            <w14:solidFill>
              <w14:schemeClr w14:val="tx1"/>
            </w14:solidFill>
          </w14:textFill>
        </w:rPr>
        <w:t>在合同履行过程中，如发生合同纠纷，合同双方应按照合同约定及《合同法》的有关规定进行处理。</w:t>
      </w:r>
    </w:p>
    <w:p w14:paraId="514AE572">
      <w:pPr>
        <w:spacing w:line="360" w:lineRule="auto"/>
        <w:ind w:firstLine="482" w:firstLineChars="200"/>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32.</w:t>
      </w:r>
      <w:r>
        <w:rPr>
          <w:rFonts w:hint="eastAsia" w:asciiTheme="minorEastAsia" w:hAnsiTheme="minorEastAsia" w:eastAsiaTheme="minorEastAsia"/>
          <w:b/>
          <w:color w:val="000000" w:themeColor="text1"/>
          <w:sz w:val="24"/>
          <w:highlight w:val="none"/>
          <w14:textFill>
            <w14:solidFill>
              <w14:schemeClr w14:val="tx1"/>
            </w14:solidFill>
          </w14:textFill>
        </w:rPr>
        <w:t>资金支付</w:t>
      </w:r>
    </w:p>
    <w:p w14:paraId="33B5DB41">
      <w:pPr>
        <w:spacing w:line="360" w:lineRule="auto"/>
        <w:ind w:firstLine="480" w:firstLineChars="200"/>
        <w:rPr>
          <w:rFonts w:asciiTheme="minorEastAsia" w:hAnsiTheme="minorEastAsia" w:eastAsiaTheme="minorEastAsia"/>
          <w:b/>
          <w:bCs/>
          <w:color w:val="000000" w:themeColor="text1"/>
          <w:sz w:val="32"/>
          <w:szCs w:val="32"/>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采购人将按照采购合同规定，及时向成交供应商支付采购资金。本项目采购资金付款详见第五章规定的付款方式。</w:t>
      </w:r>
    </w:p>
    <w:p w14:paraId="668BF0BE">
      <w:pPr>
        <w:pStyle w:val="3"/>
        <w:keepNext w:val="0"/>
        <w:keepLines w:val="0"/>
        <w:spacing w:before="0" w:after="0" w:line="360" w:lineRule="auto"/>
        <w:jc w:val="center"/>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八、磋商纪律要求</w:t>
      </w:r>
    </w:p>
    <w:p w14:paraId="3EB6F84E">
      <w:pPr>
        <w:tabs>
          <w:tab w:val="left" w:pos="851"/>
        </w:tabs>
        <w:spacing w:line="360" w:lineRule="auto"/>
        <w:ind w:firstLine="482" w:firstLineChars="200"/>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33.</w:t>
      </w:r>
      <w:r>
        <w:rPr>
          <w:rFonts w:hint="eastAsia" w:asciiTheme="minorEastAsia" w:hAnsiTheme="minorEastAsia" w:eastAsiaTheme="minorEastAsia"/>
          <w:b/>
          <w:color w:val="000000" w:themeColor="text1"/>
          <w:sz w:val="24"/>
          <w:highlight w:val="none"/>
          <w14:textFill>
            <w14:solidFill>
              <w14:schemeClr w14:val="tx1"/>
            </w14:solidFill>
          </w14:textFill>
        </w:rPr>
        <w:t>供应商不得具有的情形</w:t>
      </w:r>
    </w:p>
    <w:p w14:paraId="7DBE3757">
      <w:pPr>
        <w:tabs>
          <w:tab w:val="left" w:pos="851"/>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供应商参加本项目磋商不得有下列情形：</w:t>
      </w:r>
    </w:p>
    <w:p w14:paraId="09B68A3E">
      <w:pPr>
        <w:tabs>
          <w:tab w:val="left" w:pos="851"/>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）提供虚假材料谋取成交；</w:t>
      </w:r>
    </w:p>
    <w:p w14:paraId="686F06C3">
      <w:pPr>
        <w:tabs>
          <w:tab w:val="left" w:pos="851"/>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）采取不正当手段诋毁、排挤其他供应商；</w:t>
      </w:r>
    </w:p>
    <w:p w14:paraId="71C717BC">
      <w:pPr>
        <w:tabs>
          <w:tab w:val="left" w:pos="851"/>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）与采购人、或其他供应商恶意串通；</w:t>
      </w:r>
    </w:p>
    <w:p w14:paraId="65B236B2">
      <w:pPr>
        <w:tabs>
          <w:tab w:val="left" w:pos="851"/>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）向采购人、磋商小组成员行贿或者提供其他不正当利益；</w:t>
      </w:r>
    </w:p>
    <w:p w14:paraId="7978E847">
      <w:pPr>
        <w:tabs>
          <w:tab w:val="left" w:pos="851"/>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5</w:t>
      </w:r>
      <w:r>
        <w:rPr>
          <w:rFonts w:hint="eastAsia" w:asciiTheme="minorEastAsia" w:hAnsiTheme="minorEastAsia" w:eastAsiaTheme="minorEastAsia"/>
          <w:color w:val="000000" w:themeColor="text1"/>
          <w:sz w:val="24"/>
          <w:highlight w:val="none"/>
          <w14:textFill>
            <w14:solidFill>
              <w14:schemeClr w14:val="tx1"/>
            </w14:solidFill>
          </w14:textFill>
        </w:rPr>
        <w:t>）在磋商过程中与采购人进行协商；</w:t>
      </w:r>
    </w:p>
    <w:p w14:paraId="2DBF6348">
      <w:pPr>
        <w:tabs>
          <w:tab w:val="left" w:pos="851"/>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6</w:t>
      </w:r>
      <w:r>
        <w:rPr>
          <w:rFonts w:hint="eastAsia" w:asciiTheme="minorEastAsia" w:hAnsiTheme="minorEastAsia" w:eastAsiaTheme="minorEastAsia"/>
          <w:color w:val="000000" w:themeColor="text1"/>
          <w:sz w:val="24"/>
          <w:highlight w:val="none"/>
          <w14:textFill>
            <w14:solidFill>
              <w14:schemeClr w14:val="tx1"/>
            </w14:solidFill>
          </w14:textFill>
        </w:rPr>
        <w:t>）成交后无正当理由拒不与采购人签订采购合同；</w:t>
      </w:r>
    </w:p>
    <w:p w14:paraId="7AA84EB6">
      <w:pPr>
        <w:tabs>
          <w:tab w:val="left" w:pos="851"/>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7</w:t>
      </w:r>
      <w:r>
        <w:rPr>
          <w:rFonts w:hint="eastAsia" w:asciiTheme="minorEastAsia" w:hAnsiTheme="minorEastAsia" w:eastAsiaTheme="minorEastAsia"/>
          <w:color w:val="000000" w:themeColor="text1"/>
          <w:sz w:val="24"/>
          <w:highlight w:val="none"/>
          <w14:textFill>
            <w14:solidFill>
              <w14:schemeClr w14:val="tx1"/>
            </w14:solidFill>
          </w14:textFill>
        </w:rPr>
        <w:t>）未按照磋商文件确定的事项签订采购合同；</w:t>
      </w:r>
    </w:p>
    <w:p w14:paraId="7845380E">
      <w:pPr>
        <w:tabs>
          <w:tab w:val="left" w:pos="851"/>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8</w:t>
      </w:r>
      <w:r>
        <w:rPr>
          <w:rFonts w:hint="eastAsia" w:asciiTheme="minorEastAsia" w:hAnsiTheme="minorEastAsia" w:eastAsiaTheme="minorEastAsia"/>
          <w:color w:val="000000" w:themeColor="text1"/>
          <w:sz w:val="24"/>
          <w:highlight w:val="none"/>
          <w14:textFill>
            <w14:solidFill>
              <w14:schemeClr w14:val="tx1"/>
            </w14:solidFill>
          </w14:textFill>
        </w:rPr>
        <w:t>）将采购合同转包或者违规分包；</w:t>
      </w:r>
    </w:p>
    <w:p w14:paraId="7E7C8506">
      <w:pPr>
        <w:tabs>
          <w:tab w:val="left" w:pos="851"/>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9</w:t>
      </w:r>
      <w:r>
        <w:rPr>
          <w:rFonts w:hint="eastAsia" w:asciiTheme="minorEastAsia" w:hAnsiTheme="minorEastAsia" w:eastAsiaTheme="minorEastAsia"/>
          <w:color w:val="000000" w:themeColor="text1"/>
          <w:sz w:val="24"/>
          <w:highlight w:val="none"/>
          <w14:textFill>
            <w14:solidFill>
              <w14:schemeClr w14:val="tx1"/>
            </w14:solidFill>
          </w14:textFill>
        </w:rPr>
        <w:t>）提供假冒伪劣产品；</w:t>
      </w:r>
    </w:p>
    <w:p w14:paraId="176571B4">
      <w:pPr>
        <w:tabs>
          <w:tab w:val="left" w:pos="851"/>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10</w:t>
      </w:r>
      <w:r>
        <w:rPr>
          <w:rFonts w:hint="eastAsia" w:asciiTheme="minorEastAsia" w:hAnsiTheme="minorEastAsia" w:eastAsiaTheme="minorEastAsia"/>
          <w:color w:val="000000" w:themeColor="text1"/>
          <w:sz w:val="24"/>
          <w:highlight w:val="none"/>
          <w14:textFill>
            <w14:solidFill>
              <w14:schemeClr w14:val="tx1"/>
            </w14:solidFill>
          </w14:textFill>
        </w:rPr>
        <w:t>）擅自变更、中止或者终止采购合同；</w:t>
      </w:r>
    </w:p>
    <w:p w14:paraId="5969F5C4">
      <w:pPr>
        <w:tabs>
          <w:tab w:val="left" w:pos="851"/>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11</w:t>
      </w:r>
      <w:r>
        <w:rPr>
          <w:rFonts w:hint="eastAsia" w:asciiTheme="minorEastAsia" w:hAnsiTheme="minorEastAsia" w:eastAsiaTheme="minorEastAsia"/>
          <w:color w:val="000000" w:themeColor="text1"/>
          <w:sz w:val="24"/>
          <w:highlight w:val="none"/>
          <w14:textFill>
            <w14:solidFill>
              <w14:schemeClr w14:val="tx1"/>
            </w14:solidFill>
          </w14:textFill>
        </w:rPr>
        <w:t>）拒绝有关部门的监督检查或者向监督检查部门提供虚假情况；</w:t>
      </w:r>
    </w:p>
    <w:p w14:paraId="73DDBFBC">
      <w:pPr>
        <w:tabs>
          <w:tab w:val="left" w:pos="851"/>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12</w:t>
      </w:r>
      <w:r>
        <w:rPr>
          <w:rFonts w:hint="eastAsia" w:asciiTheme="minorEastAsia" w:hAnsiTheme="minorEastAsia" w:eastAsiaTheme="minorEastAsia"/>
          <w:color w:val="000000" w:themeColor="text1"/>
          <w:sz w:val="24"/>
          <w:highlight w:val="none"/>
          <w14:textFill>
            <w14:solidFill>
              <w14:schemeClr w14:val="tx1"/>
            </w14:solidFill>
          </w14:textFill>
        </w:rPr>
        <w:t>）法律法规规定的其他情形。</w:t>
      </w:r>
    </w:p>
    <w:p w14:paraId="0390D8C7">
      <w:pPr>
        <w:tabs>
          <w:tab w:val="left" w:pos="851"/>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供应商有上述情形的，按照规定追究法律责任，具备（</w:t>
      </w: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10</w:t>
      </w:r>
      <w:r>
        <w:rPr>
          <w:rFonts w:hint="eastAsia" w:asciiTheme="minorEastAsia" w:hAnsiTheme="minorEastAsia" w:eastAsiaTheme="minorEastAsia"/>
          <w:color w:val="000000" w:themeColor="text1"/>
          <w:sz w:val="24"/>
          <w:highlight w:val="none"/>
          <w14:textFill>
            <w14:solidFill>
              <w14:schemeClr w14:val="tx1"/>
            </w14:solidFill>
          </w14:textFill>
        </w:rPr>
        <w:t>）条情形之一的，同时将取消被确认为成交供应商的资格或者认定成交无效。</w:t>
      </w:r>
    </w:p>
    <w:p w14:paraId="34C375CD">
      <w:pPr>
        <w:tabs>
          <w:tab w:val="left" w:pos="851"/>
        </w:tabs>
        <w:spacing w:line="360" w:lineRule="auto"/>
        <w:jc w:val="center"/>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32"/>
          <w:szCs w:val="32"/>
          <w:highlight w:val="none"/>
          <w14:textFill>
            <w14:solidFill>
              <w14:schemeClr w14:val="tx1"/>
            </w14:solidFill>
          </w14:textFill>
        </w:rPr>
        <w:t>九、询问、质疑和投诉</w:t>
      </w:r>
    </w:p>
    <w:p w14:paraId="18941D80">
      <w:pPr>
        <w:tabs>
          <w:tab w:val="left" w:pos="851"/>
        </w:tabs>
        <w:spacing w:line="360" w:lineRule="auto"/>
        <w:ind w:firstLine="495"/>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34.</w:t>
      </w:r>
      <w:r>
        <w:rPr>
          <w:rFonts w:hint="eastAsia" w:asciiTheme="minorEastAsia" w:hAnsiTheme="minorEastAsia" w:eastAsiaTheme="minorEastAsia"/>
          <w:color w:val="000000" w:themeColor="text1"/>
          <w:sz w:val="24"/>
          <w:highlight w:val="none"/>
          <w14:textFill>
            <w14:solidFill>
              <w14:schemeClr w14:val="tx1"/>
            </w14:solidFill>
          </w14:textFill>
        </w:rPr>
        <w:t>询问、质疑、投诉的接收和处理参照《中华人民共和国政府采购法》、《中华人民共和国政府采购法实施条例》、《财政部关于加强政府采购供应商投诉受理审查工作的通知》、《</w:t>
      </w:r>
      <w:r>
        <w:rPr>
          <w:rFonts w:hint="eastAsia" w:asciiTheme="minorEastAsia" w:hAnsiTheme="minorEastAsia" w:eastAsiaTheme="minorEastAsia"/>
          <w:bCs/>
          <w:color w:val="000000" w:themeColor="text1"/>
          <w:sz w:val="24"/>
          <w:highlight w:val="none"/>
          <w14:textFill>
            <w14:solidFill>
              <w14:schemeClr w14:val="tx1"/>
            </w14:solidFill>
          </w14:textFill>
        </w:rPr>
        <w:t>政府采购质疑和投诉办法</w:t>
      </w:r>
      <w:r>
        <w:rPr>
          <w:rFonts w:hint="eastAsia" w:asciiTheme="minorEastAsia" w:hAnsiTheme="minorEastAsia" w:eastAsiaTheme="minorEastAsia"/>
          <w:color w:val="000000" w:themeColor="text1"/>
          <w:sz w:val="24"/>
          <w:highlight w:val="none"/>
          <w14:textFill>
            <w14:solidFill>
              <w14:schemeClr w14:val="tx1"/>
            </w14:solidFill>
          </w14:textFill>
        </w:rPr>
        <w:t>》。</w:t>
      </w:r>
    </w:p>
    <w:p w14:paraId="7171B4F6">
      <w:pPr>
        <w:tabs>
          <w:tab w:val="left" w:pos="851"/>
        </w:tabs>
        <w:spacing w:line="360" w:lineRule="auto"/>
        <w:jc w:val="center"/>
        <w:rPr>
          <w:rFonts w:asciiTheme="minorEastAsia" w:hAnsiTheme="minorEastAsia" w:eastAsiaTheme="minorEastAsia"/>
          <w:color w:val="000000" w:themeColor="text1"/>
          <w:sz w:val="24"/>
          <w:highlight w:val="none"/>
          <w14:textFill>
            <w14:solidFill>
              <w14:schemeClr w14:val="tx1"/>
            </w14:solidFill>
          </w14:textFill>
        </w:rPr>
      </w:pPr>
    </w:p>
    <w:p w14:paraId="437CA1B3">
      <w:pPr>
        <w:tabs>
          <w:tab w:val="left" w:pos="851"/>
        </w:tabs>
        <w:spacing w:line="360" w:lineRule="auto"/>
        <w:jc w:val="center"/>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32"/>
          <w:szCs w:val="32"/>
          <w:highlight w:val="none"/>
          <w14:textFill>
            <w14:solidFill>
              <w14:schemeClr w14:val="tx1"/>
            </w14:solidFill>
          </w14:textFill>
        </w:rPr>
        <w:t>十、其他</w:t>
      </w:r>
    </w:p>
    <w:p w14:paraId="5140612F">
      <w:pPr>
        <w:tabs>
          <w:tab w:val="left" w:pos="851"/>
        </w:tabs>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    38.</w:t>
      </w:r>
      <w:r>
        <w:rPr>
          <w:rFonts w:hint="eastAsia" w:asciiTheme="minorEastAsia" w:hAnsiTheme="minorEastAsia" w:eastAsiaTheme="minorEastAsia"/>
          <w:color w:val="000000" w:themeColor="text1"/>
          <w:sz w:val="24"/>
          <w:highlight w:val="none"/>
          <w14:textFill>
            <w14:solidFill>
              <w14:schemeClr w14:val="tx1"/>
            </w14:solidFill>
          </w14:textFill>
        </w:rPr>
        <w:t>本磋商文件中所引相关法律制度规定，在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08D33A07">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39.</w:t>
      </w:r>
      <w:r>
        <w:rPr>
          <w:rFonts w:hint="eastAsia" w:asciiTheme="minorEastAsia" w:hAnsiTheme="minorEastAsia" w:eastAsiaTheme="minorEastAsia"/>
          <w:b/>
          <w:color w:val="000000" w:themeColor="text1"/>
          <w:sz w:val="24"/>
          <w:highlight w:val="none"/>
          <w14:textFill>
            <w14:solidFill>
              <w14:schemeClr w14:val="tx1"/>
            </w14:solidFill>
          </w14:textFill>
        </w:rPr>
        <w:t>（实质性要求）</w:t>
      </w:r>
      <w:r>
        <w:rPr>
          <w:rFonts w:hint="eastAsia" w:asciiTheme="minorEastAsia" w:hAnsiTheme="minorEastAsia" w:eastAsiaTheme="minorEastAsia"/>
          <w:color w:val="000000" w:themeColor="text1"/>
          <w:sz w:val="24"/>
          <w:highlight w:val="none"/>
          <w14:textFill>
            <w14:solidFill>
              <w14:schemeClr w14:val="tx1"/>
            </w14:solidFill>
          </w14:textFill>
        </w:rPr>
        <w:t>国家或行业主管部门对采购产品的技术标准、质量标准和资格资质条件等有强制性规定的，必须符合其要求。</w:t>
      </w:r>
    </w:p>
    <w:p w14:paraId="0B3DE686">
      <w:pPr>
        <w:widowControl/>
        <w:jc w:val="lef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br w:type="page"/>
      </w:r>
    </w:p>
    <w:p w14:paraId="0005DDB6">
      <w:pPr>
        <w:spacing w:line="360" w:lineRule="auto"/>
        <w:ind w:left="239" w:leftChars="114"/>
        <w:rPr>
          <w:rFonts w:asciiTheme="minorEastAsia" w:hAnsiTheme="minorEastAsia" w:eastAsiaTheme="minorEastAsia"/>
          <w:color w:val="000000" w:themeColor="text1"/>
          <w:sz w:val="24"/>
          <w:highlight w:val="none"/>
          <w14:textFill>
            <w14:solidFill>
              <w14:schemeClr w14:val="tx1"/>
            </w14:solidFill>
          </w14:textFill>
        </w:rPr>
        <w:sectPr>
          <w:pgSz w:w="11906" w:h="16838"/>
          <w:pgMar w:top="1440" w:right="1797" w:bottom="1440" w:left="1797" w:header="851" w:footer="992" w:gutter="0"/>
          <w:pgNumType w:start="1"/>
          <w:cols w:space="720" w:num="1"/>
          <w:docGrid w:linePitch="326" w:charSpace="0"/>
        </w:sectPr>
      </w:pPr>
    </w:p>
    <w:p w14:paraId="2156F3C7">
      <w:pPr>
        <w:pStyle w:val="17"/>
        <w:rPr>
          <w:rFonts w:asciiTheme="minorEastAsia" w:hAnsiTheme="minorEastAsia" w:eastAsiaTheme="minorEastAsia"/>
          <w:color w:val="000000" w:themeColor="text1"/>
          <w:highlight w:val="none"/>
          <w14:textFill>
            <w14:solidFill>
              <w14:schemeClr w14:val="tx1"/>
            </w14:solidFill>
          </w14:textFill>
        </w:rPr>
      </w:pPr>
      <w:bookmarkStart w:id="79" w:name="_Toc509579142"/>
      <w:bookmarkStart w:id="80" w:name="_Toc531596548"/>
      <w:r>
        <w:rPr>
          <w:rFonts w:hint="eastAsia" w:asciiTheme="minorEastAsia" w:hAnsiTheme="minorEastAsia" w:eastAsiaTheme="minorEastAsia"/>
          <w:color w:val="000000" w:themeColor="text1"/>
          <w:highlight w:val="none"/>
          <w14:textFill>
            <w14:solidFill>
              <w14:schemeClr w14:val="tx1"/>
            </w14:solidFill>
          </w14:textFill>
        </w:rPr>
        <w:t>第三章供应商和报价产品的资格、资质性及其他类似效力要求</w:t>
      </w:r>
      <w:bookmarkEnd w:id="79"/>
      <w:bookmarkEnd w:id="80"/>
    </w:p>
    <w:p w14:paraId="58762B45">
      <w:pPr>
        <w:rPr>
          <w:rFonts w:asciiTheme="minorEastAsia" w:hAnsiTheme="minorEastAsia" w:eastAsiaTheme="minorEastAsia"/>
          <w:b/>
          <w:color w:val="000000" w:themeColor="text1"/>
          <w:sz w:val="32"/>
          <w:szCs w:val="32"/>
          <w:highlight w:val="none"/>
          <w14:textFill>
            <w14:solidFill>
              <w14:schemeClr w14:val="tx1"/>
            </w14:solidFill>
          </w14:textFill>
        </w:rPr>
      </w:pPr>
    </w:p>
    <w:p w14:paraId="777EB071">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一、参加磋商的供应商应具备下列资格条件：</w:t>
      </w:r>
    </w:p>
    <w:p w14:paraId="12ED6C67">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（一）具备以下条件：</w:t>
      </w:r>
    </w:p>
    <w:p w14:paraId="2F1F713F">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具有独立承担民事责任的能力；</w:t>
      </w:r>
    </w:p>
    <w:p w14:paraId="6637D879">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具有良好的商业信誉和健全的财务会计制度；</w:t>
      </w:r>
    </w:p>
    <w:p w14:paraId="5F7ABF89">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具有履行合同所必须的设备和专业技术能力；</w:t>
      </w:r>
    </w:p>
    <w:p w14:paraId="23BD79AB">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具有依法缴纳税收和社会保障资金的良好记录；</w:t>
      </w:r>
    </w:p>
    <w:p w14:paraId="6D0F7F4D">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5.</w:t>
      </w:r>
      <w:r>
        <w:rPr>
          <w:rFonts w:hint="eastAsia" w:asciiTheme="minorEastAsia" w:hAnsiTheme="minorEastAsia" w:eastAsiaTheme="minorEastAsia"/>
          <w:color w:val="000000" w:themeColor="text1"/>
          <w:sz w:val="24"/>
          <w:highlight w:val="none"/>
          <w14:textFill>
            <w14:solidFill>
              <w14:schemeClr w14:val="tx1"/>
            </w14:solidFill>
          </w14:textFill>
        </w:rPr>
        <w:t>参加本次采购活动前三年内，在经营活动中没有重大违法记录</w:t>
      </w:r>
      <w:r>
        <w:rPr>
          <w:rFonts w:asciiTheme="minorEastAsia" w:hAnsiTheme="minorEastAsia" w:eastAsiaTheme="minorEastAsia"/>
          <w:color w:val="000000" w:themeColor="text1"/>
          <w:sz w:val="24"/>
          <w:highlight w:val="none"/>
          <w14:textFill>
            <w14:solidFill>
              <w14:schemeClr w14:val="tx1"/>
            </w14:solidFill>
          </w14:textFill>
        </w:rPr>
        <w:t>;</w:t>
      </w:r>
    </w:p>
    <w:p w14:paraId="3FF69E19">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6.</w:t>
      </w:r>
      <w:r>
        <w:rPr>
          <w:rFonts w:hint="eastAsia" w:asciiTheme="minorEastAsia" w:hAnsiTheme="minorEastAsia" w:eastAsiaTheme="minorEastAsia"/>
          <w:color w:val="000000" w:themeColor="text1"/>
          <w:sz w:val="24"/>
          <w:highlight w:val="none"/>
          <w14:textFill>
            <w14:solidFill>
              <w14:schemeClr w14:val="tx1"/>
            </w14:solidFill>
          </w14:textFill>
        </w:rPr>
        <w:t>符合法律、行政法规规定的其他条件；</w:t>
      </w:r>
    </w:p>
    <w:p w14:paraId="691BE493">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7.</w:t>
      </w:r>
      <w:r>
        <w:rPr>
          <w:rFonts w:hint="eastAsia" w:asciiTheme="minorEastAsia" w:hAnsiTheme="minorEastAsia" w:eastAsiaTheme="minorEastAsia"/>
          <w:color w:val="000000" w:themeColor="text1"/>
          <w:sz w:val="24"/>
          <w:highlight w:val="none"/>
          <w14:textFill>
            <w14:solidFill>
              <w14:schemeClr w14:val="tx1"/>
            </w14:solidFill>
          </w14:textFill>
        </w:rPr>
        <w:t>根据采购项目提出的特殊条件：</w:t>
      </w:r>
    </w:p>
    <w:p w14:paraId="2FB09089">
      <w:pPr>
        <w:pStyle w:val="25"/>
        <w:ind w:firstLine="480"/>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供应商</w:t>
      </w:r>
      <w:r>
        <w:rPr>
          <w:rFonts w:hint="eastAsia" w:ascii="宋体" w:hAnsi="宋体" w:eastAsia="宋体" w:cs="宋体"/>
          <w:color w:val="000000" w:themeColor="text1"/>
          <w:sz w:val="24"/>
          <w:szCs w:val="24"/>
          <w:highlight w:val="none"/>
          <w:lang w:val="en-US" w:eastAsia="zh-CN"/>
          <w14:textFill>
            <w14:solidFill>
              <w14:schemeClr w14:val="tx1"/>
            </w14:solidFill>
          </w14:textFill>
        </w:rPr>
        <w:t>须</w:t>
      </w:r>
      <w:r>
        <w:rPr>
          <w:rFonts w:hint="eastAsia" w:asciiTheme="minorEastAsia" w:hAnsiTheme="minorEastAsia" w:eastAsiaTheme="minorEastAsia"/>
          <w:color w:val="000000" w:themeColor="text1"/>
          <w:sz w:val="24"/>
          <w:highlight w:val="none"/>
          <w14:textFill>
            <w14:solidFill>
              <w14:schemeClr w14:val="tx1"/>
            </w14:solidFill>
          </w14:textFill>
        </w:rPr>
        <w:t>具有建筑工程施工装修二级及以上资质。</w:t>
      </w:r>
    </w:p>
    <w:p w14:paraId="40DE2198">
      <w:pPr>
        <w:pStyle w:val="25"/>
        <w:keepNext w:val="0"/>
        <w:keepLines w:val="0"/>
        <w:pageBreakBefore w:val="0"/>
        <w:widowControl w:val="0"/>
        <w:kinsoku/>
        <w:wordWrap/>
        <w:overflowPunct/>
        <w:topLinePunct w:val="0"/>
        <w:autoSpaceDE/>
        <w:autoSpaceDN/>
        <w:bidi w:val="0"/>
        <w:adjustRightInd/>
        <w:snapToGrid/>
        <w:ind w:firstLine="480"/>
        <w:textAlignment w:val="auto"/>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（2）具备有效的《安全生产许可证》。</w:t>
      </w:r>
    </w:p>
    <w:p w14:paraId="63330C90">
      <w:pPr>
        <w:pStyle w:val="2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asciiTheme="minorEastAsia" w:hAnsiTheme="minorEastAsia"/>
          <w:color w:val="000000" w:themeColor="text1"/>
          <w:sz w:val="24"/>
          <w:highlight w:val="none"/>
          <w:lang w:eastAsia="zh-CN"/>
          <w14:textFill>
            <w14:solidFill>
              <w14:schemeClr w14:val="tx1"/>
            </w14:solidFill>
          </w14:textFill>
        </w:rPr>
      </w:pPr>
      <w:r>
        <w:rPr>
          <w:rFonts w:hint="eastAsia" w:asciiTheme="minorEastAsia" w:hAnsiTheme="minorEastAsia" w:eastAsiaTheme="minorEastAsia"/>
          <w:color w:val="000000" w:themeColor="text1"/>
          <w:sz w:val="24"/>
          <w:highlight w:val="none"/>
          <w:lang w:eastAsia="zh-CN"/>
          <w14:textFill>
            <w14:solidFill>
              <w14:schemeClr w14:val="tx1"/>
            </w14:solidFill>
          </w14:textFill>
        </w:rPr>
        <w:t>（</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3</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供应商及其现任法定代表人、主要负责人不得具有行贿犯罪记录</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432669C3">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8.</w:t>
      </w:r>
      <w:r>
        <w:rPr>
          <w:rFonts w:hint="eastAsia" w:asciiTheme="minorEastAsia" w:hAnsiTheme="minorEastAsia" w:eastAsiaTheme="minorEastAsia"/>
          <w:color w:val="000000" w:themeColor="text1"/>
          <w:sz w:val="24"/>
          <w:highlight w:val="none"/>
          <w14:textFill>
            <w14:solidFill>
              <w14:schemeClr w14:val="tx1"/>
            </w14:solidFill>
          </w14:textFill>
        </w:rPr>
        <w:t>本项目不允许联合体参加。</w:t>
      </w:r>
    </w:p>
    <w:p w14:paraId="5D3A530F">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（二）其他类似效力要求：</w:t>
      </w:r>
    </w:p>
    <w:p w14:paraId="4906AB71">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1</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授权参加本次采购活动的供应商代表证明材料。</w:t>
      </w:r>
    </w:p>
    <w:p w14:paraId="5E9C4926">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二、报价产品的资格、资质性及其他类似效力要求：</w:t>
      </w:r>
    </w:p>
    <w:p w14:paraId="4D2D861E">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无</w:t>
      </w:r>
    </w:p>
    <w:p w14:paraId="6427E062">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注：</w:t>
      </w: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本项目确定供应商重大违法记录中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为准。</w:t>
      </w:r>
    </w:p>
    <w:p w14:paraId="1C08C0A1">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供应商在参加采购活动前，被纳入法院、工商行政管理部门、税务部门、银行认定的失信名单且在有效期内，或者在前三年采购合同履约过程中及其他经营活动履约过程中未依法履约被有关行政部门处罚（处理）的，本项目不认定其具有良好的商业信誉。</w:t>
      </w:r>
    </w:p>
    <w:p w14:paraId="7D53C791">
      <w:pPr>
        <w:widowControl/>
        <w:spacing w:line="360" w:lineRule="auto"/>
        <w:jc w:val="lef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br w:type="page"/>
      </w:r>
    </w:p>
    <w:p w14:paraId="61A080A7">
      <w:pPr>
        <w:pStyle w:val="17"/>
        <w:rPr>
          <w:rFonts w:asciiTheme="minorEastAsia" w:hAnsiTheme="minorEastAsia" w:eastAsiaTheme="minorEastAsia"/>
          <w:color w:val="000000" w:themeColor="text1"/>
          <w:highlight w:val="none"/>
          <w14:textFill>
            <w14:solidFill>
              <w14:schemeClr w14:val="tx1"/>
            </w14:solidFill>
          </w14:textFill>
        </w:rPr>
      </w:pPr>
      <w:bookmarkStart w:id="81" w:name="_Toc531596549"/>
      <w:bookmarkStart w:id="82" w:name="_Toc509579143"/>
      <w:r>
        <w:rPr>
          <w:rFonts w:hint="eastAsia" w:asciiTheme="minorEastAsia" w:hAnsiTheme="minorEastAsia" w:eastAsiaTheme="minorEastAsia"/>
          <w:color w:val="000000" w:themeColor="text1"/>
          <w:highlight w:val="none"/>
          <w14:textFill>
            <w14:solidFill>
              <w14:schemeClr w14:val="tx1"/>
            </w14:solidFill>
          </w14:textFill>
        </w:rPr>
        <w:t>第四章供应商应当提供的资格、资质性</w:t>
      </w:r>
    </w:p>
    <w:p w14:paraId="504E7C38">
      <w:pPr>
        <w:pStyle w:val="17"/>
        <w:rPr>
          <w:rFonts w:asciiTheme="minorEastAsia" w:hAnsiTheme="minorEastAsia" w:eastAsia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及其他类似效力要求的相关证明材料</w:t>
      </w:r>
      <w:bookmarkEnd w:id="81"/>
      <w:bookmarkEnd w:id="82"/>
    </w:p>
    <w:p w14:paraId="415DA483">
      <w:pPr>
        <w:ind w:firstLine="538"/>
        <w:rPr>
          <w:rFonts w:asciiTheme="minorEastAsia" w:hAnsiTheme="minorEastAsia" w:eastAsiaTheme="minorEastAsia"/>
          <w:color w:val="000000" w:themeColor="text1"/>
          <w:sz w:val="28"/>
          <w:szCs w:val="28"/>
          <w:highlight w:val="none"/>
          <w14:textFill>
            <w14:solidFill>
              <w14:schemeClr w14:val="tx1"/>
            </w14:solidFill>
          </w14:textFill>
        </w:rPr>
      </w:pPr>
    </w:p>
    <w:p w14:paraId="1C08379A">
      <w:pPr>
        <w:spacing w:line="360" w:lineRule="auto"/>
        <w:ind w:firstLine="472" w:firstLineChars="196"/>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一、应当提供的供应商资格、资质性及其他类似效力要求的相关证明材料</w:t>
      </w:r>
    </w:p>
    <w:p w14:paraId="7397D1AE">
      <w:pPr>
        <w:spacing w:line="360" w:lineRule="auto"/>
        <w:ind w:firstLine="472" w:firstLineChars="196"/>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（一）资格要求相关证明材料：</w:t>
      </w:r>
    </w:p>
    <w:p w14:paraId="41A38A40">
      <w:pPr>
        <w:spacing w:line="360" w:lineRule="auto"/>
        <w:ind w:firstLine="470" w:firstLineChars="196"/>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0A5E0B40">
      <w:pPr>
        <w:spacing w:line="360" w:lineRule="auto"/>
        <w:ind w:firstLine="470" w:firstLineChars="196"/>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、具备良好商业信誉的证明材料（可提供承诺函，格式详见第七章）；</w:t>
      </w:r>
    </w:p>
    <w:p w14:paraId="4C676CB5">
      <w:pPr>
        <w:spacing w:line="360" w:lineRule="auto"/>
        <w:ind w:firstLine="470" w:firstLineChars="196"/>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、具备健全的财务会计制度的证明材料。｛注：①可提供202</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或</w:t>
      </w:r>
      <w:r>
        <w:rPr>
          <w:rFonts w:asciiTheme="minorEastAsia" w:hAnsiTheme="minorEastAsia" w:eastAsiaTheme="minorEastAsia"/>
          <w:color w:val="000000" w:themeColor="text1"/>
          <w:sz w:val="24"/>
          <w:highlight w:val="none"/>
          <w14:textFill>
            <w14:solidFill>
              <w14:schemeClr w14:val="tx1"/>
            </w14:solidFill>
          </w14:textFill>
        </w:rPr>
        <w:t>20</w:t>
      </w:r>
      <w:r>
        <w:rPr>
          <w:rFonts w:hint="eastAsia"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年度经审计的财务报告复印件（包含审计报告和审计报告中所涉及的财务报表和报表附注），②也可提供202</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或</w:t>
      </w:r>
      <w:r>
        <w:rPr>
          <w:rFonts w:asciiTheme="minorEastAsia" w:hAnsiTheme="minorEastAsia" w:eastAsiaTheme="minorEastAsia"/>
          <w:color w:val="000000" w:themeColor="text1"/>
          <w:sz w:val="24"/>
          <w:highlight w:val="none"/>
          <w14:textFill>
            <w14:solidFill>
              <w14:schemeClr w14:val="tx1"/>
            </w14:solidFill>
          </w14:textFill>
        </w:rPr>
        <w:t>20</w:t>
      </w:r>
      <w:r>
        <w:rPr>
          <w:rFonts w:hint="eastAsia"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年度供应商内部的财务报表复印件（至少包含资产负债表），③也可提供截至响应文件递交截止日一年内银行出具的资信证明（复印件），④供应商注册时间截至响应文件递交截止日不足一年的，也可提供在工商备案的公司章程（复印件）。｝</w:t>
      </w:r>
    </w:p>
    <w:p w14:paraId="23B16111">
      <w:pPr>
        <w:spacing w:line="360" w:lineRule="auto"/>
        <w:ind w:firstLine="470" w:firstLineChars="196"/>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、具有依法缴纳税收和社会保障资金的良好记录（可提供承诺函，格式详见第七章）；</w:t>
      </w:r>
    </w:p>
    <w:p w14:paraId="65EA5AC5">
      <w:pPr>
        <w:spacing w:line="360" w:lineRule="auto"/>
        <w:ind w:firstLine="470" w:firstLineChars="196"/>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5</w:t>
      </w:r>
      <w:r>
        <w:rPr>
          <w:rFonts w:hint="eastAsia" w:asciiTheme="minorEastAsia" w:hAnsiTheme="minorEastAsia" w:eastAsiaTheme="minorEastAsia"/>
          <w:color w:val="000000" w:themeColor="text1"/>
          <w:sz w:val="24"/>
          <w:highlight w:val="none"/>
          <w14:textFill>
            <w14:solidFill>
              <w14:schemeClr w14:val="tx1"/>
            </w14:solidFill>
          </w14:textFill>
        </w:rPr>
        <w:t>、具备履行合同所必需的设备和专业技术能力的证明材料（可提供承诺函，格式详见第七章）；</w:t>
      </w:r>
    </w:p>
    <w:p w14:paraId="4E7B8857">
      <w:pPr>
        <w:spacing w:line="360" w:lineRule="auto"/>
        <w:ind w:firstLine="470" w:firstLineChars="196"/>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6</w:t>
      </w:r>
      <w:r>
        <w:rPr>
          <w:rFonts w:hint="eastAsia" w:asciiTheme="minorEastAsia" w:hAnsiTheme="minorEastAsia" w:eastAsiaTheme="minorEastAsia"/>
          <w:color w:val="000000" w:themeColor="text1"/>
          <w:sz w:val="24"/>
          <w:highlight w:val="none"/>
          <w14:textFill>
            <w14:solidFill>
              <w14:schemeClr w14:val="tx1"/>
            </w14:solidFill>
          </w14:textFill>
        </w:rPr>
        <w:t>、参加采购活动前</w:t>
      </w: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年内在经营活动中没有重大违法记录的承诺函（格式详见第七章）；</w:t>
      </w:r>
    </w:p>
    <w:p w14:paraId="037CA6F0">
      <w:pPr>
        <w:spacing w:line="360" w:lineRule="auto"/>
        <w:ind w:firstLine="470" w:firstLineChars="196"/>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7</w:t>
      </w:r>
      <w:r>
        <w:rPr>
          <w:rFonts w:hint="eastAsia" w:asciiTheme="minorEastAsia" w:hAnsiTheme="minorEastAsia" w:eastAsiaTheme="minorEastAsia"/>
          <w:color w:val="000000" w:themeColor="text1"/>
          <w:sz w:val="24"/>
          <w:highlight w:val="none"/>
          <w14:textFill>
            <w14:solidFill>
              <w14:schemeClr w14:val="tx1"/>
            </w14:solidFill>
          </w14:textFill>
        </w:rPr>
        <w:t>、具备法律、行政法规规定的其他条件的证明材料（可提供承诺函，格式详见第七章）；</w:t>
      </w:r>
    </w:p>
    <w:p w14:paraId="34E6E3AA">
      <w:pPr>
        <w:spacing w:line="360" w:lineRule="auto"/>
        <w:ind w:firstLine="470" w:firstLineChars="196"/>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8</w:t>
      </w:r>
      <w:r>
        <w:rPr>
          <w:rFonts w:hint="eastAsia" w:asciiTheme="minorEastAsia" w:hAnsiTheme="minorEastAsia" w:eastAsiaTheme="minorEastAsia"/>
          <w:color w:val="000000" w:themeColor="text1"/>
          <w:sz w:val="24"/>
          <w:highlight w:val="none"/>
          <w14:textFill>
            <w14:solidFill>
              <w14:schemeClr w14:val="tx1"/>
            </w14:solidFill>
          </w14:textFill>
        </w:rPr>
        <w:t>、根据采购项目提出的特殊条件：</w:t>
      </w:r>
    </w:p>
    <w:p w14:paraId="673EE919">
      <w:pPr>
        <w:spacing w:line="360" w:lineRule="auto"/>
        <w:ind w:firstLine="480" w:firstLineChars="200"/>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供应商</w:t>
      </w:r>
      <w:r>
        <w:rPr>
          <w:rFonts w:hint="eastAsia" w:ascii="宋体" w:hAnsi="宋体" w:eastAsia="宋体" w:cs="宋体"/>
          <w:color w:val="000000" w:themeColor="text1"/>
          <w:sz w:val="24"/>
          <w:szCs w:val="24"/>
          <w:highlight w:val="none"/>
          <w:lang w:val="en-US" w:eastAsia="zh-CN"/>
          <w14:textFill>
            <w14:solidFill>
              <w14:schemeClr w14:val="tx1"/>
            </w14:solidFill>
          </w14:textFill>
        </w:rPr>
        <w:t>须</w:t>
      </w:r>
      <w:r>
        <w:rPr>
          <w:rFonts w:hint="eastAsia" w:asciiTheme="minorEastAsia" w:hAnsiTheme="minorEastAsia" w:eastAsiaTheme="minorEastAsia"/>
          <w:color w:val="000000" w:themeColor="text1"/>
          <w:sz w:val="24"/>
          <w:highlight w:val="none"/>
          <w14:textFill>
            <w14:solidFill>
              <w14:schemeClr w14:val="tx1"/>
            </w14:solidFill>
          </w14:textFill>
        </w:rPr>
        <w:t>具有建筑工程施工装修二级及以上资质。</w:t>
      </w:r>
    </w:p>
    <w:p w14:paraId="16588036">
      <w:pPr>
        <w:spacing w:line="360" w:lineRule="auto"/>
        <w:ind w:firstLine="480" w:firstLineChars="200"/>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（2）具备有效的《安全生产许可证》。</w:t>
      </w:r>
    </w:p>
    <w:p w14:paraId="3628BB2F">
      <w:pPr>
        <w:pStyle w:val="2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eastAsia="zh-CN"/>
          <w14:textFill>
            <w14:solidFill>
              <w14:schemeClr w14:val="tx1"/>
            </w14:solidFill>
          </w14:textFill>
        </w:rPr>
        <w:t>（</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3</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供应商及其现任法定代表人、主要负责人不得具有行贿犯罪记录</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28716F67">
      <w:pPr>
        <w:spacing w:line="360" w:lineRule="auto"/>
        <w:ind w:firstLine="480"/>
        <w:rPr>
          <w:rFonts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highlight w:val="none"/>
          <w14:textFill>
            <w14:solidFill>
              <w14:schemeClr w14:val="tx1"/>
            </w14:solidFill>
          </w14:textFill>
        </w:rPr>
        <w:t>（二）其他类似效力要求相关证明材料：</w:t>
      </w:r>
    </w:p>
    <w:p w14:paraId="44CA0F38">
      <w:pPr>
        <w:spacing w:line="360" w:lineRule="auto"/>
        <w:ind w:firstLine="48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）法定代表人</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单位负责人身份证明材料复印件。</w:t>
      </w:r>
    </w:p>
    <w:p w14:paraId="2B31D57F">
      <w:pPr>
        <w:spacing w:line="360" w:lineRule="auto"/>
        <w:ind w:firstLine="48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）法定代表人</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单位负责人授权代理书原件及代理人身份证明材料复印件（注：①法定代表人</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单位负责人授权代理书原件需加盖公章；②如响应文件均由供应商法定代表人</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单位负责人签字的且法定代表人</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单位负责人本人参与磋商的，则可不提供。）</w:t>
      </w:r>
    </w:p>
    <w:p w14:paraId="202F7E36">
      <w:pPr>
        <w:spacing w:line="360" w:lineRule="auto"/>
        <w:ind w:firstLine="48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二、供应商应提供的报价产品的资格、资质性及其他类似效力要求的相关证明材料</w:t>
      </w:r>
    </w:p>
    <w:p w14:paraId="713A5368">
      <w:pPr>
        <w:spacing w:line="360" w:lineRule="auto"/>
        <w:ind w:firstLine="48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无</w:t>
      </w:r>
    </w:p>
    <w:p w14:paraId="3277D88B">
      <w:pPr>
        <w:spacing w:line="360" w:lineRule="auto"/>
        <w:rPr>
          <w:rFonts w:asciiTheme="minorEastAsia" w:hAnsiTheme="minorEastAsia" w:eastAsiaTheme="minorEastAsia"/>
          <w:b/>
          <w:bCs/>
          <w:color w:val="000000" w:themeColor="text1"/>
          <w:sz w:val="24"/>
          <w:highlight w:val="none"/>
          <w14:textFill>
            <w14:solidFill>
              <w14:schemeClr w14:val="tx1"/>
            </w14:solidFill>
          </w14:textFill>
        </w:rPr>
      </w:pPr>
    </w:p>
    <w:p w14:paraId="02B85DA2">
      <w:pPr>
        <w:spacing w:line="360" w:lineRule="auto"/>
        <w:rPr>
          <w:rFonts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highlight w:val="none"/>
          <w14:textFill>
            <w14:solidFill>
              <w14:schemeClr w14:val="tx1"/>
            </w14:solidFill>
          </w14:textFill>
        </w:rPr>
        <w:t>注：</w:t>
      </w:r>
      <w:r>
        <w:rPr>
          <w:rFonts w:asciiTheme="minorEastAsia" w:hAnsiTheme="minorEastAsia" w:eastAsiaTheme="minorEastAsia"/>
          <w:b/>
          <w:bCs/>
          <w:color w:val="000000" w:themeColor="text1"/>
          <w:sz w:val="24"/>
          <w:highlight w:val="none"/>
          <w14:textFill>
            <w14:solidFill>
              <w14:schemeClr w14:val="tx1"/>
            </w14:solidFill>
          </w14:textFill>
        </w:rPr>
        <w:t>1</w:t>
      </w:r>
      <w:r>
        <w:rPr>
          <w:rFonts w:hint="eastAsia" w:asciiTheme="minorEastAsia" w:hAnsiTheme="minorEastAsia" w:eastAsiaTheme="minorEastAsia"/>
          <w:b/>
          <w:bCs/>
          <w:color w:val="000000" w:themeColor="text1"/>
          <w:sz w:val="24"/>
          <w:highlight w:val="none"/>
          <w14:textFill>
            <w14:solidFill>
              <w14:schemeClr w14:val="tx1"/>
            </w14:solidFill>
          </w14:textFill>
        </w:rPr>
        <w:t>、以上要求的资料复印件均须加盖供应商单位的公章（鲜章）。</w:t>
      </w:r>
    </w:p>
    <w:p w14:paraId="6B4BDE8F">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b/>
          <w:bCs/>
          <w:color w:val="000000" w:themeColor="text1"/>
          <w:sz w:val="24"/>
          <w:highlight w:val="none"/>
          <w14:textFill>
            <w14:solidFill>
              <w14:schemeClr w14:val="tx1"/>
            </w14:solidFill>
          </w14:textFill>
        </w:rPr>
        <w:t>2</w:t>
      </w:r>
      <w:r>
        <w:rPr>
          <w:rFonts w:hint="eastAsia" w:asciiTheme="minorEastAsia" w:hAnsiTheme="minorEastAsia" w:eastAsiaTheme="minorEastAsia"/>
          <w:b/>
          <w:bCs/>
          <w:color w:val="000000" w:themeColor="text1"/>
          <w:sz w:val="24"/>
          <w:highlight w:val="none"/>
          <w14:textFill>
            <w14:solidFill>
              <w14:schemeClr w14:val="tx1"/>
            </w14:solidFill>
          </w14:textFill>
        </w:rPr>
        <w:t>、根据国务院办公厅关于加快推进“多证合一”改革的指导意见（国办发【</w:t>
      </w:r>
      <w:r>
        <w:rPr>
          <w:rFonts w:asciiTheme="minorEastAsia" w:hAnsiTheme="minorEastAsia" w:eastAsiaTheme="minorEastAsia"/>
          <w:b/>
          <w:bCs/>
          <w:color w:val="000000" w:themeColor="text1"/>
          <w:sz w:val="24"/>
          <w:highlight w:val="none"/>
          <w14:textFill>
            <w14:solidFill>
              <w14:schemeClr w14:val="tx1"/>
            </w14:solidFill>
          </w14:textFill>
        </w:rPr>
        <w:t>2017</w:t>
      </w:r>
      <w:r>
        <w:rPr>
          <w:rFonts w:hint="eastAsia" w:asciiTheme="minorEastAsia" w:hAnsiTheme="minorEastAsia" w:eastAsiaTheme="minorEastAsia"/>
          <w:b/>
          <w:bCs/>
          <w:color w:val="000000" w:themeColor="text1"/>
          <w:sz w:val="24"/>
          <w:highlight w:val="none"/>
          <w14:textFill>
            <w14:solidFill>
              <w14:schemeClr w14:val="tx1"/>
            </w14:solidFill>
          </w14:textFill>
        </w:rPr>
        <w:t>】</w:t>
      </w:r>
      <w:r>
        <w:rPr>
          <w:rFonts w:asciiTheme="minorEastAsia" w:hAnsiTheme="minorEastAsia" w:eastAsiaTheme="minorEastAsia"/>
          <w:b/>
          <w:bCs/>
          <w:color w:val="000000" w:themeColor="text1"/>
          <w:sz w:val="24"/>
          <w:highlight w:val="none"/>
          <w14:textFill>
            <w14:solidFill>
              <w14:schemeClr w14:val="tx1"/>
            </w14:solidFill>
          </w14:textFill>
        </w:rPr>
        <w:t>41</w:t>
      </w:r>
      <w:r>
        <w:rPr>
          <w:rFonts w:hint="eastAsia" w:asciiTheme="minorEastAsia" w:hAnsiTheme="minorEastAsia" w:eastAsiaTheme="minorEastAsia"/>
          <w:b/>
          <w:bCs/>
          <w:color w:val="000000" w:themeColor="text1"/>
          <w:sz w:val="24"/>
          <w:highlight w:val="none"/>
          <w14:textFill>
            <w14:solidFill>
              <w14:schemeClr w14:val="tx1"/>
            </w14:solidFill>
          </w14:textFill>
        </w:rPr>
        <w:t>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七章）。</w:t>
      </w:r>
      <w:r>
        <w:rPr>
          <w:rFonts w:asciiTheme="minorEastAsia" w:hAnsiTheme="minorEastAsia" w:eastAsiaTheme="minorEastAsia"/>
          <w:color w:val="000000" w:themeColor="text1"/>
          <w:sz w:val="24"/>
          <w:highlight w:val="none"/>
          <w14:textFill>
            <w14:solidFill>
              <w14:schemeClr w14:val="tx1"/>
            </w14:solidFill>
          </w14:textFill>
        </w:rPr>
        <w:br w:type="page"/>
      </w:r>
    </w:p>
    <w:p w14:paraId="26B73DFC">
      <w:pPr>
        <w:pStyle w:val="17"/>
        <w:rPr>
          <w:rFonts w:asciiTheme="minorEastAsia" w:hAnsiTheme="minorEastAsia" w:eastAsiaTheme="minorEastAsia"/>
          <w:color w:val="000000" w:themeColor="text1"/>
          <w:highlight w:val="none"/>
          <w14:textFill>
            <w14:solidFill>
              <w14:schemeClr w14:val="tx1"/>
            </w14:solidFill>
          </w14:textFill>
        </w:rPr>
      </w:pPr>
      <w:bookmarkStart w:id="83" w:name="_Toc509579144"/>
      <w:bookmarkStart w:id="84" w:name="_Toc531596550"/>
      <w:r>
        <w:rPr>
          <w:rFonts w:hint="eastAsia" w:asciiTheme="minorEastAsia" w:hAnsiTheme="minorEastAsia" w:eastAsiaTheme="minorEastAsia"/>
          <w:color w:val="000000" w:themeColor="text1"/>
          <w:highlight w:val="none"/>
          <w14:textFill>
            <w14:solidFill>
              <w14:schemeClr w14:val="tx1"/>
            </w14:solidFill>
          </w14:textFill>
        </w:rPr>
        <w:t>第五章采购项目技术、服务、采购合同内容条款</w:t>
      </w:r>
    </w:p>
    <w:p w14:paraId="1B4BC18E">
      <w:pPr>
        <w:pStyle w:val="17"/>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及其他商务要求</w:t>
      </w:r>
      <w:bookmarkEnd w:id="83"/>
      <w:bookmarkEnd w:id="84"/>
    </w:p>
    <w:p w14:paraId="005699DD">
      <w:pPr>
        <w:pStyle w:val="3"/>
        <w:keepNext w:val="0"/>
        <w:keepLines w:val="0"/>
        <w:spacing w:before="0" w:after="0" w:line="360" w:lineRule="auto"/>
        <w:ind w:firstLine="118" w:firstLineChars="49"/>
        <w:jc w:val="left"/>
        <w:rPr>
          <w:rFonts w:asciiTheme="minorEastAsia" w:hAnsiTheme="minorEastAsia" w:eastAsiaTheme="minorEastAsia"/>
          <w:color w:val="000000" w:themeColor="text1"/>
          <w:sz w:val="24"/>
          <w:szCs w:val="24"/>
          <w:highlight w:val="none"/>
          <w14:textFill>
            <w14:solidFill>
              <w14:schemeClr w14:val="tx1"/>
            </w14:solidFill>
          </w14:textFill>
        </w:rPr>
      </w:pPr>
    </w:p>
    <w:p w14:paraId="3A32139D">
      <w:pPr>
        <w:pStyle w:val="3"/>
        <w:keepNext w:val="0"/>
        <w:keepLines w:val="0"/>
        <w:spacing w:before="0" w:after="0" w:line="360" w:lineRule="auto"/>
        <w:ind w:firstLine="118" w:firstLineChars="49"/>
        <w:jc w:val="lef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前提：本章采购需求中标注“★”号的条款为本次磋商采购项目的实质性要求，供应商应全部满足。</w:t>
      </w:r>
    </w:p>
    <w:p w14:paraId="3671B00E">
      <w:pPr>
        <w:pStyle w:val="3"/>
        <w:spacing w:line="360" w:lineRule="auto"/>
        <w:ind w:firstLine="236" w:firstLineChars="98"/>
        <w:rPr>
          <w:rFonts w:hint="eastAsia" w:asciiTheme="minorEastAsia" w:hAnsiTheme="minorEastAsia" w:eastAsiaTheme="minorEastAsia"/>
          <w:bCs w:val="0"/>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w:t>
      </w:r>
      <w:r>
        <w:rPr>
          <w:rFonts w:hint="eastAsia" w:asciiTheme="minorEastAsia" w:hAnsiTheme="minorEastAsia" w:eastAsiaTheme="minorEastAsia"/>
          <w:bCs w:val="0"/>
          <w:color w:val="000000" w:themeColor="text1"/>
          <w:sz w:val="24"/>
          <w:szCs w:val="24"/>
          <w:highlight w:val="none"/>
          <w14:textFill>
            <w14:solidFill>
              <w14:schemeClr w14:val="tx1"/>
            </w14:solidFill>
          </w14:textFill>
        </w:rPr>
        <w:t>（一）技术、服务、合同条款要求</w:t>
      </w:r>
    </w:p>
    <w:p w14:paraId="70014745">
      <w:pPr>
        <w:numPr>
          <w:ilvl w:val="0"/>
          <w:numId w:val="3"/>
        </w:numPr>
        <w:rPr>
          <w:rFonts w:hint="eastAsia" w:asciiTheme="minorEastAsia" w:hAnsiTheme="minorEastAsia" w:eastAsiaTheme="minorEastAsia"/>
          <w:bCs w:val="0"/>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bCs w:val="0"/>
          <w:color w:val="000000" w:themeColor="text1"/>
          <w:sz w:val="24"/>
          <w:szCs w:val="24"/>
          <w:highlight w:val="none"/>
          <w:lang w:val="en-US" w:eastAsia="zh-CN"/>
          <w14:textFill>
            <w14:solidFill>
              <w14:schemeClr w14:val="tx1"/>
            </w14:solidFill>
          </w14:textFill>
        </w:rPr>
        <w:t>要求如下：</w:t>
      </w:r>
    </w:p>
    <w:tbl>
      <w:tblPr>
        <w:tblStyle w:val="18"/>
        <w:tblW w:w="8779" w:type="dxa"/>
        <w:jc w:val="center"/>
        <w:tblLayout w:type="fixed"/>
        <w:tblCellMar>
          <w:top w:w="0" w:type="dxa"/>
          <w:left w:w="108" w:type="dxa"/>
          <w:bottom w:w="0" w:type="dxa"/>
          <w:right w:w="108" w:type="dxa"/>
        </w:tblCellMar>
      </w:tblPr>
      <w:tblGrid>
        <w:gridCol w:w="1047"/>
        <w:gridCol w:w="2114"/>
        <w:gridCol w:w="5618"/>
      </w:tblGrid>
      <w:tr w14:paraId="4E14A38C">
        <w:tblPrEx>
          <w:tblCellMar>
            <w:top w:w="0" w:type="dxa"/>
            <w:left w:w="108" w:type="dxa"/>
            <w:bottom w:w="0" w:type="dxa"/>
            <w:right w:w="108" w:type="dxa"/>
          </w:tblCellMar>
        </w:tblPrEx>
        <w:trPr>
          <w:trHeight w:val="632" w:hRule="atLeast"/>
          <w:jc w:val="center"/>
        </w:trPr>
        <w:tc>
          <w:tcPr>
            <w:tcW w:w="1047" w:type="dxa"/>
            <w:tcBorders>
              <w:top w:val="single" w:color="auto" w:sz="4" w:space="0"/>
              <w:left w:val="single" w:color="auto" w:sz="4" w:space="0"/>
              <w:bottom w:val="single" w:color="auto" w:sz="4" w:space="0"/>
              <w:right w:val="single" w:color="auto" w:sz="4" w:space="0"/>
            </w:tcBorders>
            <w:vAlign w:val="center"/>
          </w:tcPr>
          <w:p w14:paraId="595ED72F">
            <w:pPr>
              <w:spacing w:line="360" w:lineRule="auto"/>
              <w:jc w:val="cente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序号</w:t>
            </w:r>
          </w:p>
        </w:tc>
        <w:tc>
          <w:tcPr>
            <w:tcW w:w="2114" w:type="dxa"/>
            <w:tcBorders>
              <w:top w:val="single" w:color="auto" w:sz="4" w:space="0"/>
              <w:left w:val="nil"/>
              <w:bottom w:val="single" w:color="auto" w:sz="4" w:space="0"/>
              <w:right w:val="single" w:color="auto" w:sz="4" w:space="0"/>
            </w:tcBorders>
            <w:vAlign w:val="center"/>
          </w:tcPr>
          <w:p w14:paraId="470CDF9B">
            <w:pPr>
              <w:spacing w:line="360" w:lineRule="auto"/>
              <w:jc w:val="cente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项目</w:t>
            </w:r>
          </w:p>
        </w:tc>
        <w:tc>
          <w:tcPr>
            <w:tcW w:w="5618" w:type="dxa"/>
            <w:tcBorders>
              <w:top w:val="single" w:color="auto" w:sz="4" w:space="0"/>
              <w:left w:val="nil"/>
              <w:bottom w:val="single" w:color="auto" w:sz="4" w:space="0"/>
              <w:right w:val="single" w:color="auto" w:sz="4" w:space="0"/>
            </w:tcBorders>
            <w:vAlign w:val="center"/>
          </w:tcPr>
          <w:p w14:paraId="6550B997">
            <w:pPr>
              <w:spacing w:line="360" w:lineRule="auto"/>
              <w:jc w:val="cente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要求</w:t>
            </w:r>
          </w:p>
        </w:tc>
      </w:tr>
      <w:tr w14:paraId="1A35CC45">
        <w:tblPrEx>
          <w:tblCellMar>
            <w:top w:w="0" w:type="dxa"/>
            <w:left w:w="108" w:type="dxa"/>
            <w:bottom w:w="0" w:type="dxa"/>
            <w:right w:w="108" w:type="dxa"/>
          </w:tblCellMar>
        </w:tblPrEx>
        <w:trPr>
          <w:trHeight w:val="632" w:hRule="atLeast"/>
          <w:jc w:val="center"/>
        </w:trPr>
        <w:tc>
          <w:tcPr>
            <w:tcW w:w="1047" w:type="dxa"/>
            <w:tcBorders>
              <w:top w:val="single" w:color="auto" w:sz="4" w:space="0"/>
              <w:left w:val="single" w:color="auto" w:sz="4" w:space="0"/>
              <w:bottom w:val="single" w:color="auto" w:sz="4" w:space="0"/>
              <w:right w:val="single" w:color="auto" w:sz="4" w:space="0"/>
            </w:tcBorders>
            <w:vAlign w:val="center"/>
          </w:tcPr>
          <w:p w14:paraId="6ABCD31E">
            <w:pPr>
              <w:spacing w:line="360" w:lineRule="auto"/>
              <w:jc w:val="cente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1</w:t>
            </w:r>
          </w:p>
        </w:tc>
        <w:tc>
          <w:tcPr>
            <w:tcW w:w="2114" w:type="dxa"/>
            <w:tcBorders>
              <w:top w:val="single" w:color="auto" w:sz="4" w:space="0"/>
              <w:left w:val="nil"/>
              <w:bottom w:val="single" w:color="auto" w:sz="4" w:space="0"/>
              <w:right w:val="single" w:color="auto" w:sz="4" w:space="0"/>
            </w:tcBorders>
            <w:vAlign w:val="center"/>
          </w:tcPr>
          <w:p w14:paraId="1996121B">
            <w:pPr>
              <w:spacing w:line="360" w:lineRule="auto"/>
              <w:jc w:val="cente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项目负责人（项目经理）</w:t>
            </w:r>
          </w:p>
        </w:tc>
        <w:tc>
          <w:tcPr>
            <w:tcW w:w="5618" w:type="dxa"/>
            <w:tcBorders>
              <w:top w:val="single" w:color="auto" w:sz="4" w:space="0"/>
              <w:left w:val="nil"/>
              <w:bottom w:val="single" w:color="auto" w:sz="4" w:space="0"/>
              <w:right w:val="single" w:color="auto" w:sz="4" w:space="0"/>
            </w:tcBorders>
            <w:vAlign w:val="center"/>
          </w:tcPr>
          <w:p w14:paraId="2C838AB0">
            <w:pPr>
              <w:spacing w:line="360" w:lineRule="auto"/>
              <w:jc w:val="both"/>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1.项目经理：（1）应具有建筑工程专业贰级及以上注册建造师资格且具有有效的安全生产考核合格B证；拟派本项目的人员均应是本单位人员并须提供最近连续6个月缴费的社保证明；公司成立不足6个月的，提供从公司成立的日期起至投标截止日期的社保证明缴费凭据。</w:t>
            </w:r>
          </w:p>
          <w:p w14:paraId="11654F40">
            <w:pPr>
              <w:spacing w:line="360" w:lineRule="auto"/>
              <w:jc w:val="both"/>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注：最近6个月（企业设立不足6个月，从设立时起，下同）连续缴费的社保证明是指从招标文件开始下载时间的上一个月或上上个月起算，往前推6个月的连续、不间断的缴费证明（缴费证明需为招标文件开始下载当月打印日期的缴费证明），企业设立不足6个月的可少于6个月。）</w:t>
            </w:r>
          </w:p>
        </w:tc>
      </w:tr>
      <w:tr w14:paraId="3CD4D2DE">
        <w:tblPrEx>
          <w:tblCellMar>
            <w:top w:w="0" w:type="dxa"/>
            <w:left w:w="108" w:type="dxa"/>
            <w:bottom w:w="0" w:type="dxa"/>
            <w:right w:w="108" w:type="dxa"/>
          </w:tblCellMar>
        </w:tblPrEx>
        <w:trPr>
          <w:trHeight w:val="894" w:hRule="atLeast"/>
          <w:jc w:val="center"/>
        </w:trPr>
        <w:tc>
          <w:tcPr>
            <w:tcW w:w="1047" w:type="dxa"/>
            <w:tcBorders>
              <w:top w:val="single" w:color="auto" w:sz="4" w:space="0"/>
              <w:left w:val="single" w:color="auto" w:sz="4" w:space="0"/>
              <w:bottom w:val="single" w:color="auto" w:sz="4" w:space="0"/>
              <w:right w:val="single" w:color="auto" w:sz="4" w:space="0"/>
            </w:tcBorders>
            <w:vAlign w:val="center"/>
          </w:tcPr>
          <w:p w14:paraId="3065511E">
            <w:pPr>
              <w:spacing w:line="360" w:lineRule="auto"/>
              <w:jc w:val="cente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3</w:t>
            </w:r>
          </w:p>
        </w:tc>
        <w:tc>
          <w:tcPr>
            <w:tcW w:w="2114" w:type="dxa"/>
            <w:tcBorders>
              <w:top w:val="single" w:color="auto" w:sz="4" w:space="0"/>
              <w:left w:val="nil"/>
              <w:bottom w:val="single" w:color="auto" w:sz="4" w:space="0"/>
              <w:right w:val="single" w:color="auto" w:sz="4" w:space="0"/>
            </w:tcBorders>
            <w:vAlign w:val="center"/>
          </w:tcPr>
          <w:p w14:paraId="7A1D9CA6">
            <w:pPr>
              <w:spacing w:line="360" w:lineRule="auto"/>
              <w:jc w:val="cente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工期</w:t>
            </w:r>
          </w:p>
        </w:tc>
        <w:tc>
          <w:tcPr>
            <w:tcW w:w="5618" w:type="dxa"/>
            <w:tcBorders>
              <w:top w:val="single" w:color="auto" w:sz="4" w:space="0"/>
              <w:left w:val="nil"/>
              <w:bottom w:val="single" w:color="auto" w:sz="4" w:space="0"/>
              <w:right w:val="single" w:color="auto" w:sz="4" w:space="0"/>
            </w:tcBorders>
            <w:shd w:val="clear" w:color="auto" w:fill="auto"/>
            <w:vAlign w:val="center"/>
          </w:tcPr>
          <w:p w14:paraId="23702CEB">
            <w:pPr>
              <w:spacing w:line="360" w:lineRule="auto"/>
              <w:jc w:val="both"/>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自签定合同后、开工通知书发出之日起，30日</w:t>
            </w:r>
            <w:r>
              <w:rPr>
                <w:rFonts w:hint="eastAsia" w:ascii="宋体" w:hAnsi="宋体" w:cs="宋体"/>
                <w:b w:val="0"/>
                <w:bCs w:val="0"/>
                <w:color w:val="000000" w:themeColor="text1"/>
                <w:kern w:val="0"/>
                <w:sz w:val="24"/>
                <w:szCs w:val="24"/>
                <w:highlight w:val="none"/>
                <w:u w:val="none"/>
                <w:lang w:val="en-US" w:eastAsia="zh-CN" w:bidi="ar-SA"/>
                <w14:textFill>
                  <w14:solidFill>
                    <w14:schemeClr w14:val="tx1"/>
                  </w14:solidFill>
                </w14:textFill>
              </w:rPr>
              <w:t>内</w:t>
            </w: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完工。</w:t>
            </w:r>
          </w:p>
        </w:tc>
      </w:tr>
      <w:tr w14:paraId="60BE4E04">
        <w:tblPrEx>
          <w:tblCellMar>
            <w:top w:w="0" w:type="dxa"/>
            <w:left w:w="108" w:type="dxa"/>
            <w:bottom w:w="0" w:type="dxa"/>
            <w:right w:w="108" w:type="dxa"/>
          </w:tblCellMar>
        </w:tblPrEx>
        <w:trPr>
          <w:trHeight w:val="677" w:hRule="atLeast"/>
          <w:jc w:val="center"/>
        </w:trPr>
        <w:tc>
          <w:tcPr>
            <w:tcW w:w="1047" w:type="dxa"/>
            <w:tcBorders>
              <w:top w:val="single" w:color="auto" w:sz="4" w:space="0"/>
              <w:left w:val="single" w:color="auto" w:sz="4" w:space="0"/>
              <w:bottom w:val="single" w:color="auto" w:sz="4" w:space="0"/>
              <w:right w:val="single" w:color="auto" w:sz="4" w:space="0"/>
            </w:tcBorders>
            <w:vAlign w:val="center"/>
          </w:tcPr>
          <w:p w14:paraId="12535755">
            <w:pPr>
              <w:spacing w:line="360" w:lineRule="auto"/>
              <w:jc w:val="cente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4</w:t>
            </w:r>
          </w:p>
        </w:tc>
        <w:tc>
          <w:tcPr>
            <w:tcW w:w="2114" w:type="dxa"/>
            <w:tcBorders>
              <w:top w:val="single" w:color="auto" w:sz="4" w:space="0"/>
              <w:left w:val="nil"/>
              <w:bottom w:val="single" w:color="auto" w:sz="4" w:space="0"/>
              <w:right w:val="single" w:color="auto" w:sz="4" w:space="0"/>
            </w:tcBorders>
            <w:vAlign w:val="center"/>
          </w:tcPr>
          <w:p w14:paraId="578FEFAC">
            <w:pPr>
              <w:spacing w:line="360" w:lineRule="auto"/>
              <w:jc w:val="cente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缺陷责任期</w:t>
            </w:r>
          </w:p>
        </w:tc>
        <w:tc>
          <w:tcPr>
            <w:tcW w:w="5618" w:type="dxa"/>
            <w:tcBorders>
              <w:top w:val="single" w:color="auto" w:sz="4" w:space="0"/>
              <w:left w:val="nil"/>
              <w:bottom w:val="single" w:color="auto" w:sz="4" w:space="0"/>
              <w:right w:val="single" w:color="auto" w:sz="4" w:space="0"/>
            </w:tcBorders>
            <w:vAlign w:val="center"/>
          </w:tcPr>
          <w:p w14:paraId="11E285AB">
            <w:pPr>
              <w:spacing w:line="360" w:lineRule="auto"/>
              <w:jc w:val="both"/>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工程竣工验收合格之日起24个月</w:t>
            </w:r>
          </w:p>
        </w:tc>
      </w:tr>
      <w:tr w14:paraId="67B50B2F">
        <w:tblPrEx>
          <w:tblCellMar>
            <w:top w:w="0" w:type="dxa"/>
            <w:left w:w="108" w:type="dxa"/>
            <w:bottom w:w="0" w:type="dxa"/>
            <w:right w:w="108" w:type="dxa"/>
          </w:tblCellMar>
        </w:tblPrEx>
        <w:trPr>
          <w:trHeight w:val="808" w:hRule="atLeast"/>
          <w:jc w:val="center"/>
        </w:trPr>
        <w:tc>
          <w:tcPr>
            <w:tcW w:w="1047" w:type="dxa"/>
            <w:tcBorders>
              <w:top w:val="single" w:color="auto" w:sz="4" w:space="0"/>
              <w:left w:val="single" w:color="auto" w:sz="4" w:space="0"/>
              <w:bottom w:val="single" w:color="auto" w:sz="4" w:space="0"/>
              <w:right w:val="single" w:color="auto" w:sz="4" w:space="0"/>
            </w:tcBorders>
            <w:vAlign w:val="center"/>
          </w:tcPr>
          <w:p w14:paraId="440104E2">
            <w:pPr>
              <w:spacing w:line="360" w:lineRule="auto"/>
              <w:jc w:val="cente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5</w:t>
            </w:r>
          </w:p>
        </w:tc>
        <w:tc>
          <w:tcPr>
            <w:tcW w:w="2114" w:type="dxa"/>
            <w:tcBorders>
              <w:top w:val="single" w:color="auto" w:sz="4" w:space="0"/>
              <w:left w:val="nil"/>
              <w:bottom w:val="single" w:color="auto" w:sz="4" w:space="0"/>
              <w:right w:val="single" w:color="auto" w:sz="4" w:space="0"/>
            </w:tcBorders>
            <w:vAlign w:val="center"/>
          </w:tcPr>
          <w:p w14:paraId="39BAB50F">
            <w:pPr>
              <w:spacing w:line="360" w:lineRule="auto"/>
              <w:jc w:val="cente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分包</w:t>
            </w:r>
          </w:p>
        </w:tc>
        <w:tc>
          <w:tcPr>
            <w:tcW w:w="5618" w:type="dxa"/>
            <w:tcBorders>
              <w:top w:val="single" w:color="auto" w:sz="4" w:space="0"/>
              <w:left w:val="nil"/>
              <w:bottom w:val="single" w:color="auto" w:sz="4" w:space="0"/>
              <w:right w:val="single" w:color="auto" w:sz="4" w:space="0"/>
            </w:tcBorders>
            <w:vAlign w:val="center"/>
          </w:tcPr>
          <w:p w14:paraId="5334EC39">
            <w:pPr>
              <w:spacing w:line="360" w:lineRule="auto"/>
              <w:jc w:val="both"/>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不允许分包</w:t>
            </w:r>
          </w:p>
        </w:tc>
      </w:tr>
      <w:tr w14:paraId="3CAA7244">
        <w:tblPrEx>
          <w:tblCellMar>
            <w:top w:w="0" w:type="dxa"/>
            <w:left w:w="108" w:type="dxa"/>
            <w:bottom w:w="0" w:type="dxa"/>
            <w:right w:w="108" w:type="dxa"/>
          </w:tblCellMar>
        </w:tblPrEx>
        <w:trPr>
          <w:trHeight w:val="808" w:hRule="atLeast"/>
          <w:jc w:val="center"/>
        </w:trPr>
        <w:tc>
          <w:tcPr>
            <w:tcW w:w="1047" w:type="dxa"/>
            <w:tcBorders>
              <w:top w:val="single" w:color="auto" w:sz="4" w:space="0"/>
              <w:left w:val="single" w:color="auto" w:sz="4" w:space="0"/>
              <w:bottom w:val="single" w:color="auto" w:sz="4" w:space="0"/>
              <w:right w:val="single" w:color="auto" w:sz="4" w:space="0"/>
            </w:tcBorders>
            <w:vAlign w:val="center"/>
          </w:tcPr>
          <w:p w14:paraId="00BF5F1F">
            <w:pPr>
              <w:spacing w:line="360" w:lineRule="auto"/>
              <w:jc w:val="cente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6</w:t>
            </w:r>
          </w:p>
        </w:tc>
        <w:tc>
          <w:tcPr>
            <w:tcW w:w="2114" w:type="dxa"/>
            <w:tcBorders>
              <w:top w:val="single" w:color="auto" w:sz="4" w:space="0"/>
              <w:left w:val="nil"/>
              <w:bottom w:val="single" w:color="auto" w:sz="4" w:space="0"/>
              <w:right w:val="single" w:color="auto" w:sz="4" w:space="0"/>
            </w:tcBorders>
            <w:vAlign w:val="center"/>
          </w:tcPr>
          <w:p w14:paraId="133E5C4F">
            <w:pPr>
              <w:spacing w:line="360" w:lineRule="auto"/>
              <w:jc w:val="cente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价格调整</w:t>
            </w:r>
          </w:p>
        </w:tc>
        <w:tc>
          <w:tcPr>
            <w:tcW w:w="5618" w:type="dxa"/>
            <w:tcBorders>
              <w:top w:val="single" w:color="auto" w:sz="4" w:space="0"/>
              <w:left w:val="nil"/>
              <w:bottom w:val="single" w:color="auto" w:sz="4" w:space="0"/>
              <w:right w:val="single" w:color="auto" w:sz="4" w:space="0"/>
            </w:tcBorders>
            <w:vAlign w:val="center"/>
          </w:tcPr>
          <w:p w14:paraId="1265E79A">
            <w:pPr>
              <w:spacing w:line="360" w:lineRule="auto"/>
              <w:jc w:val="both"/>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见合同条款</w:t>
            </w:r>
          </w:p>
        </w:tc>
      </w:tr>
      <w:tr w14:paraId="60F080A7">
        <w:tblPrEx>
          <w:tblCellMar>
            <w:top w:w="0" w:type="dxa"/>
            <w:left w:w="108" w:type="dxa"/>
            <w:bottom w:w="0" w:type="dxa"/>
            <w:right w:w="108" w:type="dxa"/>
          </w:tblCellMar>
        </w:tblPrEx>
        <w:trPr>
          <w:trHeight w:val="808" w:hRule="atLeast"/>
          <w:jc w:val="center"/>
        </w:trPr>
        <w:tc>
          <w:tcPr>
            <w:tcW w:w="1047" w:type="dxa"/>
            <w:tcBorders>
              <w:top w:val="single" w:color="auto" w:sz="4" w:space="0"/>
              <w:left w:val="single" w:color="auto" w:sz="4" w:space="0"/>
              <w:bottom w:val="single" w:color="auto" w:sz="4" w:space="0"/>
              <w:right w:val="single" w:color="auto" w:sz="4" w:space="0"/>
            </w:tcBorders>
            <w:vAlign w:val="center"/>
          </w:tcPr>
          <w:p w14:paraId="196DB69F">
            <w:pPr>
              <w:spacing w:line="360" w:lineRule="auto"/>
              <w:jc w:val="cente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7</w:t>
            </w:r>
          </w:p>
        </w:tc>
        <w:tc>
          <w:tcPr>
            <w:tcW w:w="2114" w:type="dxa"/>
            <w:tcBorders>
              <w:top w:val="single" w:color="auto" w:sz="4" w:space="0"/>
              <w:left w:val="nil"/>
              <w:bottom w:val="single" w:color="auto" w:sz="4" w:space="0"/>
              <w:right w:val="single" w:color="auto" w:sz="4" w:space="0"/>
            </w:tcBorders>
            <w:vAlign w:val="center"/>
          </w:tcPr>
          <w:p w14:paraId="1BD4A6A1">
            <w:pPr>
              <w:spacing w:line="360" w:lineRule="auto"/>
              <w:jc w:val="cente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施工质量标准</w:t>
            </w:r>
          </w:p>
        </w:tc>
        <w:tc>
          <w:tcPr>
            <w:tcW w:w="5618" w:type="dxa"/>
            <w:tcBorders>
              <w:top w:val="single" w:color="auto" w:sz="4" w:space="0"/>
              <w:left w:val="nil"/>
              <w:bottom w:val="single" w:color="auto" w:sz="4" w:space="0"/>
              <w:right w:val="single" w:color="auto" w:sz="4" w:space="0"/>
            </w:tcBorders>
            <w:vAlign w:val="center"/>
          </w:tcPr>
          <w:p w14:paraId="4DD8B8D2">
            <w:pPr>
              <w:spacing w:line="360" w:lineRule="auto"/>
              <w:jc w:val="both"/>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现行国家有关工程施工质量验收规范和标准的合格要求，并满足本工程设计文件和招标文件约定的技术标准和要求。具体质量标准详见合同条款</w:t>
            </w:r>
          </w:p>
        </w:tc>
      </w:tr>
      <w:tr w14:paraId="5B172EA1">
        <w:tblPrEx>
          <w:tblCellMar>
            <w:top w:w="0" w:type="dxa"/>
            <w:left w:w="108" w:type="dxa"/>
            <w:bottom w:w="0" w:type="dxa"/>
            <w:right w:w="108" w:type="dxa"/>
          </w:tblCellMar>
        </w:tblPrEx>
        <w:trPr>
          <w:trHeight w:val="698" w:hRule="atLeast"/>
          <w:jc w:val="center"/>
        </w:trPr>
        <w:tc>
          <w:tcPr>
            <w:tcW w:w="1047" w:type="dxa"/>
            <w:tcBorders>
              <w:top w:val="single" w:color="auto" w:sz="4" w:space="0"/>
              <w:left w:val="single" w:color="auto" w:sz="4" w:space="0"/>
              <w:bottom w:val="single" w:color="auto" w:sz="4" w:space="0"/>
              <w:right w:val="single" w:color="auto" w:sz="4" w:space="0"/>
            </w:tcBorders>
            <w:vAlign w:val="center"/>
          </w:tcPr>
          <w:p w14:paraId="419A8EA4">
            <w:pPr>
              <w:spacing w:line="360" w:lineRule="auto"/>
              <w:jc w:val="cente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8</w:t>
            </w:r>
          </w:p>
        </w:tc>
        <w:tc>
          <w:tcPr>
            <w:tcW w:w="2114" w:type="dxa"/>
            <w:tcBorders>
              <w:top w:val="single" w:color="auto" w:sz="4" w:space="0"/>
              <w:left w:val="nil"/>
              <w:bottom w:val="single" w:color="auto" w:sz="4" w:space="0"/>
              <w:right w:val="single" w:color="auto" w:sz="4" w:space="0"/>
            </w:tcBorders>
            <w:vAlign w:val="center"/>
          </w:tcPr>
          <w:p w14:paraId="152D442E">
            <w:pPr>
              <w:spacing w:line="360" w:lineRule="auto"/>
              <w:jc w:val="cente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付款方式</w:t>
            </w:r>
          </w:p>
        </w:tc>
        <w:tc>
          <w:tcPr>
            <w:tcW w:w="5618" w:type="dxa"/>
            <w:tcBorders>
              <w:top w:val="single" w:color="auto" w:sz="4" w:space="0"/>
              <w:left w:val="nil"/>
              <w:bottom w:val="single" w:color="auto" w:sz="4" w:space="0"/>
              <w:right w:val="single" w:color="auto" w:sz="4" w:space="0"/>
            </w:tcBorders>
            <w:vAlign w:val="center"/>
          </w:tcPr>
          <w:p w14:paraId="21CFD0C2">
            <w:pPr>
              <w:spacing w:line="360" w:lineRule="auto"/>
              <w:jc w:val="both"/>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施工完成并验收，且经采购人委托的第三方造价咨询机构审核确定付款金额，供应商开具专用发票后30日内支付至审核结算金额的97%，剩余3%转为质量保证金，待工程缺陷期满后无息退还。</w:t>
            </w:r>
          </w:p>
        </w:tc>
      </w:tr>
      <w:tr w14:paraId="38C4BE35">
        <w:tblPrEx>
          <w:tblCellMar>
            <w:top w:w="0" w:type="dxa"/>
            <w:left w:w="108" w:type="dxa"/>
            <w:bottom w:w="0" w:type="dxa"/>
            <w:right w:w="108" w:type="dxa"/>
          </w:tblCellMar>
        </w:tblPrEx>
        <w:trPr>
          <w:trHeight w:val="698" w:hRule="atLeast"/>
          <w:jc w:val="center"/>
        </w:trPr>
        <w:tc>
          <w:tcPr>
            <w:tcW w:w="1047" w:type="dxa"/>
            <w:tcBorders>
              <w:top w:val="single" w:color="auto" w:sz="4" w:space="0"/>
              <w:left w:val="single" w:color="auto" w:sz="4" w:space="0"/>
              <w:bottom w:val="single" w:color="auto" w:sz="4" w:space="0"/>
              <w:right w:val="single" w:color="auto" w:sz="4" w:space="0"/>
            </w:tcBorders>
            <w:vAlign w:val="center"/>
          </w:tcPr>
          <w:p w14:paraId="7C39E0B1">
            <w:pPr>
              <w:spacing w:line="360" w:lineRule="auto"/>
              <w:jc w:val="cente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9</w:t>
            </w:r>
          </w:p>
        </w:tc>
        <w:tc>
          <w:tcPr>
            <w:tcW w:w="2114" w:type="dxa"/>
            <w:tcBorders>
              <w:top w:val="single" w:color="auto" w:sz="4" w:space="0"/>
              <w:left w:val="nil"/>
              <w:bottom w:val="single" w:color="auto" w:sz="4" w:space="0"/>
              <w:right w:val="single" w:color="auto" w:sz="4" w:space="0"/>
            </w:tcBorders>
            <w:vAlign w:val="center"/>
          </w:tcPr>
          <w:p w14:paraId="07C8D139">
            <w:pPr>
              <w:spacing w:line="360" w:lineRule="auto"/>
              <w:jc w:val="cente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发票要求</w:t>
            </w:r>
          </w:p>
        </w:tc>
        <w:tc>
          <w:tcPr>
            <w:tcW w:w="5618" w:type="dxa"/>
            <w:tcBorders>
              <w:top w:val="single" w:color="auto" w:sz="4" w:space="0"/>
              <w:left w:val="nil"/>
              <w:bottom w:val="single" w:color="auto" w:sz="4" w:space="0"/>
              <w:right w:val="single" w:color="auto" w:sz="4" w:space="0"/>
            </w:tcBorders>
            <w:vAlign w:val="center"/>
          </w:tcPr>
          <w:p w14:paraId="01D53BEE">
            <w:pPr>
              <w:spacing w:line="360" w:lineRule="auto"/>
              <w:jc w:val="both"/>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乙方需向甲方提供合法有效完整的增值税法专用发票及凭证资料进行支付结算。</w:t>
            </w:r>
          </w:p>
        </w:tc>
      </w:tr>
      <w:tr w14:paraId="785CB381">
        <w:tblPrEx>
          <w:tblCellMar>
            <w:top w:w="0" w:type="dxa"/>
            <w:left w:w="108" w:type="dxa"/>
            <w:bottom w:w="0" w:type="dxa"/>
            <w:right w:w="108" w:type="dxa"/>
          </w:tblCellMar>
        </w:tblPrEx>
        <w:trPr>
          <w:trHeight w:val="533" w:hRule="atLeast"/>
          <w:jc w:val="center"/>
        </w:trPr>
        <w:tc>
          <w:tcPr>
            <w:tcW w:w="1047" w:type="dxa"/>
            <w:tcBorders>
              <w:top w:val="single" w:color="auto" w:sz="4" w:space="0"/>
              <w:left w:val="single" w:color="auto" w:sz="4" w:space="0"/>
              <w:bottom w:val="single" w:color="auto" w:sz="4" w:space="0"/>
              <w:right w:val="single" w:color="auto" w:sz="4" w:space="0"/>
            </w:tcBorders>
            <w:vAlign w:val="center"/>
          </w:tcPr>
          <w:p w14:paraId="6F34F7C1">
            <w:pPr>
              <w:spacing w:line="360" w:lineRule="auto"/>
              <w:jc w:val="cente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10</w:t>
            </w:r>
          </w:p>
        </w:tc>
        <w:tc>
          <w:tcPr>
            <w:tcW w:w="2114" w:type="dxa"/>
            <w:tcBorders>
              <w:top w:val="single" w:color="auto" w:sz="4" w:space="0"/>
              <w:left w:val="nil"/>
              <w:bottom w:val="single" w:color="auto" w:sz="4" w:space="0"/>
              <w:right w:val="single" w:color="auto" w:sz="4" w:space="0"/>
            </w:tcBorders>
            <w:vAlign w:val="center"/>
          </w:tcPr>
          <w:p w14:paraId="4725DB00">
            <w:pPr>
              <w:spacing w:line="360" w:lineRule="auto"/>
              <w:jc w:val="cente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验收</w:t>
            </w:r>
          </w:p>
        </w:tc>
        <w:tc>
          <w:tcPr>
            <w:tcW w:w="5618" w:type="dxa"/>
            <w:tcBorders>
              <w:top w:val="single" w:color="auto" w:sz="4" w:space="0"/>
              <w:left w:val="nil"/>
              <w:bottom w:val="single" w:color="auto" w:sz="4" w:space="0"/>
              <w:right w:val="single" w:color="auto" w:sz="4" w:space="0"/>
            </w:tcBorders>
            <w:vAlign w:val="center"/>
          </w:tcPr>
          <w:p w14:paraId="46C62A34">
            <w:pPr>
              <w:spacing w:line="360" w:lineRule="auto"/>
              <w:jc w:val="both"/>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满足国家现行相关规范及施工验收标准，质量合格。</w:t>
            </w:r>
          </w:p>
        </w:tc>
      </w:tr>
      <w:tr w14:paraId="4906E5D2">
        <w:tblPrEx>
          <w:tblCellMar>
            <w:top w:w="0" w:type="dxa"/>
            <w:left w:w="108" w:type="dxa"/>
            <w:bottom w:w="0" w:type="dxa"/>
            <w:right w:w="108" w:type="dxa"/>
          </w:tblCellMar>
        </w:tblPrEx>
        <w:trPr>
          <w:trHeight w:val="533" w:hRule="atLeast"/>
          <w:jc w:val="center"/>
        </w:trPr>
        <w:tc>
          <w:tcPr>
            <w:tcW w:w="1047" w:type="dxa"/>
            <w:tcBorders>
              <w:top w:val="single" w:color="auto" w:sz="4" w:space="0"/>
              <w:left w:val="single" w:color="auto" w:sz="4" w:space="0"/>
              <w:bottom w:val="single" w:color="auto" w:sz="4" w:space="0"/>
              <w:right w:val="single" w:color="auto" w:sz="4" w:space="0"/>
            </w:tcBorders>
            <w:vAlign w:val="center"/>
          </w:tcPr>
          <w:p w14:paraId="2CB31443">
            <w:pPr>
              <w:spacing w:line="360" w:lineRule="auto"/>
              <w:jc w:val="center"/>
              <w:rPr>
                <w:rFonts w:hint="default"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11</w:t>
            </w:r>
          </w:p>
        </w:tc>
        <w:tc>
          <w:tcPr>
            <w:tcW w:w="2114" w:type="dxa"/>
            <w:tcBorders>
              <w:top w:val="single" w:color="auto" w:sz="4" w:space="0"/>
              <w:left w:val="nil"/>
              <w:bottom w:val="single" w:color="auto" w:sz="4" w:space="0"/>
              <w:right w:val="single" w:color="auto" w:sz="4" w:space="0"/>
            </w:tcBorders>
            <w:shd w:val="clear" w:color="auto" w:fill="auto"/>
            <w:vAlign w:val="center"/>
          </w:tcPr>
          <w:p w14:paraId="0DD1EABD">
            <w:pPr>
              <w:spacing w:line="360" w:lineRule="auto"/>
              <w:jc w:val="cente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工程保修</w:t>
            </w:r>
          </w:p>
        </w:tc>
        <w:tc>
          <w:tcPr>
            <w:tcW w:w="5618" w:type="dxa"/>
            <w:tcBorders>
              <w:top w:val="single" w:color="auto" w:sz="4" w:space="0"/>
              <w:left w:val="nil"/>
              <w:bottom w:val="single" w:color="auto" w:sz="4" w:space="0"/>
              <w:right w:val="single" w:color="auto" w:sz="4" w:space="0"/>
            </w:tcBorders>
            <w:shd w:val="clear" w:color="auto" w:fill="auto"/>
            <w:vAlign w:val="center"/>
          </w:tcPr>
          <w:p w14:paraId="75769FEE">
            <w:pPr>
              <w:spacing w:line="360" w:lineRule="auto"/>
              <w:jc w:val="both"/>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见《工程质量保修书》</w:t>
            </w:r>
          </w:p>
        </w:tc>
      </w:tr>
      <w:tr w14:paraId="76C4EE72">
        <w:tblPrEx>
          <w:tblCellMar>
            <w:top w:w="0" w:type="dxa"/>
            <w:left w:w="108" w:type="dxa"/>
            <w:bottom w:w="0" w:type="dxa"/>
            <w:right w:w="108" w:type="dxa"/>
          </w:tblCellMar>
        </w:tblPrEx>
        <w:trPr>
          <w:trHeight w:val="533" w:hRule="atLeast"/>
          <w:jc w:val="center"/>
        </w:trPr>
        <w:tc>
          <w:tcPr>
            <w:tcW w:w="1047" w:type="dxa"/>
            <w:tcBorders>
              <w:top w:val="single" w:color="auto" w:sz="4" w:space="0"/>
              <w:left w:val="single" w:color="auto" w:sz="4" w:space="0"/>
              <w:bottom w:val="single" w:color="auto" w:sz="4" w:space="0"/>
              <w:right w:val="single" w:color="auto" w:sz="4" w:space="0"/>
            </w:tcBorders>
            <w:vAlign w:val="center"/>
          </w:tcPr>
          <w:p w14:paraId="4BD7DD70">
            <w:pPr>
              <w:spacing w:line="360" w:lineRule="auto"/>
              <w:jc w:val="center"/>
              <w:rPr>
                <w:rFonts w:hint="default"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cs="宋体"/>
                <w:b w:val="0"/>
                <w:bCs w:val="0"/>
                <w:color w:val="000000" w:themeColor="text1"/>
                <w:kern w:val="0"/>
                <w:sz w:val="24"/>
                <w:szCs w:val="24"/>
                <w:highlight w:val="none"/>
                <w:u w:val="none"/>
                <w:lang w:val="en-US" w:eastAsia="zh-CN" w:bidi="ar-SA"/>
                <w14:textFill>
                  <w14:solidFill>
                    <w14:schemeClr w14:val="tx1"/>
                  </w14:solidFill>
                </w14:textFill>
              </w:rPr>
              <w:t>12</w:t>
            </w:r>
          </w:p>
        </w:tc>
        <w:tc>
          <w:tcPr>
            <w:tcW w:w="2114" w:type="dxa"/>
            <w:tcBorders>
              <w:top w:val="single" w:color="auto" w:sz="4" w:space="0"/>
              <w:left w:val="nil"/>
              <w:bottom w:val="single" w:color="auto" w:sz="4" w:space="0"/>
              <w:right w:val="single" w:color="auto" w:sz="4" w:space="0"/>
            </w:tcBorders>
            <w:shd w:val="clear" w:color="auto" w:fill="auto"/>
            <w:vAlign w:val="center"/>
          </w:tcPr>
          <w:p w14:paraId="3BE67CEB">
            <w:pPr>
              <w:spacing w:line="360" w:lineRule="auto"/>
              <w:jc w:val="center"/>
              <w:rPr>
                <w:rFonts w:hint="default"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cs="宋体"/>
                <w:b w:val="0"/>
                <w:bCs w:val="0"/>
                <w:color w:val="000000" w:themeColor="text1"/>
                <w:kern w:val="0"/>
                <w:sz w:val="24"/>
                <w:szCs w:val="24"/>
                <w:highlight w:val="none"/>
                <w:u w:val="none"/>
                <w:lang w:val="en-US" w:eastAsia="zh-CN" w:bidi="ar-SA"/>
                <w14:textFill>
                  <w14:solidFill>
                    <w14:schemeClr w14:val="tx1"/>
                  </w14:solidFill>
                </w14:textFill>
              </w:rPr>
              <w:t>施工地点</w:t>
            </w:r>
          </w:p>
        </w:tc>
        <w:tc>
          <w:tcPr>
            <w:tcW w:w="5618" w:type="dxa"/>
            <w:tcBorders>
              <w:top w:val="single" w:color="auto" w:sz="4" w:space="0"/>
              <w:left w:val="nil"/>
              <w:bottom w:val="single" w:color="auto" w:sz="4" w:space="0"/>
              <w:right w:val="single" w:color="auto" w:sz="4" w:space="0"/>
            </w:tcBorders>
            <w:shd w:val="clear" w:color="auto" w:fill="auto"/>
            <w:vAlign w:val="center"/>
          </w:tcPr>
          <w:p w14:paraId="25D9C0C3">
            <w:pPr>
              <w:spacing w:line="360" w:lineRule="auto"/>
              <w:jc w:val="both"/>
              <w:rPr>
                <w:rFonts w:hint="default"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cs="宋体"/>
                <w:b w:val="0"/>
                <w:bCs w:val="0"/>
                <w:color w:val="000000" w:themeColor="text1"/>
                <w:kern w:val="0"/>
                <w:sz w:val="24"/>
                <w:szCs w:val="24"/>
                <w:highlight w:val="none"/>
                <w:u w:val="none"/>
                <w:lang w:val="en-US" w:eastAsia="zh-CN" w:bidi="ar-SA"/>
                <w14:textFill>
                  <w14:solidFill>
                    <w14:schemeClr w14:val="tx1"/>
                  </w14:solidFill>
                </w14:textFill>
              </w:rPr>
              <w:t>川锅医院</w:t>
            </w:r>
          </w:p>
        </w:tc>
      </w:tr>
    </w:tbl>
    <w:p w14:paraId="6D3A0AC9">
      <w:pPr>
        <w:numPr>
          <w:ilvl w:val="0"/>
          <w:numId w:val="0"/>
        </w:numPr>
        <w:rPr>
          <w:rFonts w:hint="default" w:asciiTheme="minorEastAsia" w:hAnsiTheme="minorEastAsia" w:eastAsiaTheme="minorEastAsia"/>
          <w:bCs w:val="0"/>
          <w:color w:val="000000" w:themeColor="text1"/>
          <w:sz w:val="24"/>
          <w:szCs w:val="24"/>
          <w:highlight w:val="none"/>
          <w:lang w:val="en-US" w:eastAsia="zh-CN"/>
          <w14:textFill>
            <w14:solidFill>
              <w14:schemeClr w14:val="tx1"/>
            </w14:solidFill>
          </w14:textFill>
        </w:rPr>
      </w:pPr>
    </w:p>
    <w:p w14:paraId="0009024E">
      <w:pPr>
        <w:pStyle w:val="3"/>
        <w:pageBreakBefore w:val="0"/>
        <w:widowControl w:val="0"/>
        <w:numPr>
          <w:ilvl w:val="0"/>
          <w:numId w:val="0"/>
        </w:numPr>
        <w:kinsoku/>
        <w:wordWrap/>
        <w:overflowPunct/>
        <w:topLinePunct w:val="0"/>
        <w:autoSpaceDN/>
        <w:bidi w:val="0"/>
        <w:spacing w:before="0" w:after="0" w:line="360" w:lineRule="auto"/>
        <w:ind w:leftChars="0" w:firstLine="480" w:firstLineChars="200"/>
        <w:textAlignment w:val="auto"/>
        <w:rPr>
          <w:rFonts w:hint="eastAsia" w:ascii="宋体" w:hAnsi="宋体" w:eastAsia="宋体" w:cs="宋体"/>
          <w:b w:val="0"/>
          <w:bCs w:val="0"/>
          <w:i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2、报价范围：报价包含为完成本项目所需的一切人工、各种设备、包装运输、收发货、设备材料存放、施工、安装、装修改造、验收、各种税金、保险、意外、招标代理等所有费用。</w:t>
      </w:r>
    </w:p>
    <w:p w14:paraId="67541303">
      <w:pPr>
        <w:pStyle w:val="3"/>
        <w:pageBreakBefore w:val="0"/>
        <w:widowControl w:val="0"/>
        <w:numPr>
          <w:ilvl w:val="0"/>
          <w:numId w:val="0"/>
        </w:numPr>
        <w:kinsoku/>
        <w:wordWrap/>
        <w:overflowPunct/>
        <w:topLinePunct w:val="0"/>
        <w:autoSpaceDN/>
        <w:bidi w:val="0"/>
        <w:spacing w:before="0" w:after="0" w:line="360" w:lineRule="auto"/>
        <w:ind w:leftChars="0" w:firstLine="480" w:firstLineChars="200"/>
        <w:textAlignment w:val="auto"/>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 w:val="0"/>
          <w:color w:val="000000" w:themeColor="text1"/>
          <w:sz w:val="24"/>
          <w:szCs w:val="24"/>
          <w:highlight w:val="none"/>
          <w14:textFill>
            <w14:solidFill>
              <w14:schemeClr w14:val="tx1"/>
            </w14:solidFill>
          </w14:textFill>
        </w:rPr>
        <w:t>供应商针对本项目的施工，必须达到国家及行业现行技术规范标准，符合国家及行业验收合格标准及</w:t>
      </w:r>
      <w:r>
        <w:rPr>
          <w:rFonts w:hint="eastAsia" w:ascii="宋体" w:hAnsi="宋体" w:eastAsia="宋体" w:cs="宋体"/>
          <w:b w:val="0"/>
          <w:color w:val="000000" w:themeColor="text1"/>
          <w:sz w:val="24"/>
          <w:szCs w:val="24"/>
          <w:highlight w:val="none"/>
          <w:lang w:eastAsia="zh-CN"/>
          <w14:textFill>
            <w14:solidFill>
              <w14:schemeClr w14:val="tx1"/>
            </w14:solidFill>
          </w14:textFill>
        </w:rPr>
        <w:t>采购文件</w:t>
      </w:r>
      <w:r>
        <w:rPr>
          <w:rFonts w:hint="eastAsia" w:ascii="宋体" w:hAnsi="宋体" w:eastAsia="宋体" w:cs="宋体"/>
          <w:b w:val="0"/>
          <w:color w:val="000000" w:themeColor="text1"/>
          <w:sz w:val="24"/>
          <w:szCs w:val="24"/>
          <w:highlight w:val="none"/>
          <w14:textFill>
            <w14:solidFill>
              <w14:schemeClr w14:val="tx1"/>
            </w14:solidFill>
          </w14:textFill>
        </w:rPr>
        <w:t>及合同相关的质量标准。</w:t>
      </w:r>
    </w:p>
    <w:p w14:paraId="7561B8F6">
      <w:pPr>
        <w:pStyle w:val="3"/>
        <w:pageBreakBefore w:val="0"/>
        <w:widowControl w:val="0"/>
        <w:kinsoku/>
        <w:wordWrap/>
        <w:overflowPunct/>
        <w:topLinePunct w:val="0"/>
        <w:autoSpaceDN/>
        <w:bidi w:val="0"/>
        <w:spacing w:before="0" w:after="0" w:line="360" w:lineRule="auto"/>
        <w:ind w:firstLine="480" w:firstLineChars="200"/>
        <w:textAlignment w:val="auto"/>
        <w:rPr>
          <w:rFonts w:hint="eastAsia" w:ascii="宋体" w:hAnsi="宋体" w:eastAsia="宋体" w:cs="宋体"/>
          <w:b w:val="0"/>
          <w:color w:val="000000" w:themeColor="text1"/>
          <w:kern w:val="2"/>
          <w:sz w:val="24"/>
          <w:szCs w:val="24"/>
          <w:highlight w:val="none"/>
          <w14:textFill>
            <w14:solidFill>
              <w14:schemeClr w14:val="tx1"/>
            </w14:solidFill>
          </w14:textFill>
        </w:rPr>
      </w:pPr>
      <w:r>
        <w:rPr>
          <w:rFonts w:hint="eastAsia" w:ascii="宋体" w:hAnsi="宋体" w:eastAsia="宋体" w:cs="宋体"/>
          <w:b w:val="0"/>
          <w:color w:val="000000" w:themeColor="text1"/>
          <w:kern w:val="2"/>
          <w:sz w:val="24"/>
          <w:szCs w:val="24"/>
          <w:highlight w:val="none"/>
          <w:lang w:val="en-US" w:eastAsia="zh-CN"/>
          <w14:textFill>
            <w14:solidFill>
              <w14:schemeClr w14:val="tx1"/>
            </w14:solidFill>
          </w14:textFill>
        </w:rPr>
        <w:t>4、</w:t>
      </w:r>
      <w:r>
        <w:rPr>
          <w:rFonts w:hint="eastAsia" w:ascii="宋体" w:hAnsi="宋体" w:eastAsia="宋体" w:cs="宋体"/>
          <w:b w:val="0"/>
          <w:color w:val="000000" w:themeColor="text1"/>
          <w:kern w:val="2"/>
          <w:sz w:val="24"/>
          <w:szCs w:val="24"/>
          <w:highlight w:val="none"/>
          <w14:textFill>
            <w14:solidFill>
              <w14:schemeClr w14:val="tx1"/>
            </w14:solidFill>
          </w14:textFill>
        </w:rPr>
        <w:t>针对本项目的其他技术服务要求：</w:t>
      </w:r>
    </w:p>
    <w:p w14:paraId="092A03C9">
      <w:pPr>
        <w:pStyle w:val="9"/>
        <w:pageBreakBefore w:val="0"/>
        <w:widowControl w:val="0"/>
        <w:kinsoku/>
        <w:wordWrap/>
        <w:overflowPunct/>
        <w:topLinePunct w:val="0"/>
        <w:autoSpaceDN/>
        <w:bidi w:val="0"/>
        <w:spacing w:after="0" w:line="360" w:lineRule="auto"/>
        <w:ind w:firstLine="480" w:firstLineChars="200"/>
        <w:textAlignment w:val="auto"/>
        <w:rPr>
          <w:rFonts w:hint="eastAsia" w:ascii="宋体" w:hAnsi="宋体" w:eastAsia="宋体" w:cs="宋体"/>
          <w:bCs/>
          <w:color w:val="000000" w:themeColor="text1"/>
          <w:kern w:val="2"/>
          <w:sz w:val="24"/>
          <w:highlight w:val="none"/>
          <w14:textFill>
            <w14:solidFill>
              <w14:schemeClr w14:val="tx1"/>
            </w14:solidFill>
          </w14:textFill>
        </w:rPr>
      </w:pPr>
      <w:r>
        <w:rPr>
          <w:rFonts w:hint="eastAsia" w:ascii="宋体" w:hAnsi="宋体" w:eastAsia="宋体" w:cs="宋体"/>
          <w:bCs/>
          <w:color w:val="000000" w:themeColor="text1"/>
          <w:kern w:val="2"/>
          <w:sz w:val="24"/>
          <w:highlight w:val="none"/>
          <w:lang w:val="en-US" w:eastAsia="zh-CN"/>
          <w14:textFill>
            <w14:solidFill>
              <w14:schemeClr w14:val="tx1"/>
            </w14:solidFill>
          </w14:textFill>
        </w:rPr>
        <w:t>4</w:t>
      </w:r>
      <w:r>
        <w:rPr>
          <w:rFonts w:hint="eastAsia" w:ascii="宋体" w:hAnsi="宋体" w:eastAsia="宋体" w:cs="宋体"/>
          <w:bCs/>
          <w:color w:val="000000" w:themeColor="text1"/>
          <w:kern w:val="2"/>
          <w:sz w:val="24"/>
          <w:highlight w:val="none"/>
          <w14:textFill>
            <w14:solidFill>
              <w14:schemeClr w14:val="tx1"/>
            </w14:solidFill>
          </w14:textFill>
        </w:rPr>
        <w:t>.1工程质量保修期：</w:t>
      </w: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在正常使用条件下，建设工程的最低保修期限按国家相关规定执行。</w:t>
      </w:r>
      <w:r>
        <w:rPr>
          <w:rFonts w:hint="eastAsia" w:ascii="宋体" w:hAnsi="宋体" w:eastAsia="宋体" w:cs="宋体"/>
          <w:bCs/>
          <w:color w:val="000000" w:themeColor="text1"/>
          <w:kern w:val="2"/>
          <w:sz w:val="24"/>
          <w:highlight w:val="none"/>
          <w14:textFill>
            <w14:solidFill>
              <w14:schemeClr w14:val="tx1"/>
            </w14:solidFill>
          </w14:textFill>
        </w:rPr>
        <w:t>建设工程的保修期，自竣工验收合格之日起计算。工程质量保修期内因成交供应商负责的工程内容出现质量问题或达不到使用效果，成交供应商均须及时予以整改，所产生费用均由成交供应商承担。</w:t>
      </w:r>
    </w:p>
    <w:p w14:paraId="07059426">
      <w:pPr>
        <w:pStyle w:val="34"/>
        <w:keepNext w:val="0"/>
        <w:keepLines w:val="0"/>
        <w:pageBreakBefore w:val="0"/>
        <w:widowControl w:val="0"/>
        <w:suppressLineNumbers w:val="0"/>
        <w:kinsoku/>
        <w:wordWrap/>
        <w:overflowPunct/>
        <w:topLinePunct w:val="0"/>
        <w:autoSpaceDE w:val="0"/>
        <w:autoSpaceDN/>
        <w:bidi w:val="0"/>
        <w:spacing w:line="360" w:lineRule="auto"/>
        <w:ind w:firstLine="480" w:firstLineChars="200"/>
        <w:textAlignment w:val="auto"/>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4.2主要设备、材料质保期：严格按照国家“三包”相关政策执行，质保期内所有配件更换及维修均不再收取任何费用。</w:t>
      </w:r>
    </w:p>
    <w:p w14:paraId="0F77A74D">
      <w:pPr>
        <w:pStyle w:val="9"/>
        <w:pageBreakBefore w:val="0"/>
        <w:widowControl w:val="0"/>
        <w:kinsoku/>
        <w:wordWrap/>
        <w:overflowPunct/>
        <w:topLinePunct w:val="0"/>
        <w:autoSpaceDN/>
        <w:bidi w:val="0"/>
        <w:spacing w:after="0" w:line="360" w:lineRule="auto"/>
        <w:ind w:firstLine="480" w:firstLineChars="200"/>
        <w:textAlignment w:val="auto"/>
        <w:rPr>
          <w:rFonts w:hint="eastAsia" w:ascii="宋体" w:hAnsi="宋体" w:eastAsia="宋体" w:cs="宋体"/>
          <w:bCs/>
          <w:color w:val="000000" w:themeColor="text1"/>
          <w:kern w:val="2"/>
          <w:sz w:val="24"/>
          <w:highlight w:val="none"/>
          <w14:textFill>
            <w14:solidFill>
              <w14:schemeClr w14:val="tx1"/>
            </w14:solidFill>
          </w14:textFill>
        </w:rPr>
      </w:pPr>
      <w:r>
        <w:rPr>
          <w:rFonts w:hint="eastAsia" w:ascii="宋体" w:hAnsi="宋体" w:eastAsia="宋体" w:cs="宋体"/>
          <w:bCs/>
          <w:color w:val="000000" w:themeColor="text1"/>
          <w:kern w:val="2"/>
          <w:sz w:val="24"/>
          <w:highlight w:val="none"/>
          <w:lang w:val="en-US" w:eastAsia="zh-CN"/>
          <w14:textFill>
            <w14:solidFill>
              <w14:schemeClr w14:val="tx1"/>
            </w14:solidFill>
          </w14:textFill>
        </w:rPr>
        <w:t>4</w:t>
      </w:r>
      <w:r>
        <w:rPr>
          <w:rFonts w:hint="eastAsia" w:ascii="宋体" w:hAnsi="宋体" w:eastAsia="宋体" w:cs="宋体"/>
          <w:bCs/>
          <w:color w:val="000000" w:themeColor="text1"/>
          <w:kern w:val="2"/>
          <w:sz w:val="24"/>
          <w:highlight w:val="none"/>
          <w14:textFill>
            <w14:solidFill>
              <w14:schemeClr w14:val="tx1"/>
            </w14:solidFill>
          </w14:textFill>
        </w:rPr>
        <w:t>.</w:t>
      </w:r>
      <w:r>
        <w:rPr>
          <w:rFonts w:hint="eastAsia" w:ascii="宋体" w:hAnsi="宋体" w:eastAsia="宋体" w:cs="宋体"/>
          <w:bCs/>
          <w:color w:val="000000" w:themeColor="text1"/>
          <w:kern w:val="2"/>
          <w:sz w:val="24"/>
          <w:highlight w:val="none"/>
          <w:lang w:val="en-US" w:eastAsia="zh-CN"/>
          <w14:textFill>
            <w14:solidFill>
              <w14:schemeClr w14:val="tx1"/>
            </w14:solidFill>
          </w14:textFill>
        </w:rPr>
        <w:t>3</w:t>
      </w:r>
      <w:r>
        <w:rPr>
          <w:rFonts w:hint="eastAsia" w:ascii="宋体" w:hAnsi="宋体" w:eastAsia="宋体" w:cs="宋体"/>
          <w:bCs/>
          <w:color w:val="000000" w:themeColor="text1"/>
          <w:kern w:val="2"/>
          <w:sz w:val="24"/>
          <w:highlight w:val="none"/>
          <w14:textFill>
            <w14:solidFill>
              <w14:schemeClr w14:val="tx1"/>
            </w14:solidFill>
          </w14:textFill>
        </w:rPr>
        <w:t>按采购人提供的有关图纸、设计说明、工程量清单和相关要求进行施工，符合国家相关工程施工质量验收规范合格标准及</w:t>
      </w:r>
      <w:r>
        <w:rPr>
          <w:rFonts w:hint="eastAsia" w:ascii="宋体" w:hAnsi="宋体" w:cs="宋体"/>
          <w:bCs/>
          <w:color w:val="000000" w:themeColor="text1"/>
          <w:kern w:val="2"/>
          <w:sz w:val="24"/>
          <w:highlight w:val="none"/>
          <w:lang w:eastAsia="zh-CN"/>
          <w14:textFill>
            <w14:solidFill>
              <w14:schemeClr w14:val="tx1"/>
            </w14:solidFill>
          </w14:textFill>
        </w:rPr>
        <w:t>采购文件</w:t>
      </w:r>
      <w:r>
        <w:rPr>
          <w:rFonts w:hint="eastAsia" w:ascii="宋体" w:hAnsi="宋体" w:eastAsia="宋体" w:cs="宋体"/>
          <w:bCs/>
          <w:color w:val="000000" w:themeColor="text1"/>
          <w:kern w:val="2"/>
          <w:sz w:val="24"/>
          <w:highlight w:val="none"/>
          <w14:textFill>
            <w14:solidFill>
              <w14:schemeClr w14:val="tx1"/>
            </w14:solidFill>
          </w14:textFill>
        </w:rPr>
        <w:t>、合同相关质量验收标准。</w:t>
      </w:r>
    </w:p>
    <w:p w14:paraId="6F90DC68">
      <w:pPr>
        <w:pStyle w:val="30"/>
        <w:pageBreakBefore w:val="0"/>
        <w:widowControl w:val="0"/>
        <w:kinsoku/>
        <w:wordWrap/>
        <w:overflowPunct/>
        <w:topLinePunct w:val="0"/>
        <w:autoSpaceDN/>
        <w:bidi w:val="0"/>
        <w:spacing w:line="360" w:lineRule="auto"/>
        <w:ind w:left="0" w:right="0" w:firstLine="480" w:firstLineChars="200"/>
        <w:jc w:val="both"/>
        <w:textAlignment w:val="auto"/>
        <w:rPr>
          <w:rFonts w:hint="eastAsia" w:ascii="宋体" w:hAnsi="宋体" w:eastAsia="宋体" w:cs="宋体"/>
          <w:bCs/>
          <w:i w:val="0"/>
          <w:color w:val="000000" w:themeColor="text1"/>
          <w:sz w:val="24"/>
          <w:highlight w:val="none"/>
          <w14:textFill>
            <w14:solidFill>
              <w14:schemeClr w14:val="tx1"/>
            </w14:solidFill>
          </w14:textFill>
        </w:rPr>
      </w:pPr>
      <w:r>
        <w:rPr>
          <w:rFonts w:hint="eastAsia" w:ascii="宋体" w:hAnsi="宋体" w:eastAsia="宋体" w:cs="宋体"/>
          <w:bCs/>
          <w:i w:val="0"/>
          <w:color w:val="000000" w:themeColor="text1"/>
          <w:sz w:val="24"/>
          <w:highlight w:val="none"/>
          <w:lang w:val="en-US" w:eastAsia="zh-CN"/>
          <w14:textFill>
            <w14:solidFill>
              <w14:schemeClr w14:val="tx1"/>
            </w14:solidFill>
          </w14:textFill>
        </w:rPr>
        <w:t>4</w:t>
      </w:r>
      <w:r>
        <w:rPr>
          <w:rFonts w:hint="eastAsia" w:ascii="宋体" w:hAnsi="宋体" w:eastAsia="宋体" w:cs="宋体"/>
          <w:bCs/>
          <w:i w:val="0"/>
          <w:color w:val="000000" w:themeColor="text1"/>
          <w:sz w:val="24"/>
          <w:highlight w:val="none"/>
          <w14:textFill>
            <w14:solidFill>
              <w14:schemeClr w14:val="tx1"/>
            </w14:solidFill>
          </w14:textFill>
        </w:rPr>
        <w:t>.</w:t>
      </w:r>
      <w:r>
        <w:rPr>
          <w:rFonts w:hint="eastAsia" w:ascii="宋体" w:hAnsi="宋体" w:eastAsia="宋体" w:cs="宋体"/>
          <w:bCs/>
          <w:i w:val="0"/>
          <w:color w:val="000000" w:themeColor="text1"/>
          <w:sz w:val="24"/>
          <w:highlight w:val="none"/>
          <w:lang w:val="en-US" w:eastAsia="zh-CN"/>
          <w14:textFill>
            <w14:solidFill>
              <w14:schemeClr w14:val="tx1"/>
            </w14:solidFill>
          </w14:textFill>
        </w:rPr>
        <w:t>4</w:t>
      </w:r>
      <w:r>
        <w:rPr>
          <w:rFonts w:hint="eastAsia" w:ascii="宋体" w:hAnsi="宋体" w:eastAsia="宋体" w:cs="宋体"/>
          <w:bCs/>
          <w:i w:val="0"/>
          <w:color w:val="000000" w:themeColor="text1"/>
          <w:sz w:val="24"/>
          <w:highlight w:val="none"/>
          <w14:textFill>
            <w14:solidFill>
              <w14:schemeClr w14:val="tx1"/>
            </w14:solidFill>
          </w14:textFill>
        </w:rPr>
        <w:t>材料要求：</w:t>
      </w:r>
    </w:p>
    <w:p w14:paraId="429D5C94">
      <w:pPr>
        <w:pStyle w:val="30"/>
        <w:pageBreakBefore w:val="0"/>
        <w:widowControl w:val="0"/>
        <w:kinsoku/>
        <w:wordWrap/>
        <w:overflowPunct/>
        <w:topLinePunct w:val="0"/>
        <w:autoSpaceDN/>
        <w:bidi w:val="0"/>
        <w:spacing w:line="360" w:lineRule="auto"/>
        <w:ind w:left="0" w:right="0" w:firstLine="480" w:firstLineChars="200"/>
        <w:jc w:val="both"/>
        <w:textAlignment w:val="auto"/>
        <w:rPr>
          <w:rFonts w:hint="eastAsia" w:ascii="宋体" w:hAnsi="宋体" w:eastAsia="宋体" w:cs="宋体"/>
          <w:bCs/>
          <w:i w:val="0"/>
          <w:color w:val="000000" w:themeColor="text1"/>
          <w:sz w:val="24"/>
          <w:highlight w:val="none"/>
          <w14:textFill>
            <w14:solidFill>
              <w14:schemeClr w14:val="tx1"/>
            </w14:solidFill>
          </w14:textFill>
        </w:rPr>
      </w:pPr>
      <w:r>
        <w:rPr>
          <w:rFonts w:hint="eastAsia" w:ascii="宋体" w:hAnsi="宋体" w:eastAsia="宋体" w:cs="宋体"/>
          <w:bCs/>
          <w:i w:val="0"/>
          <w:color w:val="000000" w:themeColor="text1"/>
          <w:sz w:val="24"/>
          <w:highlight w:val="none"/>
          <w:lang w:val="en-US" w:eastAsia="zh-CN"/>
          <w14:textFill>
            <w14:solidFill>
              <w14:schemeClr w14:val="tx1"/>
            </w14:solidFill>
          </w14:textFill>
        </w:rPr>
        <w:t>4</w:t>
      </w:r>
      <w:r>
        <w:rPr>
          <w:rFonts w:hint="eastAsia" w:ascii="宋体" w:hAnsi="宋体" w:eastAsia="宋体" w:cs="宋体"/>
          <w:bCs/>
          <w:i w:val="0"/>
          <w:color w:val="000000" w:themeColor="text1"/>
          <w:sz w:val="24"/>
          <w:highlight w:val="none"/>
          <w14:textFill>
            <w14:solidFill>
              <w14:schemeClr w14:val="tx1"/>
            </w14:solidFill>
          </w14:textFill>
        </w:rPr>
        <w:t>.</w:t>
      </w:r>
      <w:r>
        <w:rPr>
          <w:rFonts w:hint="eastAsia" w:ascii="宋体" w:hAnsi="宋体" w:eastAsia="宋体" w:cs="宋体"/>
          <w:bCs/>
          <w:i w:val="0"/>
          <w:color w:val="000000" w:themeColor="text1"/>
          <w:sz w:val="24"/>
          <w:highlight w:val="none"/>
          <w:lang w:val="en-US" w:eastAsia="zh-CN"/>
          <w14:textFill>
            <w14:solidFill>
              <w14:schemeClr w14:val="tx1"/>
            </w14:solidFill>
          </w14:textFill>
        </w:rPr>
        <w:t>4</w:t>
      </w:r>
      <w:r>
        <w:rPr>
          <w:rFonts w:hint="eastAsia" w:ascii="宋体" w:hAnsi="宋体" w:eastAsia="宋体" w:cs="宋体"/>
          <w:bCs/>
          <w:i w:val="0"/>
          <w:color w:val="000000" w:themeColor="text1"/>
          <w:sz w:val="24"/>
          <w:highlight w:val="none"/>
          <w14:textFill>
            <w14:solidFill>
              <w14:schemeClr w14:val="tx1"/>
            </w14:solidFill>
          </w14:textFill>
        </w:rPr>
        <w:t>.1施工过程中，施工主要材料须满足工程量清单项目特征描述、施工主要材料技术要求清单要求（</w:t>
      </w:r>
      <w:r>
        <w:rPr>
          <w:rFonts w:hint="eastAsia" w:ascii="宋体" w:hAnsi="宋体" w:eastAsia="宋体" w:cs="宋体"/>
          <w:bCs/>
          <w:i w:val="0"/>
          <w:color w:val="000000" w:themeColor="text1"/>
          <w:sz w:val="24"/>
          <w:highlight w:val="none"/>
          <w:lang w:eastAsia="zh-CN"/>
          <w14:textFill>
            <w14:solidFill>
              <w14:schemeClr w14:val="tx1"/>
            </w14:solidFill>
          </w14:textFill>
        </w:rPr>
        <w:t>所有</w:t>
      </w:r>
      <w:r>
        <w:rPr>
          <w:rFonts w:hint="eastAsia" w:ascii="宋体" w:hAnsi="宋体" w:eastAsia="宋体" w:cs="宋体"/>
          <w:bCs/>
          <w:i w:val="0"/>
          <w:color w:val="000000" w:themeColor="text1"/>
          <w:sz w:val="24"/>
          <w:highlight w:val="none"/>
          <w14:textFill>
            <w14:solidFill>
              <w14:schemeClr w14:val="tx1"/>
            </w14:solidFill>
          </w14:textFill>
        </w:rPr>
        <w:t>材料技术要求详见工程量清单），所有材料必须是全新合格产品。对于主要材料，采购人认为需要供应商派人到现场协助进行开箱验收的，供应商应派相关人员按时到场协助验收，并对验收意见进行签署。如供应商未按照采购人要求按时到场验收，视为供应商同意采购人现场验收结果。</w:t>
      </w:r>
    </w:p>
    <w:p w14:paraId="14C4B6AC">
      <w:pPr>
        <w:pStyle w:val="9"/>
        <w:pageBreakBefore w:val="0"/>
        <w:widowControl w:val="0"/>
        <w:kinsoku/>
        <w:wordWrap/>
        <w:overflowPunct/>
        <w:topLinePunct w:val="0"/>
        <w:autoSpaceDN/>
        <w:bidi w:val="0"/>
        <w:spacing w:after="0" w:line="360" w:lineRule="auto"/>
        <w:ind w:firstLine="480" w:firstLineChars="200"/>
        <w:textAlignment w:val="auto"/>
        <w:rPr>
          <w:rFonts w:hint="eastAsia" w:ascii="宋体" w:hAnsi="宋体" w:eastAsia="宋体" w:cs="宋体"/>
          <w:bCs/>
          <w:color w:val="000000" w:themeColor="text1"/>
          <w:kern w:val="2"/>
          <w:sz w:val="24"/>
          <w:highlight w:val="none"/>
          <w14:textFill>
            <w14:solidFill>
              <w14:schemeClr w14:val="tx1"/>
            </w14:solidFill>
          </w14:textFill>
        </w:rPr>
      </w:pPr>
      <w:r>
        <w:rPr>
          <w:rFonts w:hint="eastAsia" w:ascii="宋体" w:hAnsi="宋体" w:eastAsia="宋体" w:cs="宋体"/>
          <w:bCs/>
          <w:color w:val="000000" w:themeColor="text1"/>
          <w:kern w:val="2"/>
          <w:sz w:val="24"/>
          <w:highlight w:val="none"/>
          <w:lang w:val="en-US" w:eastAsia="zh-CN"/>
          <w14:textFill>
            <w14:solidFill>
              <w14:schemeClr w14:val="tx1"/>
            </w14:solidFill>
          </w14:textFill>
        </w:rPr>
        <w:t>4</w:t>
      </w:r>
      <w:r>
        <w:rPr>
          <w:rFonts w:hint="eastAsia" w:ascii="宋体" w:hAnsi="宋体" w:eastAsia="宋体" w:cs="宋体"/>
          <w:bCs/>
          <w:color w:val="000000" w:themeColor="text1"/>
          <w:kern w:val="2"/>
          <w:sz w:val="24"/>
          <w:highlight w:val="none"/>
          <w14:textFill>
            <w14:solidFill>
              <w14:schemeClr w14:val="tx1"/>
            </w14:solidFill>
          </w14:textFill>
        </w:rPr>
        <w:t>.</w:t>
      </w:r>
      <w:r>
        <w:rPr>
          <w:rFonts w:hint="eastAsia" w:ascii="宋体" w:hAnsi="宋体" w:eastAsia="宋体" w:cs="宋体"/>
          <w:bCs/>
          <w:color w:val="000000" w:themeColor="text1"/>
          <w:kern w:val="2"/>
          <w:sz w:val="24"/>
          <w:highlight w:val="none"/>
          <w:lang w:val="en-US" w:eastAsia="zh-CN"/>
          <w14:textFill>
            <w14:solidFill>
              <w14:schemeClr w14:val="tx1"/>
            </w14:solidFill>
          </w14:textFill>
        </w:rPr>
        <w:t>4</w:t>
      </w:r>
      <w:r>
        <w:rPr>
          <w:rFonts w:hint="eastAsia" w:ascii="宋体" w:hAnsi="宋体" w:eastAsia="宋体" w:cs="宋体"/>
          <w:bCs/>
          <w:color w:val="000000" w:themeColor="text1"/>
          <w:kern w:val="2"/>
          <w:sz w:val="24"/>
          <w:highlight w:val="none"/>
          <w14:textFill>
            <w14:solidFill>
              <w14:schemeClr w14:val="tx1"/>
            </w14:solidFill>
          </w14:textFill>
        </w:rPr>
        <w:t>.</w:t>
      </w:r>
      <w:r>
        <w:rPr>
          <w:rFonts w:hint="eastAsia" w:ascii="宋体" w:hAnsi="宋体" w:eastAsia="宋体" w:cs="宋体"/>
          <w:bCs/>
          <w:color w:val="000000" w:themeColor="text1"/>
          <w:kern w:val="2"/>
          <w:sz w:val="24"/>
          <w:highlight w:val="none"/>
          <w:lang w:val="en-US" w:eastAsia="zh-CN"/>
          <w14:textFill>
            <w14:solidFill>
              <w14:schemeClr w14:val="tx1"/>
            </w14:solidFill>
          </w14:textFill>
        </w:rPr>
        <w:t>2</w:t>
      </w:r>
      <w:r>
        <w:rPr>
          <w:rFonts w:hint="eastAsia" w:ascii="宋体" w:hAnsi="宋体" w:eastAsia="宋体" w:cs="宋体"/>
          <w:bCs/>
          <w:color w:val="000000" w:themeColor="text1"/>
          <w:kern w:val="2"/>
          <w:sz w:val="24"/>
          <w:highlight w:val="none"/>
          <w14:textFill>
            <w14:solidFill>
              <w14:schemeClr w14:val="tx1"/>
            </w14:solidFill>
          </w14:textFill>
        </w:rPr>
        <w:t xml:space="preserve"> 供应商须按照采购人要求，在项目现场建立规范化的材料堆放场地，确保材料摆放整齐、保管得当，不得出现因保管不利导致的材料损坏、丢失等情况。如出现此类情况，由供应商在采购人要求的截止时间前自行处理，费用供应商自行承担。</w:t>
      </w:r>
    </w:p>
    <w:p w14:paraId="6EE0BF09">
      <w:pPr>
        <w:pStyle w:val="30"/>
        <w:pageBreakBefore w:val="0"/>
        <w:widowControl w:val="0"/>
        <w:kinsoku/>
        <w:wordWrap/>
        <w:overflowPunct/>
        <w:topLinePunct w:val="0"/>
        <w:autoSpaceDN/>
        <w:bidi w:val="0"/>
        <w:spacing w:line="360" w:lineRule="auto"/>
        <w:ind w:left="0" w:right="0" w:firstLine="480" w:firstLineChars="200"/>
        <w:jc w:val="both"/>
        <w:textAlignment w:val="auto"/>
        <w:rPr>
          <w:rFonts w:hint="eastAsia" w:ascii="宋体" w:hAnsi="宋体" w:eastAsia="宋体" w:cs="宋体"/>
          <w:bCs/>
          <w:i w:val="0"/>
          <w:color w:val="000000" w:themeColor="text1"/>
          <w:sz w:val="24"/>
          <w:highlight w:val="none"/>
          <w14:textFill>
            <w14:solidFill>
              <w14:schemeClr w14:val="tx1"/>
            </w14:solidFill>
          </w14:textFill>
        </w:rPr>
      </w:pPr>
      <w:r>
        <w:rPr>
          <w:rFonts w:hint="eastAsia" w:ascii="宋体" w:hAnsi="宋体" w:eastAsia="宋体" w:cs="宋体"/>
          <w:bCs/>
          <w:i w:val="0"/>
          <w:color w:val="000000" w:themeColor="text1"/>
          <w:sz w:val="24"/>
          <w:highlight w:val="none"/>
          <w:lang w:val="en-US" w:eastAsia="zh-CN"/>
          <w14:textFill>
            <w14:solidFill>
              <w14:schemeClr w14:val="tx1"/>
            </w14:solidFill>
          </w14:textFill>
        </w:rPr>
        <w:t>4</w:t>
      </w:r>
      <w:r>
        <w:rPr>
          <w:rFonts w:hint="eastAsia" w:ascii="宋体" w:hAnsi="宋体" w:eastAsia="宋体" w:cs="宋体"/>
          <w:bCs/>
          <w:i w:val="0"/>
          <w:color w:val="000000" w:themeColor="text1"/>
          <w:sz w:val="24"/>
          <w:highlight w:val="none"/>
          <w14:textFill>
            <w14:solidFill>
              <w14:schemeClr w14:val="tx1"/>
            </w14:solidFill>
          </w14:textFill>
        </w:rPr>
        <w:t>.</w:t>
      </w:r>
      <w:r>
        <w:rPr>
          <w:rFonts w:hint="eastAsia" w:ascii="宋体" w:hAnsi="宋体" w:eastAsia="宋体" w:cs="宋体"/>
          <w:bCs/>
          <w:i w:val="0"/>
          <w:color w:val="000000" w:themeColor="text1"/>
          <w:sz w:val="24"/>
          <w:highlight w:val="none"/>
          <w:lang w:val="en-US" w:eastAsia="zh-CN"/>
          <w14:textFill>
            <w14:solidFill>
              <w14:schemeClr w14:val="tx1"/>
            </w14:solidFill>
          </w14:textFill>
        </w:rPr>
        <w:t>5</w:t>
      </w:r>
      <w:r>
        <w:rPr>
          <w:rFonts w:hint="eastAsia" w:ascii="宋体" w:hAnsi="宋体" w:eastAsia="宋体" w:cs="宋体"/>
          <w:bCs/>
          <w:i w:val="0"/>
          <w:color w:val="000000" w:themeColor="text1"/>
          <w:sz w:val="24"/>
          <w:highlight w:val="none"/>
          <w14:textFill>
            <w14:solidFill>
              <w14:schemeClr w14:val="tx1"/>
            </w14:solidFill>
          </w14:textFill>
        </w:rPr>
        <w:t>现场管理要求：</w:t>
      </w:r>
    </w:p>
    <w:p w14:paraId="1CDB9150">
      <w:pPr>
        <w:pStyle w:val="30"/>
        <w:pageBreakBefore w:val="0"/>
        <w:widowControl w:val="0"/>
        <w:kinsoku/>
        <w:wordWrap/>
        <w:overflowPunct/>
        <w:topLinePunct w:val="0"/>
        <w:autoSpaceDN/>
        <w:bidi w:val="0"/>
        <w:spacing w:line="360" w:lineRule="auto"/>
        <w:ind w:left="0" w:right="0" w:firstLine="480" w:firstLineChars="200"/>
        <w:jc w:val="both"/>
        <w:textAlignment w:val="auto"/>
        <w:rPr>
          <w:rFonts w:hint="eastAsia" w:ascii="宋体" w:hAnsi="宋体" w:eastAsia="宋体" w:cs="宋体"/>
          <w:bCs/>
          <w:i w:val="0"/>
          <w:color w:val="000000" w:themeColor="text1"/>
          <w:sz w:val="24"/>
          <w:highlight w:val="none"/>
          <w14:textFill>
            <w14:solidFill>
              <w14:schemeClr w14:val="tx1"/>
            </w14:solidFill>
          </w14:textFill>
        </w:rPr>
      </w:pPr>
      <w:r>
        <w:rPr>
          <w:rFonts w:hint="eastAsia" w:ascii="宋体" w:hAnsi="宋体" w:eastAsia="宋体" w:cs="宋体"/>
          <w:bCs/>
          <w:i w:val="0"/>
          <w:color w:val="000000" w:themeColor="text1"/>
          <w:sz w:val="24"/>
          <w:highlight w:val="none"/>
          <w:lang w:val="en-US" w:eastAsia="zh-CN"/>
          <w14:textFill>
            <w14:solidFill>
              <w14:schemeClr w14:val="tx1"/>
            </w14:solidFill>
          </w14:textFill>
        </w:rPr>
        <w:t>4</w:t>
      </w:r>
      <w:r>
        <w:rPr>
          <w:rFonts w:hint="eastAsia" w:ascii="宋体" w:hAnsi="宋体" w:eastAsia="宋体" w:cs="宋体"/>
          <w:bCs/>
          <w:i w:val="0"/>
          <w:color w:val="000000" w:themeColor="text1"/>
          <w:sz w:val="24"/>
          <w:highlight w:val="none"/>
          <w14:textFill>
            <w14:solidFill>
              <w14:schemeClr w14:val="tx1"/>
            </w14:solidFill>
          </w14:textFill>
        </w:rPr>
        <w:t>.</w:t>
      </w:r>
      <w:r>
        <w:rPr>
          <w:rFonts w:hint="eastAsia" w:ascii="宋体" w:hAnsi="宋体" w:eastAsia="宋体" w:cs="宋体"/>
          <w:bCs/>
          <w:i w:val="0"/>
          <w:color w:val="000000" w:themeColor="text1"/>
          <w:sz w:val="24"/>
          <w:highlight w:val="none"/>
          <w:lang w:val="en-US" w:eastAsia="zh-CN"/>
          <w14:textFill>
            <w14:solidFill>
              <w14:schemeClr w14:val="tx1"/>
            </w14:solidFill>
          </w14:textFill>
        </w:rPr>
        <w:t>5</w:t>
      </w:r>
      <w:r>
        <w:rPr>
          <w:rFonts w:hint="eastAsia" w:ascii="宋体" w:hAnsi="宋体" w:eastAsia="宋体" w:cs="宋体"/>
          <w:bCs/>
          <w:i w:val="0"/>
          <w:color w:val="000000" w:themeColor="text1"/>
          <w:sz w:val="24"/>
          <w:highlight w:val="none"/>
          <w14:textFill>
            <w14:solidFill>
              <w14:schemeClr w14:val="tx1"/>
            </w14:solidFill>
          </w14:textFill>
        </w:rPr>
        <w:t>.1加强现场施工人员管理，服从采购人现场管理人员的管理，应保持环境清洁，做到工完场清。</w:t>
      </w:r>
    </w:p>
    <w:p w14:paraId="656AE4D2">
      <w:pPr>
        <w:pageBreakBefore w:val="0"/>
        <w:widowControl w:val="0"/>
        <w:kinsoku/>
        <w:wordWrap/>
        <w:overflowPunct/>
        <w:topLinePunct w:val="0"/>
        <w:autoSpaceDN/>
        <w:bidi w:val="0"/>
        <w:spacing w:line="360" w:lineRule="auto"/>
        <w:ind w:firstLine="480" w:firstLineChars="200"/>
        <w:textAlignment w:val="auto"/>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lang w:val="en-US" w:eastAsia="zh-CN"/>
          <w14:textFill>
            <w14:solidFill>
              <w14:schemeClr w14:val="tx1"/>
            </w14:solidFill>
          </w14:textFill>
        </w:rPr>
        <w:t>4</w:t>
      </w:r>
      <w:r>
        <w:rPr>
          <w:rFonts w:hint="eastAsia" w:ascii="宋体" w:hAnsi="宋体" w:eastAsia="宋体" w:cs="宋体"/>
          <w:bCs/>
          <w:color w:val="000000" w:themeColor="text1"/>
          <w:sz w:val="24"/>
          <w:highlight w:val="none"/>
          <w14:textFill>
            <w14:solidFill>
              <w14:schemeClr w14:val="tx1"/>
            </w14:solidFill>
          </w14:textFill>
        </w:rPr>
        <w:t>.</w:t>
      </w:r>
      <w:r>
        <w:rPr>
          <w:rFonts w:hint="eastAsia" w:ascii="宋体" w:hAnsi="宋体" w:eastAsia="宋体" w:cs="宋体"/>
          <w:bCs/>
          <w:color w:val="000000" w:themeColor="text1"/>
          <w:sz w:val="24"/>
          <w:highlight w:val="none"/>
          <w:lang w:val="en-US" w:eastAsia="zh-CN"/>
          <w14:textFill>
            <w14:solidFill>
              <w14:schemeClr w14:val="tx1"/>
            </w14:solidFill>
          </w14:textFill>
        </w:rPr>
        <w:t>5</w:t>
      </w:r>
      <w:r>
        <w:rPr>
          <w:rFonts w:hint="eastAsia" w:ascii="宋体" w:hAnsi="宋体" w:eastAsia="宋体" w:cs="宋体"/>
          <w:bCs/>
          <w:color w:val="000000" w:themeColor="text1"/>
          <w:sz w:val="24"/>
          <w:highlight w:val="none"/>
          <w14:textFill>
            <w14:solidFill>
              <w14:schemeClr w14:val="tx1"/>
            </w14:solidFill>
          </w14:textFill>
        </w:rPr>
        <w:t>.2 供应商须严格保存现场施工人员相关资料供采购人核查。</w:t>
      </w:r>
    </w:p>
    <w:p w14:paraId="7A260CDD">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0" w:firstLineChars="200"/>
        <w:textAlignment w:val="auto"/>
        <w:rPr>
          <w:rFonts w:hint="eastAsia" w:ascii="宋体" w:hAnsi="宋体" w:eastAsia="宋体" w:cs="宋体"/>
          <w:b w:val="0"/>
          <w:bCs w:val="0"/>
          <w:color w:val="000000" w:themeColor="text1"/>
          <w:sz w:val="24"/>
          <w:szCs w:val="24"/>
          <w:highlight w:val="none"/>
          <w:lang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4.5.3</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.环保要求：符合施工环保标准的相关要求。</w:t>
      </w:r>
    </w:p>
    <w:p w14:paraId="4D897E56">
      <w:pPr>
        <w:pStyle w:val="30"/>
        <w:pageBreakBefore w:val="0"/>
        <w:widowControl w:val="0"/>
        <w:kinsoku/>
        <w:wordWrap/>
        <w:overflowPunct/>
        <w:topLinePunct w:val="0"/>
        <w:autoSpaceDN/>
        <w:bidi w:val="0"/>
        <w:spacing w:line="360" w:lineRule="auto"/>
        <w:ind w:left="0" w:right="0" w:firstLine="480" w:firstLineChars="200"/>
        <w:jc w:val="both"/>
        <w:textAlignment w:val="auto"/>
        <w:rPr>
          <w:rFonts w:hint="eastAsia" w:ascii="宋体" w:hAnsi="宋体" w:eastAsia="宋体" w:cs="宋体"/>
          <w:bCs/>
          <w:i w:val="0"/>
          <w:color w:val="000000" w:themeColor="text1"/>
          <w:sz w:val="24"/>
          <w:highlight w:val="none"/>
          <w14:textFill>
            <w14:solidFill>
              <w14:schemeClr w14:val="tx1"/>
            </w14:solidFill>
          </w14:textFill>
        </w:rPr>
      </w:pPr>
      <w:r>
        <w:rPr>
          <w:rFonts w:hint="eastAsia" w:ascii="宋体" w:hAnsi="宋体" w:eastAsia="宋体" w:cs="宋体"/>
          <w:bCs/>
          <w:i w:val="0"/>
          <w:color w:val="000000" w:themeColor="text1"/>
          <w:sz w:val="24"/>
          <w:highlight w:val="none"/>
          <w:lang w:val="en-US" w:eastAsia="zh-CN"/>
          <w14:textFill>
            <w14:solidFill>
              <w14:schemeClr w14:val="tx1"/>
            </w14:solidFill>
          </w14:textFill>
        </w:rPr>
        <w:t>4</w:t>
      </w:r>
      <w:r>
        <w:rPr>
          <w:rFonts w:hint="eastAsia" w:ascii="宋体" w:hAnsi="宋体" w:eastAsia="宋体" w:cs="宋体"/>
          <w:bCs/>
          <w:i w:val="0"/>
          <w:color w:val="000000" w:themeColor="text1"/>
          <w:sz w:val="24"/>
          <w:highlight w:val="none"/>
          <w14:textFill>
            <w14:solidFill>
              <w14:schemeClr w14:val="tx1"/>
            </w14:solidFill>
          </w14:textFill>
        </w:rPr>
        <w:t>.</w:t>
      </w:r>
      <w:r>
        <w:rPr>
          <w:rFonts w:hint="eastAsia" w:ascii="宋体" w:hAnsi="宋体" w:eastAsia="宋体" w:cs="宋体"/>
          <w:bCs/>
          <w:i w:val="0"/>
          <w:color w:val="000000" w:themeColor="text1"/>
          <w:sz w:val="24"/>
          <w:highlight w:val="none"/>
          <w:lang w:val="en-US" w:eastAsia="zh-CN"/>
          <w14:textFill>
            <w14:solidFill>
              <w14:schemeClr w14:val="tx1"/>
            </w14:solidFill>
          </w14:textFill>
        </w:rPr>
        <w:t>6</w:t>
      </w:r>
      <w:r>
        <w:rPr>
          <w:rFonts w:hint="eastAsia" w:ascii="宋体" w:hAnsi="宋体" w:eastAsia="宋体" w:cs="宋体"/>
          <w:bCs/>
          <w:i w:val="0"/>
          <w:color w:val="000000" w:themeColor="text1"/>
          <w:sz w:val="24"/>
          <w:highlight w:val="none"/>
          <w14:textFill>
            <w14:solidFill>
              <w14:schemeClr w14:val="tx1"/>
            </w14:solidFill>
          </w14:textFill>
        </w:rPr>
        <w:t>施工要求：</w:t>
      </w:r>
    </w:p>
    <w:p w14:paraId="5E767A24">
      <w:pPr>
        <w:pStyle w:val="30"/>
        <w:pageBreakBefore w:val="0"/>
        <w:widowControl w:val="0"/>
        <w:kinsoku/>
        <w:wordWrap/>
        <w:overflowPunct/>
        <w:topLinePunct w:val="0"/>
        <w:autoSpaceDN/>
        <w:bidi w:val="0"/>
        <w:spacing w:line="360" w:lineRule="auto"/>
        <w:ind w:left="0" w:right="0" w:firstLine="480" w:firstLineChars="200"/>
        <w:jc w:val="both"/>
        <w:textAlignment w:val="auto"/>
        <w:rPr>
          <w:rFonts w:hint="eastAsia" w:ascii="宋体" w:hAnsi="宋体" w:eastAsia="宋体" w:cs="宋体"/>
          <w:bCs/>
          <w:i w:val="0"/>
          <w:color w:val="000000" w:themeColor="text1"/>
          <w:sz w:val="24"/>
          <w:highlight w:val="none"/>
          <w14:textFill>
            <w14:solidFill>
              <w14:schemeClr w14:val="tx1"/>
            </w14:solidFill>
          </w14:textFill>
        </w:rPr>
      </w:pPr>
      <w:r>
        <w:rPr>
          <w:rFonts w:hint="eastAsia" w:ascii="宋体" w:hAnsi="宋体" w:eastAsia="宋体" w:cs="宋体"/>
          <w:bCs/>
          <w:i w:val="0"/>
          <w:color w:val="000000" w:themeColor="text1"/>
          <w:sz w:val="24"/>
          <w:highlight w:val="none"/>
          <w:lang w:val="en-US" w:eastAsia="zh-CN"/>
          <w14:textFill>
            <w14:solidFill>
              <w14:schemeClr w14:val="tx1"/>
            </w14:solidFill>
          </w14:textFill>
        </w:rPr>
        <w:t>4</w:t>
      </w:r>
      <w:r>
        <w:rPr>
          <w:rFonts w:hint="eastAsia" w:ascii="宋体" w:hAnsi="宋体" w:eastAsia="宋体" w:cs="宋体"/>
          <w:bCs/>
          <w:i w:val="0"/>
          <w:color w:val="000000" w:themeColor="text1"/>
          <w:sz w:val="24"/>
          <w:highlight w:val="none"/>
          <w14:textFill>
            <w14:solidFill>
              <w14:schemeClr w14:val="tx1"/>
            </w14:solidFill>
          </w14:textFill>
        </w:rPr>
        <w:t>.</w:t>
      </w:r>
      <w:r>
        <w:rPr>
          <w:rFonts w:hint="eastAsia" w:ascii="宋体" w:hAnsi="宋体" w:eastAsia="宋体" w:cs="宋体"/>
          <w:bCs/>
          <w:i w:val="0"/>
          <w:color w:val="000000" w:themeColor="text1"/>
          <w:sz w:val="24"/>
          <w:highlight w:val="none"/>
          <w:lang w:val="en-US" w:eastAsia="zh-CN"/>
          <w14:textFill>
            <w14:solidFill>
              <w14:schemeClr w14:val="tx1"/>
            </w14:solidFill>
          </w14:textFill>
        </w:rPr>
        <w:t>6</w:t>
      </w:r>
      <w:r>
        <w:rPr>
          <w:rFonts w:hint="eastAsia" w:ascii="宋体" w:hAnsi="宋体" w:eastAsia="宋体" w:cs="宋体"/>
          <w:bCs/>
          <w:i w:val="0"/>
          <w:color w:val="000000" w:themeColor="text1"/>
          <w:sz w:val="24"/>
          <w:highlight w:val="none"/>
          <w14:textFill>
            <w14:solidFill>
              <w14:schemeClr w14:val="tx1"/>
            </w14:solidFill>
          </w14:textFill>
        </w:rPr>
        <w:t>.1供应商须充分考察现场施工条件，设置科学、合理、可行的施工组织方案和安全施工及保护方案，必须满足现行四川省建设行政主管部门对工程建设的有关规定，并按经批准的施工组织设计实施，并符合施工规范及验收标准的相关要求。</w:t>
      </w:r>
    </w:p>
    <w:p w14:paraId="46C42226">
      <w:pPr>
        <w:pStyle w:val="30"/>
        <w:pageBreakBefore w:val="0"/>
        <w:widowControl w:val="0"/>
        <w:kinsoku/>
        <w:wordWrap/>
        <w:overflowPunct/>
        <w:topLinePunct w:val="0"/>
        <w:autoSpaceDN/>
        <w:bidi w:val="0"/>
        <w:spacing w:line="360" w:lineRule="auto"/>
        <w:ind w:left="0" w:right="0" w:firstLine="480" w:firstLineChars="200"/>
        <w:jc w:val="both"/>
        <w:textAlignment w:val="auto"/>
        <w:rPr>
          <w:rFonts w:hint="eastAsia" w:ascii="宋体" w:hAnsi="宋体" w:eastAsia="宋体" w:cs="宋体"/>
          <w:bCs/>
          <w:i w:val="0"/>
          <w:color w:val="000000" w:themeColor="text1"/>
          <w:sz w:val="24"/>
          <w:highlight w:val="none"/>
          <w14:textFill>
            <w14:solidFill>
              <w14:schemeClr w14:val="tx1"/>
            </w14:solidFill>
          </w14:textFill>
        </w:rPr>
      </w:pPr>
      <w:r>
        <w:rPr>
          <w:rFonts w:hint="eastAsia" w:ascii="宋体" w:hAnsi="宋体" w:eastAsia="宋体" w:cs="宋体"/>
          <w:bCs/>
          <w:i w:val="0"/>
          <w:color w:val="000000" w:themeColor="text1"/>
          <w:sz w:val="24"/>
          <w:highlight w:val="none"/>
          <w:lang w:val="en-US" w:eastAsia="zh-CN"/>
          <w14:textFill>
            <w14:solidFill>
              <w14:schemeClr w14:val="tx1"/>
            </w14:solidFill>
          </w14:textFill>
        </w:rPr>
        <w:t>4</w:t>
      </w:r>
      <w:r>
        <w:rPr>
          <w:rFonts w:hint="eastAsia" w:ascii="宋体" w:hAnsi="宋体" w:eastAsia="宋体" w:cs="宋体"/>
          <w:bCs/>
          <w:i w:val="0"/>
          <w:color w:val="000000" w:themeColor="text1"/>
          <w:sz w:val="24"/>
          <w:highlight w:val="none"/>
          <w14:textFill>
            <w14:solidFill>
              <w14:schemeClr w14:val="tx1"/>
            </w14:solidFill>
          </w14:textFill>
        </w:rPr>
        <w:t>.</w:t>
      </w:r>
      <w:r>
        <w:rPr>
          <w:rFonts w:hint="eastAsia" w:ascii="宋体" w:hAnsi="宋体" w:eastAsia="宋体" w:cs="宋体"/>
          <w:bCs/>
          <w:i w:val="0"/>
          <w:color w:val="000000" w:themeColor="text1"/>
          <w:sz w:val="24"/>
          <w:highlight w:val="none"/>
          <w:lang w:val="en-US" w:eastAsia="zh-CN"/>
          <w14:textFill>
            <w14:solidFill>
              <w14:schemeClr w14:val="tx1"/>
            </w14:solidFill>
          </w14:textFill>
        </w:rPr>
        <w:t>6</w:t>
      </w:r>
      <w:r>
        <w:rPr>
          <w:rFonts w:hint="eastAsia" w:ascii="宋体" w:hAnsi="宋体" w:eastAsia="宋体" w:cs="宋体"/>
          <w:bCs/>
          <w:i w:val="0"/>
          <w:color w:val="000000" w:themeColor="text1"/>
          <w:sz w:val="24"/>
          <w:highlight w:val="none"/>
          <w14:textFill>
            <w14:solidFill>
              <w14:schemeClr w14:val="tx1"/>
            </w14:solidFill>
          </w14:textFill>
        </w:rPr>
        <w:t>.2 对于隐蔽工程，在封闭之前须提前告知采购人及监理等相关单位，如采购人或者监理需要组织验收，必须在验收合格之后才能进行隐蔽工程封闭。如果采购人或者监理不组织验收，供应商仍需对关键部分进行拍照和视频录制并对相关影像资料存档以备后期审查。</w:t>
      </w:r>
    </w:p>
    <w:p w14:paraId="45166BC6">
      <w:pPr>
        <w:pStyle w:val="30"/>
        <w:pageBreakBefore w:val="0"/>
        <w:widowControl w:val="0"/>
        <w:kinsoku/>
        <w:wordWrap/>
        <w:overflowPunct/>
        <w:topLinePunct w:val="0"/>
        <w:autoSpaceDN/>
        <w:bidi w:val="0"/>
        <w:spacing w:line="360" w:lineRule="auto"/>
        <w:ind w:left="0" w:right="0" w:firstLine="480" w:firstLineChars="200"/>
        <w:jc w:val="both"/>
        <w:textAlignment w:val="auto"/>
        <w:rPr>
          <w:rFonts w:hint="eastAsia" w:ascii="宋体" w:hAnsi="宋体" w:eastAsia="宋体" w:cs="宋体"/>
          <w:bCs/>
          <w:i w:val="0"/>
          <w:color w:val="000000" w:themeColor="text1"/>
          <w:sz w:val="24"/>
          <w:highlight w:val="none"/>
          <w14:textFill>
            <w14:solidFill>
              <w14:schemeClr w14:val="tx1"/>
            </w14:solidFill>
          </w14:textFill>
        </w:rPr>
      </w:pPr>
      <w:r>
        <w:rPr>
          <w:rFonts w:hint="eastAsia" w:ascii="宋体" w:hAnsi="宋体" w:eastAsia="宋体" w:cs="宋体"/>
          <w:bCs/>
          <w:i w:val="0"/>
          <w:color w:val="000000" w:themeColor="text1"/>
          <w:sz w:val="24"/>
          <w:highlight w:val="none"/>
          <w:lang w:val="en-US" w:eastAsia="zh-CN"/>
          <w14:textFill>
            <w14:solidFill>
              <w14:schemeClr w14:val="tx1"/>
            </w14:solidFill>
          </w14:textFill>
        </w:rPr>
        <w:t>4</w:t>
      </w:r>
      <w:r>
        <w:rPr>
          <w:rFonts w:hint="eastAsia" w:ascii="宋体" w:hAnsi="宋体" w:eastAsia="宋体" w:cs="宋体"/>
          <w:bCs/>
          <w:i w:val="0"/>
          <w:color w:val="000000" w:themeColor="text1"/>
          <w:sz w:val="24"/>
          <w:highlight w:val="none"/>
          <w14:textFill>
            <w14:solidFill>
              <w14:schemeClr w14:val="tx1"/>
            </w14:solidFill>
          </w14:textFill>
        </w:rPr>
        <w:t>.</w:t>
      </w:r>
      <w:r>
        <w:rPr>
          <w:rFonts w:hint="eastAsia" w:ascii="宋体" w:hAnsi="宋体" w:eastAsia="宋体" w:cs="宋体"/>
          <w:bCs/>
          <w:i w:val="0"/>
          <w:color w:val="000000" w:themeColor="text1"/>
          <w:sz w:val="24"/>
          <w:highlight w:val="none"/>
          <w:lang w:val="en-US" w:eastAsia="zh-CN"/>
          <w14:textFill>
            <w14:solidFill>
              <w14:schemeClr w14:val="tx1"/>
            </w14:solidFill>
          </w14:textFill>
        </w:rPr>
        <w:t>7</w:t>
      </w:r>
      <w:r>
        <w:rPr>
          <w:rFonts w:hint="eastAsia" w:ascii="宋体" w:hAnsi="宋体" w:eastAsia="宋体" w:cs="宋体"/>
          <w:bCs/>
          <w:i w:val="0"/>
          <w:color w:val="000000" w:themeColor="text1"/>
          <w:sz w:val="24"/>
          <w:highlight w:val="none"/>
          <w14:textFill>
            <w14:solidFill>
              <w14:schemeClr w14:val="tx1"/>
            </w14:solidFill>
          </w14:textFill>
        </w:rPr>
        <w:t>施工过程中所有的水电及仓储等所有费用由成交供应商承担。</w:t>
      </w:r>
    </w:p>
    <w:p w14:paraId="14BD9DEF">
      <w:pPr>
        <w:pStyle w:val="9"/>
        <w:pageBreakBefore w:val="0"/>
        <w:widowControl w:val="0"/>
        <w:kinsoku/>
        <w:wordWrap/>
        <w:overflowPunct/>
        <w:topLinePunct w:val="0"/>
        <w:autoSpaceDN/>
        <w:bidi w:val="0"/>
        <w:spacing w:after="0" w:line="360" w:lineRule="auto"/>
        <w:ind w:firstLine="480" w:firstLineChars="200"/>
        <w:textAlignment w:val="auto"/>
        <w:rPr>
          <w:rFonts w:hint="eastAsia" w:ascii="宋体" w:hAnsi="宋体" w:eastAsia="宋体" w:cs="宋体"/>
          <w:bCs/>
          <w:color w:val="000000" w:themeColor="text1"/>
          <w:kern w:val="2"/>
          <w:sz w:val="24"/>
          <w:highlight w:val="none"/>
          <w14:textFill>
            <w14:solidFill>
              <w14:schemeClr w14:val="tx1"/>
            </w14:solidFill>
          </w14:textFill>
        </w:rPr>
      </w:pPr>
      <w:r>
        <w:rPr>
          <w:rFonts w:hint="eastAsia" w:ascii="宋体" w:hAnsi="宋体" w:eastAsia="宋体" w:cs="宋体"/>
          <w:bCs/>
          <w:color w:val="000000" w:themeColor="text1"/>
          <w:kern w:val="2"/>
          <w:sz w:val="24"/>
          <w:highlight w:val="none"/>
          <w:lang w:val="en-US" w:eastAsia="zh-CN"/>
          <w14:textFill>
            <w14:solidFill>
              <w14:schemeClr w14:val="tx1"/>
            </w14:solidFill>
          </w14:textFill>
        </w:rPr>
        <w:t>4</w:t>
      </w:r>
      <w:r>
        <w:rPr>
          <w:rFonts w:hint="eastAsia" w:ascii="宋体" w:hAnsi="宋体" w:eastAsia="宋体" w:cs="宋体"/>
          <w:bCs/>
          <w:color w:val="000000" w:themeColor="text1"/>
          <w:kern w:val="2"/>
          <w:sz w:val="24"/>
          <w:highlight w:val="none"/>
          <w14:textFill>
            <w14:solidFill>
              <w14:schemeClr w14:val="tx1"/>
            </w14:solidFill>
          </w14:textFill>
        </w:rPr>
        <w:t>.</w:t>
      </w:r>
      <w:r>
        <w:rPr>
          <w:rFonts w:hint="eastAsia" w:ascii="宋体" w:hAnsi="宋体" w:eastAsia="宋体" w:cs="宋体"/>
          <w:bCs/>
          <w:color w:val="000000" w:themeColor="text1"/>
          <w:kern w:val="2"/>
          <w:sz w:val="24"/>
          <w:highlight w:val="none"/>
          <w:lang w:val="en-US" w:eastAsia="zh-CN"/>
          <w14:textFill>
            <w14:solidFill>
              <w14:schemeClr w14:val="tx1"/>
            </w14:solidFill>
          </w14:textFill>
        </w:rPr>
        <w:t>8</w:t>
      </w:r>
      <w:r>
        <w:rPr>
          <w:rFonts w:hint="eastAsia" w:ascii="宋体" w:hAnsi="宋体" w:eastAsia="宋体" w:cs="宋体"/>
          <w:bCs/>
          <w:color w:val="000000" w:themeColor="text1"/>
          <w:kern w:val="2"/>
          <w:sz w:val="24"/>
          <w:highlight w:val="none"/>
          <w14:textFill>
            <w14:solidFill>
              <w14:schemeClr w14:val="tx1"/>
            </w14:solidFill>
          </w14:textFill>
        </w:rPr>
        <w:t>履约验收：本项目</w:t>
      </w:r>
      <w:r>
        <w:rPr>
          <w:rFonts w:hint="eastAsia" w:ascii="宋体" w:hAnsi="宋体" w:eastAsia="宋体" w:cs="宋体"/>
          <w:bCs/>
          <w:color w:val="000000" w:themeColor="text1"/>
          <w:kern w:val="2"/>
          <w:sz w:val="24"/>
          <w:highlight w:val="none"/>
          <w:lang w:val="zh-CN"/>
          <w14:textFill>
            <w14:solidFill>
              <w14:schemeClr w14:val="tx1"/>
            </w14:solidFill>
          </w14:textFill>
        </w:rPr>
        <w:t>严格按照相关行政主管部门和技术部门的要求组织验收，以</w:t>
      </w:r>
      <w:r>
        <w:rPr>
          <w:rFonts w:hint="eastAsia" w:ascii="宋体" w:hAnsi="宋体" w:cs="宋体"/>
          <w:bCs/>
          <w:color w:val="000000" w:themeColor="text1"/>
          <w:kern w:val="2"/>
          <w:sz w:val="24"/>
          <w:highlight w:val="none"/>
          <w:lang w:val="zh-CN"/>
          <w14:textFill>
            <w14:solidFill>
              <w14:schemeClr w14:val="tx1"/>
            </w14:solidFill>
          </w14:textFill>
        </w:rPr>
        <w:t>采购文件</w:t>
      </w:r>
      <w:r>
        <w:rPr>
          <w:rFonts w:hint="eastAsia" w:ascii="宋体" w:hAnsi="宋体" w:eastAsia="宋体" w:cs="宋体"/>
          <w:bCs/>
          <w:color w:val="000000" w:themeColor="text1"/>
          <w:kern w:val="2"/>
          <w:sz w:val="24"/>
          <w:highlight w:val="none"/>
          <w:lang w:val="zh-CN"/>
          <w14:textFill>
            <w14:solidFill>
              <w14:schemeClr w14:val="tx1"/>
            </w14:solidFill>
          </w14:textFill>
        </w:rPr>
        <w:t>技术参数及要求及成交人响应文件技术响应为准。如出现未在</w:t>
      </w:r>
      <w:r>
        <w:rPr>
          <w:rFonts w:hint="eastAsia" w:ascii="宋体" w:hAnsi="宋体" w:cs="宋体"/>
          <w:bCs/>
          <w:color w:val="000000" w:themeColor="text1"/>
          <w:kern w:val="2"/>
          <w:sz w:val="24"/>
          <w:highlight w:val="none"/>
          <w:lang w:val="zh-CN"/>
          <w14:textFill>
            <w14:solidFill>
              <w14:schemeClr w14:val="tx1"/>
            </w14:solidFill>
          </w14:textFill>
        </w:rPr>
        <w:t>采购文件</w:t>
      </w:r>
      <w:r>
        <w:rPr>
          <w:rFonts w:hint="eastAsia" w:ascii="宋体" w:hAnsi="宋体" w:eastAsia="宋体" w:cs="宋体"/>
          <w:bCs/>
          <w:color w:val="000000" w:themeColor="text1"/>
          <w:kern w:val="2"/>
          <w:sz w:val="24"/>
          <w:highlight w:val="none"/>
          <w:lang w:val="zh-CN"/>
          <w14:textFill>
            <w14:solidFill>
              <w14:schemeClr w14:val="tx1"/>
            </w14:solidFill>
          </w14:textFill>
        </w:rPr>
        <w:t>中明确规定的，以行业相关标准为准（在本项目中涉及的工程项目质量按照</w:t>
      </w:r>
      <w:r>
        <w:rPr>
          <w:rFonts w:hint="eastAsia" w:ascii="宋体" w:hAnsi="宋体" w:eastAsia="宋体" w:cs="宋体"/>
          <w:bCs/>
          <w:color w:val="000000" w:themeColor="text1"/>
          <w:kern w:val="2"/>
          <w:sz w:val="24"/>
          <w:highlight w:val="none"/>
          <w14:textFill>
            <w14:solidFill>
              <w14:schemeClr w14:val="tx1"/>
            </w14:solidFill>
          </w14:textFill>
        </w:rPr>
        <w:t>国家及四川省相关工程施工质量验收规范合格标准</w:t>
      </w:r>
      <w:r>
        <w:rPr>
          <w:rFonts w:hint="eastAsia" w:ascii="宋体" w:hAnsi="宋体" w:eastAsia="宋体" w:cs="宋体"/>
          <w:bCs/>
          <w:color w:val="000000" w:themeColor="text1"/>
          <w:kern w:val="2"/>
          <w:sz w:val="24"/>
          <w:highlight w:val="none"/>
          <w:lang w:val="zh-CN"/>
          <w14:textFill>
            <w14:solidFill>
              <w14:schemeClr w14:val="tx1"/>
            </w14:solidFill>
          </w14:textFill>
        </w:rPr>
        <w:t>执行）。如采购双方如对质量要求和技术指标的约定标准有相互抵触或异议的事项，由采购人在比选采购文件与响应文件中按质量要求和技术指标、行业标准比较优胜的原则确定该项的约定标准进行验收。</w:t>
      </w:r>
    </w:p>
    <w:p w14:paraId="35DBA93D">
      <w:pPr>
        <w:pStyle w:val="9"/>
        <w:pageBreakBefore w:val="0"/>
        <w:widowControl w:val="0"/>
        <w:kinsoku/>
        <w:wordWrap/>
        <w:overflowPunct/>
        <w:topLinePunct w:val="0"/>
        <w:autoSpaceDN/>
        <w:bidi w:val="0"/>
        <w:spacing w:after="0" w:line="360" w:lineRule="auto"/>
        <w:ind w:firstLine="480" w:firstLineChars="200"/>
        <w:textAlignment w:val="auto"/>
        <w:rPr>
          <w:rFonts w:hint="eastAsia" w:ascii="宋体" w:hAnsi="宋体" w:eastAsia="宋体" w:cs="宋体"/>
          <w:bCs/>
          <w:color w:val="000000" w:themeColor="text1"/>
          <w:kern w:val="2"/>
          <w:sz w:val="24"/>
          <w:highlight w:val="none"/>
          <w14:textFill>
            <w14:solidFill>
              <w14:schemeClr w14:val="tx1"/>
            </w14:solidFill>
          </w14:textFill>
        </w:rPr>
      </w:pPr>
      <w:r>
        <w:rPr>
          <w:rFonts w:hint="eastAsia" w:ascii="宋体" w:hAnsi="宋体" w:eastAsia="宋体" w:cs="宋体"/>
          <w:bCs/>
          <w:color w:val="000000" w:themeColor="text1"/>
          <w:kern w:val="2"/>
          <w:sz w:val="24"/>
          <w:highlight w:val="none"/>
          <w:lang w:val="en-US" w:eastAsia="zh-CN"/>
          <w14:textFill>
            <w14:solidFill>
              <w14:schemeClr w14:val="tx1"/>
            </w14:solidFill>
          </w14:textFill>
        </w:rPr>
        <w:t>4.9</w:t>
      </w:r>
      <w:r>
        <w:rPr>
          <w:rFonts w:hint="eastAsia" w:ascii="宋体" w:hAnsi="宋体" w:eastAsia="宋体" w:cs="宋体"/>
          <w:bCs/>
          <w:color w:val="000000" w:themeColor="text1"/>
          <w:kern w:val="2"/>
          <w:sz w:val="24"/>
          <w:highlight w:val="none"/>
          <w14:textFill>
            <w14:solidFill>
              <w14:schemeClr w14:val="tx1"/>
            </w14:solidFill>
          </w14:textFill>
        </w:rPr>
        <w:t>供应商在响应文件中需</w:t>
      </w:r>
      <w:r>
        <w:rPr>
          <w:rFonts w:hint="eastAsia" w:ascii="宋体" w:hAnsi="宋体" w:eastAsia="宋体" w:cs="宋体"/>
          <w:bCs/>
          <w:color w:val="000000" w:themeColor="text1"/>
          <w:kern w:val="2"/>
          <w:sz w:val="24"/>
          <w:highlight w:val="none"/>
          <w:lang w:eastAsia="zh-CN"/>
          <w14:textFill>
            <w14:solidFill>
              <w14:schemeClr w14:val="tx1"/>
            </w14:solidFill>
          </w14:textFill>
        </w:rPr>
        <w:t>单独</w:t>
      </w:r>
      <w:r>
        <w:rPr>
          <w:rFonts w:hint="eastAsia" w:ascii="宋体" w:hAnsi="宋体" w:eastAsia="宋体" w:cs="宋体"/>
          <w:bCs/>
          <w:color w:val="000000" w:themeColor="text1"/>
          <w:kern w:val="2"/>
          <w:sz w:val="24"/>
          <w:highlight w:val="none"/>
          <w14:textFill>
            <w14:solidFill>
              <w14:schemeClr w14:val="tx1"/>
            </w14:solidFill>
          </w14:textFill>
        </w:rPr>
        <w:t xml:space="preserve">提供《安全承诺书》，包含但不限于以下内容：承诺在服务期间（合同签订之日至工程质量保修期满止），严格按照相关法律法规，明确安全责任，服从相关主管部门的日常管理和检查；承诺对本单位施工人员进行安全教育，有健全的安全管理制度和培训教育记录，严格进行文明施工，保证现场不出现安全事故，设立现场安全负责人，向相关主管部门解释实施情况，保证技术人员和采购人及第三方人员的财产及生命安全，如因施工期内发生任何意外或造成人员伤亡，造成的间接或直接的损失由成交供应商负全责。 </w:t>
      </w:r>
    </w:p>
    <w:p w14:paraId="54E023D7">
      <w:pPr>
        <w:pStyle w:val="9"/>
        <w:pageBreakBefore w:val="0"/>
        <w:widowControl w:val="0"/>
        <w:kinsoku/>
        <w:wordWrap/>
        <w:overflowPunct/>
        <w:topLinePunct w:val="0"/>
        <w:autoSpaceDN/>
        <w:bidi w:val="0"/>
        <w:spacing w:after="0" w:line="360" w:lineRule="auto"/>
        <w:ind w:firstLine="480" w:firstLineChars="200"/>
        <w:textAlignment w:val="auto"/>
        <w:rPr>
          <w:rFonts w:hint="eastAsia" w:ascii="宋体" w:hAnsi="宋体" w:eastAsia="宋体" w:cs="宋体"/>
          <w:bCs/>
          <w:color w:val="000000" w:themeColor="text1"/>
          <w:kern w:val="2"/>
          <w:sz w:val="24"/>
          <w:highlight w:val="none"/>
          <w14:textFill>
            <w14:solidFill>
              <w14:schemeClr w14:val="tx1"/>
            </w14:solidFill>
          </w14:textFill>
        </w:rPr>
      </w:pPr>
      <w:r>
        <w:rPr>
          <w:rFonts w:hint="eastAsia" w:ascii="宋体" w:hAnsi="宋体" w:eastAsia="宋体" w:cs="宋体"/>
          <w:bCs/>
          <w:color w:val="000000" w:themeColor="text1"/>
          <w:kern w:val="2"/>
          <w:sz w:val="24"/>
          <w:highlight w:val="none"/>
          <w:lang w:val="en-US" w:eastAsia="zh-CN"/>
          <w14:textFill>
            <w14:solidFill>
              <w14:schemeClr w14:val="tx1"/>
            </w14:solidFill>
          </w14:textFill>
        </w:rPr>
        <w:t>4</w:t>
      </w:r>
      <w:r>
        <w:rPr>
          <w:rFonts w:hint="eastAsia" w:ascii="宋体" w:hAnsi="宋体" w:eastAsia="宋体" w:cs="宋体"/>
          <w:bCs/>
          <w:color w:val="000000" w:themeColor="text1"/>
          <w:kern w:val="2"/>
          <w:sz w:val="24"/>
          <w:highlight w:val="none"/>
          <w14:textFill>
            <w14:solidFill>
              <w14:schemeClr w14:val="tx1"/>
            </w14:solidFill>
          </w14:textFill>
        </w:rPr>
        <w:t>.</w:t>
      </w:r>
      <w:r>
        <w:rPr>
          <w:rFonts w:hint="eastAsia" w:ascii="宋体" w:hAnsi="宋体" w:eastAsia="宋体" w:cs="宋体"/>
          <w:bCs/>
          <w:color w:val="000000" w:themeColor="text1"/>
          <w:kern w:val="2"/>
          <w:sz w:val="24"/>
          <w:highlight w:val="none"/>
          <w:lang w:val="en-US" w:eastAsia="zh-CN"/>
          <w14:textFill>
            <w14:solidFill>
              <w14:schemeClr w14:val="tx1"/>
            </w14:solidFill>
          </w14:textFill>
        </w:rPr>
        <w:t>10</w:t>
      </w:r>
      <w:r>
        <w:rPr>
          <w:rFonts w:hint="eastAsia" w:ascii="宋体" w:hAnsi="宋体" w:eastAsia="宋体" w:cs="宋体"/>
          <w:bCs/>
          <w:color w:val="000000" w:themeColor="text1"/>
          <w:kern w:val="2"/>
          <w:sz w:val="24"/>
          <w:highlight w:val="none"/>
          <w14:textFill>
            <w14:solidFill>
              <w14:schemeClr w14:val="tx1"/>
            </w14:solidFill>
          </w14:textFill>
        </w:rPr>
        <w:t>施工安全及安全责任划分：本项目施工实施过程中，成交人须严格按照项目施工方案及规范施工并做好安全防护措施（尤其注意人员安全），在施工过程中，对施工范围周边区域原有设施设备（无论是否能够正常工作）采取适当措施进行保护，如因供应商原因造成施工场地周边原有设备设施损坏的，供应商有责任无偿进行恢复。在施工过程中所发生的所有安全事故和生产事故，劳动纠纷均由成交供应商承担。如遇上述情况，采购人有权将未支付的工程款用于支付上述事宜所产生的费用，成交供应商不得有异议。【在响应文件中单独提供承诺函】</w:t>
      </w:r>
    </w:p>
    <w:p w14:paraId="273C08F5">
      <w:pPr>
        <w:pStyle w:val="9"/>
        <w:pageBreakBefore w:val="0"/>
        <w:widowControl w:val="0"/>
        <w:kinsoku/>
        <w:wordWrap/>
        <w:overflowPunct/>
        <w:topLinePunct w:val="0"/>
        <w:autoSpaceDN/>
        <w:bidi w:val="0"/>
        <w:spacing w:after="0" w:line="360" w:lineRule="auto"/>
        <w:ind w:firstLine="480" w:firstLineChars="200"/>
        <w:textAlignment w:val="auto"/>
        <w:rPr>
          <w:rFonts w:hint="eastAsia" w:ascii="宋体" w:hAnsi="宋体" w:eastAsia="宋体" w:cs="宋体"/>
          <w:bCs/>
          <w:color w:val="000000" w:themeColor="text1"/>
          <w:kern w:val="2"/>
          <w:sz w:val="24"/>
          <w:highlight w:val="none"/>
          <w:lang w:val="en-US" w:eastAsia="zh-CN"/>
          <w14:textFill>
            <w14:solidFill>
              <w14:schemeClr w14:val="tx1"/>
            </w14:solidFill>
          </w14:textFill>
        </w:rPr>
      </w:pPr>
      <w:r>
        <w:rPr>
          <w:rFonts w:hint="eastAsia" w:ascii="宋体" w:hAnsi="宋体" w:eastAsia="宋体" w:cs="宋体"/>
          <w:bCs/>
          <w:color w:val="000000" w:themeColor="text1"/>
          <w:kern w:val="2"/>
          <w:sz w:val="24"/>
          <w:highlight w:val="none"/>
          <w:lang w:val="en-US" w:eastAsia="zh-CN"/>
          <w14:textFill>
            <w14:solidFill>
              <w14:schemeClr w14:val="tx1"/>
            </w14:solidFill>
          </w14:textFill>
        </w:rPr>
        <w:t>4</w:t>
      </w:r>
      <w:r>
        <w:rPr>
          <w:rFonts w:hint="eastAsia" w:ascii="宋体" w:hAnsi="宋体" w:eastAsia="宋体" w:cs="宋体"/>
          <w:bCs/>
          <w:color w:val="000000" w:themeColor="text1"/>
          <w:kern w:val="2"/>
          <w:sz w:val="24"/>
          <w:highlight w:val="none"/>
          <w14:textFill>
            <w14:solidFill>
              <w14:schemeClr w14:val="tx1"/>
            </w14:solidFill>
          </w14:textFill>
        </w:rPr>
        <w:t>.</w:t>
      </w:r>
      <w:r>
        <w:rPr>
          <w:rFonts w:hint="eastAsia" w:ascii="宋体" w:hAnsi="宋体" w:eastAsia="宋体" w:cs="宋体"/>
          <w:bCs/>
          <w:color w:val="000000" w:themeColor="text1"/>
          <w:kern w:val="2"/>
          <w:sz w:val="24"/>
          <w:highlight w:val="none"/>
          <w:lang w:val="en-US" w:eastAsia="zh-CN"/>
          <w14:textFill>
            <w14:solidFill>
              <w14:schemeClr w14:val="tx1"/>
            </w14:solidFill>
          </w14:textFill>
        </w:rPr>
        <w:t>11团队要求</w:t>
      </w:r>
    </w:p>
    <w:p w14:paraId="02C14499">
      <w:pPr>
        <w:pStyle w:val="9"/>
        <w:pageBreakBefore w:val="0"/>
        <w:widowControl w:val="0"/>
        <w:kinsoku/>
        <w:wordWrap/>
        <w:overflowPunct/>
        <w:topLinePunct w:val="0"/>
        <w:autoSpaceDN/>
        <w:bidi w:val="0"/>
        <w:spacing w:after="0" w:line="360" w:lineRule="auto"/>
        <w:ind w:firstLine="480" w:firstLineChars="200"/>
        <w:textAlignment w:val="auto"/>
        <w:rPr>
          <w:rFonts w:hint="eastAsia" w:ascii="宋体" w:hAnsi="宋体" w:eastAsia="宋体" w:cs="宋体"/>
          <w:bCs/>
          <w:color w:val="000000" w:themeColor="text1"/>
          <w:kern w:val="2"/>
          <w:sz w:val="24"/>
          <w:highlight w:val="none"/>
          <w14:textFill>
            <w14:solidFill>
              <w14:schemeClr w14:val="tx1"/>
            </w14:solidFill>
          </w14:textFill>
        </w:rPr>
      </w:pPr>
      <w:r>
        <w:rPr>
          <w:rFonts w:hint="eastAsia" w:ascii="宋体" w:hAnsi="宋体" w:eastAsia="宋体" w:cs="宋体"/>
          <w:bCs/>
          <w:color w:val="000000" w:themeColor="text1"/>
          <w:kern w:val="2"/>
          <w:sz w:val="24"/>
          <w:highlight w:val="none"/>
          <w:lang w:val="en-US" w:eastAsia="zh-CN"/>
          <w14:textFill>
            <w14:solidFill>
              <w14:schemeClr w14:val="tx1"/>
            </w14:solidFill>
          </w14:textFill>
        </w:rPr>
        <w:t>4.11.1</w:t>
      </w:r>
      <w:r>
        <w:rPr>
          <w:rFonts w:hint="eastAsia" w:ascii="宋体" w:hAnsi="宋体" w:eastAsia="宋体" w:cs="宋体"/>
          <w:bCs/>
          <w:color w:val="000000" w:themeColor="text1"/>
          <w:kern w:val="2"/>
          <w:sz w:val="24"/>
          <w:highlight w:val="none"/>
          <w14:textFill>
            <w14:solidFill>
              <w14:schemeClr w14:val="tx1"/>
            </w14:solidFill>
          </w14:textFill>
        </w:rPr>
        <w:t>拟任的项目经理（项目负责人）和项目技术负责人不得为同一人，在参与本项目采购时不得在其它项目任职，成交后至完工前也不得在其他项目任职。【在响应文件中单独提供承诺函和本单位有效的在职证明材料复印件加盖公章】</w:t>
      </w:r>
    </w:p>
    <w:p w14:paraId="57585641">
      <w:pPr>
        <w:pStyle w:val="9"/>
        <w:pageBreakBefore w:val="0"/>
        <w:widowControl w:val="0"/>
        <w:kinsoku/>
        <w:wordWrap/>
        <w:overflowPunct/>
        <w:topLinePunct w:val="0"/>
        <w:autoSpaceDN/>
        <w:bidi w:val="0"/>
        <w:spacing w:after="0" w:line="360" w:lineRule="auto"/>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5、</w:t>
      </w:r>
      <w:r>
        <w:rPr>
          <w:rFonts w:hint="eastAsia" w:ascii="宋体" w:hAnsi="宋体" w:eastAsia="宋体" w:cs="宋体"/>
          <w:color w:val="000000" w:themeColor="text1"/>
          <w:sz w:val="24"/>
          <w:highlight w:val="none"/>
          <w14:textFill>
            <w14:solidFill>
              <w14:schemeClr w14:val="tx1"/>
            </w14:solidFill>
          </w14:textFill>
        </w:rPr>
        <w:t>在施工过程中，如因施工设计变更导致费用增加，验收及结算时，采购人有权聘请第三方审计单位进行审计，以审计金额为准。</w:t>
      </w:r>
    </w:p>
    <w:p w14:paraId="01F5F96C">
      <w:pPr>
        <w:pageBreakBefore w:val="0"/>
        <w:widowControl w:val="0"/>
        <w:kinsoku/>
        <w:wordWrap/>
        <w:overflowPunct/>
        <w:topLinePunct w:val="0"/>
        <w:autoSpaceDN/>
        <w:bidi w:val="0"/>
        <w:spacing w:line="360" w:lineRule="auto"/>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6、</w:t>
      </w:r>
      <w:r>
        <w:rPr>
          <w:rFonts w:hint="eastAsia" w:ascii="宋体" w:hAnsi="宋体" w:eastAsia="宋体" w:cs="宋体"/>
          <w:color w:val="000000" w:themeColor="text1"/>
          <w:sz w:val="24"/>
          <w:highlight w:val="none"/>
          <w14:textFill>
            <w14:solidFill>
              <w14:schemeClr w14:val="tx1"/>
            </w14:solidFill>
          </w14:textFill>
        </w:rPr>
        <w:t>供应商自行办理本项目所有相关行政手续，并承担所有费用，所涉及的所有法律责任及相关费用均由供应商负责，与采购人无关，供应商不得以任何理由要求采购人承担相关责任或赔偿；如在规定时间内无法</w:t>
      </w:r>
      <w:r>
        <w:rPr>
          <w:rFonts w:hint="eastAsia" w:ascii="宋体" w:hAnsi="宋体" w:eastAsia="宋体" w:cs="宋体"/>
          <w:bCs/>
          <w:i w:val="0"/>
          <w:color w:val="000000" w:themeColor="text1"/>
          <w:sz w:val="24"/>
          <w:highlight w:val="none"/>
          <w14:textFill>
            <w14:solidFill>
              <w14:schemeClr w14:val="tx1"/>
            </w14:solidFill>
          </w14:textFill>
        </w:rPr>
        <w:t>启动施工</w:t>
      </w:r>
      <w:r>
        <w:rPr>
          <w:rFonts w:hint="eastAsia" w:ascii="宋体" w:hAnsi="宋体" w:eastAsia="宋体" w:cs="宋体"/>
          <w:color w:val="000000" w:themeColor="text1"/>
          <w:sz w:val="24"/>
          <w:highlight w:val="none"/>
          <w:lang w:eastAsia="zh-CN"/>
          <w14:textFill>
            <w14:solidFill>
              <w14:schemeClr w14:val="tx1"/>
            </w14:solidFill>
          </w14:textFill>
        </w:rPr>
        <w:t>的</w:t>
      </w:r>
      <w:r>
        <w:rPr>
          <w:rFonts w:hint="eastAsia" w:ascii="宋体" w:hAnsi="宋体" w:eastAsia="宋体" w:cs="宋体"/>
          <w:color w:val="000000" w:themeColor="text1"/>
          <w:sz w:val="24"/>
          <w:highlight w:val="none"/>
          <w14:textFill>
            <w14:solidFill>
              <w14:schemeClr w14:val="tx1"/>
            </w14:solidFill>
          </w14:textFill>
        </w:rPr>
        <w:t>，采购人有权终止合同。</w:t>
      </w:r>
    </w:p>
    <w:p w14:paraId="1E253521">
      <w:pPr>
        <w:pStyle w:val="9"/>
        <w:pageBreakBefore w:val="0"/>
        <w:widowControl w:val="0"/>
        <w:kinsoku/>
        <w:wordWrap/>
        <w:overflowPunct/>
        <w:topLinePunct w:val="0"/>
        <w:autoSpaceDN/>
        <w:bidi w:val="0"/>
        <w:spacing w:after="0" w:line="360" w:lineRule="auto"/>
        <w:ind w:firstLine="480" w:firstLineChars="200"/>
        <w:textAlignment w:val="auto"/>
        <w:rPr>
          <w:rFonts w:hint="eastAsia" w:ascii="宋体" w:hAnsi="宋体" w:eastAsia="宋体" w:cs="宋体"/>
          <w:bCs/>
          <w:color w:val="000000" w:themeColor="text1"/>
          <w:kern w:val="2"/>
          <w:sz w:val="24"/>
          <w:highlight w:val="none"/>
          <w14:textFill>
            <w14:solidFill>
              <w14:schemeClr w14:val="tx1"/>
            </w14:solidFill>
          </w14:textFill>
        </w:rPr>
      </w:pPr>
      <w:r>
        <w:rPr>
          <w:rFonts w:hint="eastAsia" w:ascii="宋体" w:hAnsi="宋体" w:eastAsia="宋体" w:cs="宋体"/>
          <w:bCs/>
          <w:color w:val="000000" w:themeColor="text1"/>
          <w:kern w:val="2"/>
          <w:sz w:val="24"/>
          <w:highlight w:val="none"/>
          <w:lang w:val="en-US" w:eastAsia="zh-CN"/>
          <w14:textFill>
            <w14:solidFill>
              <w14:schemeClr w14:val="tx1"/>
            </w14:solidFill>
          </w14:textFill>
        </w:rPr>
        <w:t>7、</w:t>
      </w:r>
      <w:r>
        <w:rPr>
          <w:rFonts w:hint="eastAsia" w:ascii="宋体" w:hAnsi="宋体" w:eastAsia="宋体" w:cs="宋体"/>
          <w:bCs/>
          <w:color w:val="000000" w:themeColor="text1"/>
          <w:kern w:val="2"/>
          <w:sz w:val="24"/>
          <w:highlight w:val="none"/>
          <w14:textFill>
            <w14:solidFill>
              <w14:schemeClr w14:val="tx1"/>
            </w14:solidFill>
          </w14:textFill>
        </w:rPr>
        <w:t xml:space="preserve">供应商须做好现场各种工程档案资料的收集、管理、保存等工作，避免出现遗失等情况，待项目竣工验收合格后按照采购人的要求统一移交采购人保管。 </w:t>
      </w:r>
    </w:p>
    <w:p w14:paraId="6F83F268">
      <w:pPr>
        <w:pageBreakBefore w:val="0"/>
        <w:widowControl w:val="0"/>
        <w:kinsoku/>
        <w:wordWrap/>
        <w:overflowPunct/>
        <w:topLinePunct w:val="0"/>
        <w:autoSpaceDN/>
        <w:bidi w:val="0"/>
        <w:spacing w:line="360" w:lineRule="auto"/>
        <w:ind w:firstLine="480" w:firstLineChars="200"/>
        <w:textAlignment w:val="auto"/>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8、采购人在签署合同前有权查验采购过程中要求供应商提供的各种证照和业绩原件，如出现虚假应标，采购人有权拒签合同，追究其相关法律责任。</w:t>
      </w:r>
    </w:p>
    <w:p w14:paraId="27A05D5D">
      <w:pPr>
        <w:pageBreakBefore w:val="0"/>
        <w:widowControl w:val="0"/>
        <w:kinsoku/>
        <w:wordWrap/>
        <w:overflowPunct/>
        <w:topLinePunct w:val="0"/>
        <w:autoSpaceDN/>
        <w:bidi w:val="0"/>
        <w:spacing w:line="360" w:lineRule="auto"/>
        <w:ind w:firstLine="480" w:firstLineChars="200"/>
        <w:textAlignment w:val="auto"/>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9、缺陷责任期服务要求：接到服务需求的通知后1小时内响应，如电话不能解决问题，24小时内到现场维修，48小时内完成维修，并承担修理调换的费用。</w:t>
      </w:r>
    </w:p>
    <w:p w14:paraId="39CB8C3F">
      <w:pPr>
        <w:pageBreakBefore w:val="0"/>
        <w:widowControl w:val="0"/>
        <w:kinsoku/>
        <w:wordWrap/>
        <w:overflowPunct/>
        <w:topLinePunct w:val="0"/>
        <w:autoSpaceDN/>
        <w:bidi w:val="0"/>
        <w:spacing w:line="360" w:lineRule="auto"/>
        <w:ind w:firstLine="480" w:firstLineChars="200"/>
        <w:textAlignment w:val="auto"/>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1</w:t>
      </w:r>
      <w:r>
        <w:rPr>
          <w:rFonts w:hint="eastAsia" w:ascii="宋体" w:hAnsi="宋体" w:cs="宋体"/>
          <w:bCs/>
          <w:color w:val="000000" w:themeColor="text1"/>
          <w:kern w:val="2"/>
          <w:sz w:val="24"/>
          <w:szCs w:val="24"/>
          <w:highlight w:val="none"/>
          <w:lang w:val="en-US" w:eastAsia="zh-CN" w:bidi="ar-SA"/>
          <w14:textFill>
            <w14:solidFill>
              <w14:schemeClr w14:val="tx1"/>
            </w14:solidFill>
          </w14:textFill>
        </w:rPr>
        <w:t>0</w:t>
      </w: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、投标人用于工程的各项材料的品牌、品种、花色、规格、性能、加工工艺及精度要求等指标需符合本项目设计要求</w:t>
      </w:r>
      <w:r>
        <w:rPr>
          <w:rFonts w:hint="eastAsia" w:ascii="宋体" w:hAnsi="宋体" w:cs="宋体"/>
          <w:bCs/>
          <w:color w:val="000000" w:themeColor="text1"/>
          <w:kern w:val="2"/>
          <w:sz w:val="24"/>
          <w:szCs w:val="24"/>
          <w:highlight w:val="none"/>
          <w:lang w:val="en-US" w:eastAsia="zh-CN" w:bidi="ar-SA"/>
          <w14:textFill>
            <w14:solidFill>
              <w14:schemeClr w14:val="tx1"/>
            </w14:solidFill>
          </w14:textFill>
        </w:rPr>
        <w:t>。</w:t>
      </w: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本项目所涉及到的所有产品及材料进场时，均需经本项目监理签字确认并经采购人确认后方可使用。如未经采购人确认擅自安装的，后续所造成的更换、拆除费用均由成交人自行承担。</w:t>
      </w:r>
    </w:p>
    <w:p w14:paraId="58861620">
      <w:pPr>
        <w:numPr>
          <w:ilvl w:val="0"/>
          <w:numId w:val="0"/>
        </w:numPr>
        <w:rPr>
          <w:rFonts w:hint="eastAsia"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lang w:eastAsia="zh-CN"/>
          <w14:textFill>
            <w14:solidFill>
              <w14:schemeClr w14:val="tx1"/>
            </w14:solidFill>
          </w14:textFill>
        </w:rPr>
        <w:t>（</w:t>
      </w:r>
      <w:r>
        <w:rPr>
          <w:rFonts w:hint="eastAsia" w:asciiTheme="minorEastAsia" w:hAnsiTheme="minorEastAsia" w:eastAsiaTheme="minorEastAsia"/>
          <w:b/>
          <w:color w:val="000000" w:themeColor="text1"/>
          <w:sz w:val="24"/>
          <w:highlight w:val="none"/>
          <w:lang w:val="en-US" w:eastAsia="zh-CN"/>
          <w14:textFill>
            <w14:solidFill>
              <w14:schemeClr w14:val="tx1"/>
            </w14:solidFill>
          </w14:textFill>
        </w:rPr>
        <w:t>二</w:t>
      </w:r>
      <w:r>
        <w:rPr>
          <w:rFonts w:hint="eastAsia" w:asciiTheme="minorEastAsia" w:hAnsiTheme="minorEastAsia" w:eastAsiaTheme="minorEastAsia"/>
          <w:b/>
          <w:color w:val="000000" w:themeColor="text1"/>
          <w:sz w:val="24"/>
          <w:highlight w:val="none"/>
          <w:lang w:eastAsia="zh-CN"/>
          <w14:textFill>
            <w14:solidFill>
              <w14:schemeClr w14:val="tx1"/>
            </w14:solidFill>
          </w14:textFill>
        </w:rPr>
        <w:t>）</w:t>
      </w:r>
      <w:r>
        <w:rPr>
          <w:rFonts w:hint="eastAsia" w:asciiTheme="minorEastAsia" w:hAnsiTheme="minorEastAsia" w:eastAsiaTheme="minorEastAsia"/>
          <w:b/>
          <w:color w:val="000000" w:themeColor="text1"/>
          <w:sz w:val="24"/>
          <w:highlight w:val="none"/>
          <w14:textFill>
            <w14:solidFill>
              <w14:schemeClr w14:val="tx1"/>
            </w14:solidFill>
          </w14:textFill>
        </w:rPr>
        <w:t>其他要求</w:t>
      </w:r>
    </w:p>
    <w:p w14:paraId="16E72791">
      <w:pPr>
        <w:spacing w:line="360" w:lineRule="auto"/>
        <w:ind w:firstLine="480" w:firstLineChars="200"/>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1、施工组织设计要求：包含施工方案与技术措施（施工工艺、资源配备计划、重点难点分析）、质量管理体系与保证措施（质量目标和体系、质量保证措施、物资材料质量）、环境保护管理体系与措施（环境保护措施、扬尘施工措施、降低噪音技术措施、环保培训计划）、工程进度计划与措施、安全管理体系与措施（安全管理目标、安全管理体系、安全技术措施、安全应急救援预案）、主要施工机械设备配备（施工机械设备配备、施工机械设备进场计划、施工机械设备保证措施）等内容。</w:t>
      </w:r>
    </w:p>
    <w:p w14:paraId="1054499A">
      <w:pPr>
        <w:pStyle w:val="9"/>
        <w:ind w:firstLine="482" w:firstLineChars="200"/>
        <w:rPr>
          <w:rFonts w:hint="eastAsia" w:cs="Times New Roman" w:asciiTheme="minorEastAsia" w:hAnsiTheme="minorEastAsia" w:eastAsiaTheme="minorEastAsia"/>
          <w:b/>
          <w:color w:val="000000" w:themeColor="text1"/>
          <w:kern w:val="2"/>
          <w:sz w:val="24"/>
          <w:szCs w:val="24"/>
          <w:highlight w:val="none"/>
          <w:lang w:val="en-US" w:eastAsia="zh-CN" w:bidi="ar-SA"/>
          <w14:textFill>
            <w14:solidFill>
              <w14:schemeClr w14:val="tx1"/>
            </w14:solidFill>
          </w14:textFill>
        </w:rPr>
      </w:pPr>
      <w:r>
        <w:rPr>
          <w:rFonts w:hint="eastAsia" w:cs="Times New Roman" w:asciiTheme="minorEastAsia" w:hAnsiTheme="minorEastAsia" w:eastAsiaTheme="minorEastAsia"/>
          <w:b/>
          <w:color w:val="000000" w:themeColor="text1"/>
          <w:kern w:val="2"/>
          <w:sz w:val="24"/>
          <w:szCs w:val="24"/>
          <w:highlight w:val="none"/>
          <w:lang w:val="en-US" w:eastAsia="zh-CN" w:bidi="ar-SA"/>
          <w14:textFill>
            <w14:solidFill>
              <w14:schemeClr w14:val="tx1"/>
            </w14:solidFill>
          </w14:textFill>
        </w:rPr>
        <w:t>2、详见工程量清单（附件2）</w:t>
      </w:r>
    </w:p>
    <w:p w14:paraId="082089B9">
      <w:pPr>
        <w:pStyle w:val="17"/>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br w:type="page"/>
      </w:r>
      <w:bookmarkEnd w:id="69"/>
      <w:bookmarkEnd w:id="70"/>
      <w:bookmarkEnd w:id="71"/>
      <w:bookmarkEnd w:id="72"/>
      <w:bookmarkEnd w:id="73"/>
      <w:bookmarkStart w:id="85" w:name="_Toc509579145"/>
      <w:bookmarkStart w:id="86" w:name="_Toc531596551"/>
      <w:bookmarkStart w:id="87" w:name="_Toc217446057"/>
      <w:bookmarkStart w:id="88" w:name="_Toc183582232"/>
      <w:bookmarkStart w:id="89" w:name="_Toc183682369"/>
      <w:r>
        <w:rPr>
          <w:rFonts w:hint="eastAsia" w:asciiTheme="minorEastAsia" w:hAnsiTheme="minorEastAsia" w:eastAsiaTheme="minorEastAsia"/>
          <w:color w:val="000000" w:themeColor="text1"/>
          <w:highlight w:val="none"/>
          <w14:textFill>
            <w14:solidFill>
              <w14:schemeClr w14:val="tx1"/>
            </w14:solidFill>
          </w14:textFill>
        </w:rPr>
        <w:t>第六章磋商内容、磋商过程中可实质性变动的内容</w:t>
      </w:r>
      <w:bookmarkEnd w:id="85"/>
      <w:bookmarkEnd w:id="86"/>
    </w:p>
    <w:p w14:paraId="16A56AC9">
      <w:pPr>
        <w:pStyle w:val="3"/>
        <w:keepNext w:val="0"/>
        <w:keepLines w:val="0"/>
        <w:spacing w:before="0" w:after="0" w:line="360" w:lineRule="auto"/>
        <w:rPr>
          <w:rFonts w:asciiTheme="minorEastAsia" w:hAnsiTheme="minorEastAsia" w:eastAsiaTheme="minorEastAsia"/>
          <w:color w:val="000000" w:themeColor="text1"/>
          <w:sz w:val="24"/>
          <w:szCs w:val="24"/>
          <w:highlight w:val="none"/>
          <w14:textFill>
            <w14:solidFill>
              <w14:schemeClr w14:val="tx1"/>
            </w14:solidFill>
          </w14:textFill>
        </w:rPr>
      </w:pPr>
    </w:p>
    <w:p w14:paraId="376933CC">
      <w:pPr>
        <w:tabs>
          <w:tab w:val="left" w:pos="7665"/>
        </w:tabs>
        <w:spacing w:line="360" w:lineRule="auto"/>
        <w:ind w:firstLine="480"/>
        <w:rPr>
          <w:rFonts w:asciiTheme="minorEastAsia" w:hAnsiTheme="minorEastAsia" w:eastAsiaTheme="minorEastAsia"/>
          <w:bCs/>
          <w:color w:val="000000" w:themeColor="text1"/>
          <w:sz w:val="24"/>
          <w:highlight w:val="none"/>
          <w14:textFill>
            <w14:solidFill>
              <w14:schemeClr w14:val="tx1"/>
            </w14:solidFill>
          </w14:textFill>
        </w:rPr>
      </w:pPr>
    </w:p>
    <w:p w14:paraId="553C1648">
      <w:pPr>
        <w:tabs>
          <w:tab w:val="left" w:pos="7665"/>
        </w:tabs>
        <w:spacing w:line="360" w:lineRule="auto"/>
        <w:ind w:firstLine="480"/>
        <w:rPr>
          <w:rFonts w:asciiTheme="minorEastAsia" w:hAnsiTheme="minorEastAsia" w:eastAsiaTheme="minorEastAsia"/>
          <w:bCs/>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针对第五章、第九章所包含的技术、服务要求以及合同草案条款，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7F947E5E">
      <w:pPr>
        <w:tabs>
          <w:tab w:val="left" w:pos="7665"/>
        </w:tabs>
        <w:spacing w:line="360" w:lineRule="auto"/>
        <w:ind w:firstLine="480"/>
        <w:rPr>
          <w:rFonts w:asciiTheme="minorEastAsia" w:hAnsiTheme="minorEastAsia" w:eastAsiaTheme="minorEastAsia"/>
          <w:bCs/>
          <w:color w:val="000000" w:themeColor="text1"/>
          <w:sz w:val="24"/>
          <w:highlight w:val="none"/>
          <w14:textFill>
            <w14:solidFill>
              <w14:schemeClr w14:val="tx1"/>
            </w14:solidFill>
          </w14:textFill>
        </w:rPr>
      </w:pPr>
    </w:p>
    <w:p w14:paraId="49F24CAB">
      <w:pPr>
        <w:tabs>
          <w:tab w:val="left" w:pos="7665"/>
        </w:tabs>
        <w:spacing w:line="360" w:lineRule="auto"/>
        <w:ind w:firstLine="480"/>
        <w:rPr>
          <w:rFonts w:asciiTheme="minorEastAsia" w:hAnsiTheme="minorEastAsia" w:eastAsiaTheme="minorEastAsia"/>
          <w:bCs/>
          <w:color w:val="000000" w:themeColor="text1"/>
          <w:sz w:val="24"/>
          <w:highlight w:val="none"/>
          <w14:textFill>
            <w14:solidFill>
              <w14:schemeClr w14:val="tx1"/>
            </w14:solidFill>
          </w14:textFill>
        </w:rPr>
      </w:pPr>
    </w:p>
    <w:p w14:paraId="55F4BD88">
      <w:pPr>
        <w:tabs>
          <w:tab w:val="left" w:pos="7665"/>
        </w:tabs>
        <w:spacing w:line="360" w:lineRule="auto"/>
        <w:ind w:firstLine="480"/>
        <w:rPr>
          <w:rFonts w:asciiTheme="minorEastAsia" w:hAnsiTheme="minorEastAsia" w:eastAsiaTheme="minorEastAsia"/>
          <w:bCs/>
          <w:color w:val="000000" w:themeColor="text1"/>
          <w:sz w:val="24"/>
          <w:highlight w:val="none"/>
          <w14:textFill>
            <w14:solidFill>
              <w14:schemeClr w14:val="tx1"/>
            </w14:solidFill>
          </w14:textFill>
        </w:rPr>
      </w:pPr>
    </w:p>
    <w:p w14:paraId="198A7E59">
      <w:pPr>
        <w:tabs>
          <w:tab w:val="left" w:pos="7665"/>
        </w:tabs>
        <w:spacing w:line="360" w:lineRule="auto"/>
        <w:ind w:firstLine="480"/>
        <w:jc w:val="center"/>
        <w:rPr>
          <w:rFonts w:asciiTheme="minorEastAsia" w:hAnsiTheme="minorEastAsia" w:eastAsiaTheme="minorEastAsia"/>
          <w:b/>
          <w:bCs/>
          <w:color w:val="000000" w:themeColor="text1"/>
          <w:sz w:val="32"/>
          <w:szCs w:val="32"/>
          <w:highlight w:val="none"/>
          <w14:textFill>
            <w14:solidFill>
              <w14:schemeClr w14:val="tx1"/>
            </w14:solidFill>
          </w14:textFill>
        </w:rPr>
      </w:pPr>
    </w:p>
    <w:p w14:paraId="5635145E">
      <w:pPr>
        <w:tabs>
          <w:tab w:val="left" w:pos="7665"/>
        </w:tabs>
        <w:spacing w:line="360" w:lineRule="auto"/>
        <w:ind w:firstLine="480"/>
        <w:jc w:val="center"/>
        <w:rPr>
          <w:rFonts w:asciiTheme="minorEastAsia" w:hAnsiTheme="minorEastAsia" w:eastAsiaTheme="minorEastAsia"/>
          <w:b/>
          <w:bCs/>
          <w:color w:val="000000" w:themeColor="text1"/>
          <w:sz w:val="32"/>
          <w:szCs w:val="32"/>
          <w:highlight w:val="none"/>
          <w14:textFill>
            <w14:solidFill>
              <w14:schemeClr w14:val="tx1"/>
            </w14:solidFill>
          </w14:textFill>
        </w:rPr>
      </w:pPr>
    </w:p>
    <w:p w14:paraId="623AD25F">
      <w:pPr>
        <w:tabs>
          <w:tab w:val="left" w:pos="7665"/>
        </w:tabs>
        <w:spacing w:line="360" w:lineRule="auto"/>
        <w:ind w:firstLine="480"/>
        <w:jc w:val="center"/>
        <w:rPr>
          <w:rFonts w:asciiTheme="minorEastAsia" w:hAnsiTheme="minorEastAsia" w:eastAsiaTheme="minorEastAsia"/>
          <w:b/>
          <w:bCs/>
          <w:color w:val="000000" w:themeColor="text1"/>
          <w:sz w:val="32"/>
          <w:szCs w:val="32"/>
          <w:highlight w:val="none"/>
          <w14:textFill>
            <w14:solidFill>
              <w14:schemeClr w14:val="tx1"/>
            </w14:solidFill>
          </w14:textFill>
        </w:rPr>
      </w:pPr>
    </w:p>
    <w:p w14:paraId="0CEC3A3F">
      <w:pPr>
        <w:tabs>
          <w:tab w:val="left" w:pos="7665"/>
        </w:tabs>
        <w:spacing w:line="360" w:lineRule="auto"/>
        <w:ind w:firstLine="480"/>
        <w:rPr>
          <w:rFonts w:asciiTheme="minorEastAsia" w:hAnsiTheme="minorEastAsia" w:eastAsiaTheme="minorEastAsia"/>
          <w:bCs/>
          <w:color w:val="000000" w:themeColor="text1"/>
          <w:sz w:val="24"/>
          <w:highlight w:val="none"/>
          <w14:textFill>
            <w14:solidFill>
              <w14:schemeClr w14:val="tx1"/>
            </w14:solidFill>
          </w14:textFill>
        </w:rPr>
      </w:pPr>
    </w:p>
    <w:p w14:paraId="1D2F03B1">
      <w:pPr>
        <w:tabs>
          <w:tab w:val="left" w:pos="7665"/>
        </w:tabs>
        <w:spacing w:line="360" w:lineRule="auto"/>
        <w:ind w:firstLine="480"/>
        <w:rPr>
          <w:rFonts w:asciiTheme="minorEastAsia" w:hAnsiTheme="minorEastAsia" w:eastAsiaTheme="minorEastAsia"/>
          <w:b/>
          <w:bCs/>
          <w:color w:val="000000" w:themeColor="text1"/>
          <w:sz w:val="32"/>
          <w:szCs w:val="32"/>
          <w:highlight w:val="none"/>
          <w14:textFill>
            <w14:solidFill>
              <w14:schemeClr w14:val="tx1"/>
            </w14:solidFill>
          </w14:textFill>
        </w:rPr>
      </w:pPr>
    </w:p>
    <w:p w14:paraId="357FB324">
      <w:pPr>
        <w:tabs>
          <w:tab w:val="left" w:pos="7665"/>
        </w:tabs>
        <w:spacing w:line="360" w:lineRule="auto"/>
        <w:ind w:firstLine="480"/>
        <w:rPr>
          <w:rFonts w:asciiTheme="minorEastAsia" w:hAnsiTheme="minorEastAsia" w:eastAsiaTheme="minorEastAsia"/>
          <w:b/>
          <w:bCs/>
          <w:color w:val="000000" w:themeColor="text1"/>
          <w:sz w:val="32"/>
          <w:szCs w:val="32"/>
          <w:highlight w:val="none"/>
          <w14:textFill>
            <w14:solidFill>
              <w14:schemeClr w14:val="tx1"/>
            </w14:solidFill>
          </w14:textFill>
        </w:rPr>
      </w:pPr>
    </w:p>
    <w:p w14:paraId="633C1A1C">
      <w:pPr>
        <w:pStyle w:val="17"/>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br w:type="page"/>
      </w:r>
      <w:bookmarkStart w:id="90" w:name="_Toc509579146"/>
      <w:bookmarkStart w:id="91" w:name="_Toc531596552"/>
      <w:r>
        <w:rPr>
          <w:rFonts w:hint="eastAsia" w:asciiTheme="minorEastAsia" w:hAnsiTheme="minorEastAsia" w:eastAsiaTheme="minorEastAsia"/>
          <w:color w:val="000000" w:themeColor="text1"/>
          <w:highlight w:val="none"/>
          <w14:textFill>
            <w14:solidFill>
              <w14:schemeClr w14:val="tx1"/>
            </w14:solidFill>
          </w14:textFill>
        </w:rPr>
        <w:t>第七章响应文件格式</w:t>
      </w:r>
      <w:bookmarkEnd w:id="90"/>
      <w:bookmarkEnd w:id="91"/>
    </w:p>
    <w:p w14:paraId="4559B33A">
      <w:pPr>
        <w:tabs>
          <w:tab w:val="left" w:pos="7665"/>
        </w:tabs>
        <w:spacing w:line="360" w:lineRule="auto"/>
        <w:ind w:firstLine="480"/>
        <w:rPr>
          <w:rFonts w:asciiTheme="minorEastAsia" w:hAnsiTheme="minorEastAsia" w:eastAsiaTheme="minorEastAsia"/>
          <w:bCs/>
          <w:color w:val="000000" w:themeColor="text1"/>
          <w:sz w:val="24"/>
          <w:highlight w:val="none"/>
          <w14:textFill>
            <w14:solidFill>
              <w14:schemeClr w14:val="tx1"/>
            </w14:solidFill>
          </w14:textFill>
        </w:rPr>
      </w:pPr>
    </w:p>
    <w:p w14:paraId="417C0C5D">
      <w:pPr>
        <w:spacing w:line="360" w:lineRule="auto"/>
        <w:jc w:val="left"/>
        <w:rPr>
          <w:rFonts w:asciiTheme="minorEastAsia" w:hAnsiTheme="minorEastAsia" w:eastAsiaTheme="minorEastAsia"/>
          <w:b/>
          <w:color w:val="000000" w:themeColor="text1"/>
          <w:sz w:val="32"/>
          <w:szCs w:val="32"/>
          <w:highlight w:val="none"/>
          <w14:textFill>
            <w14:solidFill>
              <w14:schemeClr w14:val="tx1"/>
            </w14:solidFill>
          </w14:textFill>
        </w:rPr>
      </w:pPr>
    </w:p>
    <w:p w14:paraId="5DDBBF83">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一、本章所制响应文件格式，除格式中明确将该格式作为实质性要求的，一律不具有强制性，但是，供应商响应文件相关资料和本章所制格式不一致的，磋商小组将在评分时以响应文件不规范予以扣分处理。</w:t>
      </w:r>
    </w:p>
    <w:p w14:paraId="0AC3E4FD">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二、本章所制响应文件格式有关表格中的备注栏，由供应商根据自身响应情况作解释性说明，不作为必填项。</w:t>
      </w:r>
    </w:p>
    <w:p w14:paraId="4C3DC3CF">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三、本章所制响应文件格式中需要填写的相关内容事项，可能会与本采购项目无关，在不改变响应文件原义、不影响本项目采购需求的情况下，供应商可以不予填写，但应当注明。</w:t>
      </w:r>
    </w:p>
    <w:p w14:paraId="0E687058">
      <w:pPr>
        <w:spacing w:line="360" w:lineRule="auto"/>
        <w:jc w:val="center"/>
        <w:rPr>
          <w:rFonts w:asciiTheme="minorEastAsia" w:hAnsiTheme="minorEastAsia" w:eastAsiaTheme="minorEastAsia"/>
          <w:b/>
          <w:color w:val="000000" w:themeColor="text1"/>
          <w:sz w:val="32"/>
          <w:szCs w:val="32"/>
          <w:highlight w:val="none"/>
          <w14:textFill>
            <w14:solidFill>
              <w14:schemeClr w14:val="tx1"/>
            </w14:solidFill>
          </w14:textFill>
        </w:rPr>
      </w:pPr>
    </w:p>
    <w:p w14:paraId="201D5CC5">
      <w:pPr>
        <w:spacing w:line="360" w:lineRule="auto"/>
        <w:jc w:val="center"/>
        <w:rPr>
          <w:rFonts w:asciiTheme="minorEastAsia" w:hAnsiTheme="minorEastAsia" w:eastAsiaTheme="minorEastAsia"/>
          <w:b/>
          <w:color w:val="000000" w:themeColor="text1"/>
          <w:sz w:val="32"/>
          <w:szCs w:val="32"/>
          <w:highlight w:val="none"/>
          <w14:textFill>
            <w14:solidFill>
              <w14:schemeClr w14:val="tx1"/>
            </w14:solidFill>
          </w14:textFill>
        </w:rPr>
      </w:pPr>
      <w:r>
        <w:rPr>
          <w:rFonts w:asciiTheme="minorEastAsia" w:hAnsiTheme="minorEastAsia" w:eastAsiaTheme="minorEastAsia"/>
          <w:b/>
          <w:color w:val="000000" w:themeColor="text1"/>
          <w:sz w:val="32"/>
          <w:szCs w:val="32"/>
          <w:highlight w:val="none"/>
          <w14:textFill>
            <w14:solidFill>
              <w14:schemeClr w14:val="tx1"/>
            </w14:solidFill>
          </w14:textFill>
        </w:rPr>
        <w:br w:type="page"/>
      </w:r>
      <w:r>
        <w:rPr>
          <w:rFonts w:hint="eastAsia" w:asciiTheme="minorEastAsia" w:hAnsiTheme="minorEastAsia" w:eastAsiaTheme="minorEastAsia"/>
          <w:b/>
          <w:color w:val="000000" w:themeColor="text1"/>
          <w:sz w:val="32"/>
          <w:highlight w:val="none"/>
          <w14:textFill>
            <w14:solidFill>
              <w14:schemeClr w14:val="tx1"/>
            </w14:solidFill>
          </w14:textFill>
        </w:rPr>
        <w:t>第一部分“资格性响应文件”格式</w:t>
      </w:r>
    </w:p>
    <w:p w14:paraId="45F8BBB2">
      <w:pPr>
        <w:spacing w:line="360" w:lineRule="auto"/>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格式</w:t>
      </w:r>
      <w:r>
        <w:rPr>
          <w:rFonts w:asciiTheme="minorEastAsia" w:hAnsiTheme="minorEastAsia" w:eastAsiaTheme="minorEastAsia"/>
          <w:b/>
          <w:color w:val="000000" w:themeColor="text1"/>
          <w:sz w:val="28"/>
          <w:szCs w:val="28"/>
          <w:highlight w:val="none"/>
          <w14:textFill>
            <w14:solidFill>
              <w14:schemeClr w14:val="tx1"/>
            </w14:solidFill>
          </w14:textFill>
        </w:rPr>
        <w:t>1-1</w:t>
      </w:r>
    </w:p>
    <w:p w14:paraId="6E4808A3">
      <w:pPr>
        <w:spacing w:line="360" w:lineRule="auto"/>
        <w:jc w:val="center"/>
        <w:rPr>
          <w:rFonts w:asciiTheme="minorEastAsia" w:hAnsiTheme="minorEastAsia" w:eastAsiaTheme="minorEastAsia"/>
          <w:b/>
          <w:color w:val="000000" w:themeColor="text1"/>
          <w:sz w:val="32"/>
          <w:szCs w:val="32"/>
          <w:highlight w:val="none"/>
          <w14:textFill>
            <w14:solidFill>
              <w14:schemeClr w14:val="tx1"/>
            </w14:solidFill>
          </w14:textFill>
        </w:rPr>
      </w:pPr>
    </w:p>
    <w:p w14:paraId="718F37F7">
      <w:pPr>
        <w:spacing w:line="360" w:lineRule="auto"/>
        <w:jc w:val="right"/>
        <w:rPr>
          <w:rFonts w:asciiTheme="minorEastAsia" w:hAnsiTheme="minorEastAsia" w:eastAsiaTheme="minorEastAsia"/>
          <w:b/>
          <w:color w:val="000000" w:themeColor="text1"/>
          <w:sz w:val="36"/>
          <w:highlight w:val="none"/>
          <w14:textFill>
            <w14:solidFill>
              <w14:schemeClr w14:val="tx1"/>
            </w14:solidFill>
          </w14:textFill>
        </w:rPr>
      </w:pPr>
      <w:r>
        <w:rPr>
          <w:rFonts w:hint="eastAsia" w:asciiTheme="minorEastAsia" w:hAnsiTheme="minorEastAsia" w:eastAsiaTheme="minorEastAsia"/>
          <w:b/>
          <w:color w:val="000000" w:themeColor="text1"/>
          <w:sz w:val="36"/>
          <w:highlight w:val="none"/>
          <w14:textFill>
            <w14:solidFill>
              <w14:schemeClr w14:val="tx1"/>
            </w14:solidFill>
          </w14:textFill>
        </w:rPr>
        <w:t>（正本</w:t>
      </w:r>
      <w:r>
        <w:rPr>
          <w:rFonts w:asciiTheme="minorEastAsia" w:hAnsiTheme="minorEastAsia" w:eastAsiaTheme="minorEastAsia"/>
          <w:b/>
          <w:color w:val="000000" w:themeColor="text1"/>
          <w:sz w:val="36"/>
          <w:highlight w:val="none"/>
          <w14:textFill>
            <w14:solidFill>
              <w14:schemeClr w14:val="tx1"/>
            </w14:solidFill>
          </w14:textFill>
        </w:rPr>
        <w:t>/</w:t>
      </w:r>
      <w:r>
        <w:rPr>
          <w:rFonts w:hint="eastAsia" w:asciiTheme="minorEastAsia" w:hAnsiTheme="minorEastAsia" w:eastAsiaTheme="minorEastAsia"/>
          <w:b/>
          <w:color w:val="000000" w:themeColor="text1"/>
          <w:sz w:val="36"/>
          <w:highlight w:val="none"/>
          <w14:textFill>
            <w14:solidFill>
              <w14:schemeClr w14:val="tx1"/>
            </w14:solidFill>
          </w14:textFill>
        </w:rPr>
        <w:t>副本）</w:t>
      </w:r>
    </w:p>
    <w:p w14:paraId="7901056E">
      <w:pPr>
        <w:spacing w:line="360" w:lineRule="auto"/>
        <w:jc w:val="center"/>
        <w:rPr>
          <w:rFonts w:asciiTheme="minorEastAsia" w:hAnsiTheme="minorEastAsia" w:eastAsiaTheme="minorEastAsia"/>
          <w:b/>
          <w:color w:val="000000" w:themeColor="text1"/>
          <w:sz w:val="72"/>
          <w:highlight w:val="none"/>
          <w14:textFill>
            <w14:solidFill>
              <w14:schemeClr w14:val="tx1"/>
            </w14:solidFill>
          </w14:textFill>
        </w:rPr>
      </w:pPr>
      <w:r>
        <w:rPr>
          <w:rFonts w:asciiTheme="minorEastAsia" w:hAnsiTheme="minorEastAsia" w:eastAsiaTheme="minorEastAsia"/>
          <w:b/>
          <w:color w:val="000000" w:themeColor="text1"/>
          <w:sz w:val="40"/>
          <w:szCs w:val="48"/>
          <w:highlight w:val="none"/>
          <w:u w:val="single"/>
          <w14:textFill>
            <w14:solidFill>
              <w14:schemeClr w14:val="tx1"/>
            </w14:solidFill>
          </w14:textFill>
        </w:rPr>
        <w:t>XX</w:t>
      </w:r>
      <w:r>
        <w:rPr>
          <w:rFonts w:hint="eastAsia" w:asciiTheme="minorEastAsia" w:hAnsiTheme="minorEastAsia" w:eastAsiaTheme="minorEastAsia"/>
          <w:b/>
          <w:color w:val="000000" w:themeColor="text1"/>
          <w:sz w:val="40"/>
          <w:szCs w:val="48"/>
          <w:highlight w:val="none"/>
          <w14:textFill>
            <w14:solidFill>
              <w14:schemeClr w14:val="tx1"/>
            </w14:solidFill>
          </w14:textFill>
        </w:rPr>
        <w:t>项目</w:t>
      </w:r>
    </w:p>
    <w:p w14:paraId="1B036B2D">
      <w:pPr>
        <w:spacing w:line="360" w:lineRule="auto"/>
        <w:rPr>
          <w:rFonts w:asciiTheme="minorEastAsia" w:hAnsiTheme="minorEastAsia" w:eastAsiaTheme="minorEastAsia"/>
          <w:b/>
          <w:color w:val="000000" w:themeColor="text1"/>
          <w:sz w:val="52"/>
          <w:szCs w:val="52"/>
          <w:highlight w:val="none"/>
          <w14:textFill>
            <w14:solidFill>
              <w14:schemeClr w14:val="tx1"/>
            </w14:solidFill>
          </w14:textFill>
        </w:rPr>
      </w:pPr>
    </w:p>
    <w:p w14:paraId="781426EB">
      <w:pPr>
        <w:spacing w:line="360" w:lineRule="auto"/>
        <w:jc w:val="center"/>
        <w:rPr>
          <w:rFonts w:asciiTheme="minorEastAsia" w:hAnsiTheme="minorEastAsia" w:eastAsiaTheme="minorEastAsia"/>
          <w:b/>
          <w:color w:val="000000" w:themeColor="text1"/>
          <w:sz w:val="32"/>
          <w:szCs w:val="32"/>
          <w:highlight w:val="none"/>
          <w14:textFill>
            <w14:solidFill>
              <w14:schemeClr w14:val="tx1"/>
            </w14:solidFill>
          </w14:textFill>
        </w:rPr>
      </w:pPr>
      <w:r>
        <w:rPr>
          <w:rFonts w:hint="eastAsia" w:asciiTheme="minorEastAsia" w:hAnsiTheme="minorEastAsia" w:eastAsiaTheme="minorEastAsia"/>
          <w:b/>
          <w:color w:val="000000" w:themeColor="text1"/>
          <w:sz w:val="52"/>
          <w:szCs w:val="52"/>
          <w:highlight w:val="none"/>
          <w14:textFill>
            <w14:solidFill>
              <w14:schemeClr w14:val="tx1"/>
            </w14:solidFill>
          </w14:textFill>
        </w:rPr>
        <w:t>资格性响应文件</w:t>
      </w:r>
    </w:p>
    <w:p w14:paraId="61A0F316">
      <w:pPr>
        <w:spacing w:line="360" w:lineRule="auto"/>
        <w:rPr>
          <w:rFonts w:asciiTheme="minorEastAsia" w:hAnsiTheme="minorEastAsia" w:eastAsiaTheme="minorEastAsia"/>
          <w:b/>
          <w:color w:val="000000" w:themeColor="text1"/>
          <w:sz w:val="36"/>
          <w:highlight w:val="none"/>
          <w14:textFill>
            <w14:solidFill>
              <w14:schemeClr w14:val="tx1"/>
            </w14:solidFill>
          </w14:textFill>
        </w:rPr>
      </w:pPr>
    </w:p>
    <w:p w14:paraId="12FFA170">
      <w:pPr>
        <w:spacing w:line="360" w:lineRule="auto"/>
        <w:rPr>
          <w:rFonts w:asciiTheme="minorEastAsia" w:hAnsiTheme="minorEastAsia" w:eastAsiaTheme="minorEastAsia"/>
          <w:b/>
          <w:color w:val="000000" w:themeColor="text1"/>
          <w:sz w:val="36"/>
          <w:highlight w:val="none"/>
          <w14:textFill>
            <w14:solidFill>
              <w14:schemeClr w14:val="tx1"/>
            </w14:solidFill>
          </w14:textFill>
        </w:rPr>
      </w:pPr>
    </w:p>
    <w:p w14:paraId="4199A210">
      <w:pPr>
        <w:spacing w:line="360" w:lineRule="auto"/>
        <w:ind w:firstLine="643" w:firstLineChars="200"/>
        <w:jc w:val="left"/>
        <w:rPr>
          <w:rFonts w:asciiTheme="minorEastAsia" w:hAnsiTheme="minorEastAsia" w:eastAsiaTheme="minorEastAsia"/>
          <w:b/>
          <w:color w:val="000000" w:themeColor="text1"/>
          <w:sz w:val="32"/>
          <w:highlight w:val="none"/>
          <w:u w:val="single"/>
          <w14:textFill>
            <w14:solidFill>
              <w14:schemeClr w14:val="tx1"/>
            </w14:solidFill>
          </w14:textFill>
        </w:rPr>
      </w:pPr>
      <w:r>
        <w:rPr>
          <w:rFonts w:hint="eastAsia" w:asciiTheme="minorEastAsia" w:hAnsiTheme="minorEastAsia" w:eastAsiaTheme="minorEastAsia"/>
          <w:b/>
          <w:color w:val="000000" w:themeColor="text1"/>
          <w:sz w:val="32"/>
          <w:highlight w:val="none"/>
          <w14:textFill>
            <w14:solidFill>
              <w14:schemeClr w14:val="tx1"/>
            </w14:solidFill>
          </w14:textFill>
        </w:rPr>
        <w:t>供应商名称：</w:t>
      </w:r>
    </w:p>
    <w:p w14:paraId="1232972A">
      <w:pPr>
        <w:spacing w:line="360" w:lineRule="auto"/>
        <w:ind w:firstLine="643" w:firstLineChars="200"/>
        <w:jc w:val="left"/>
        <w:rPr>
          <w:rFonts w:asciiTheme="minorEastAsia" w:hAnsiTheme="minorEastAsia" w:eastAsiaTheme="minorEastAsia"/>
          <w:b/>
          <w:color w:val="000000" w:themeColor="text1"/>
          <w:sz w:val="32"/>
          <w:highlight w:val="none"/>
          <w:u w:val="single"/>
          <w14:textFill>
            <w14:solidFill>
              <w14:schemeClr w14:val="tx1"/>
            </w14:solidFill>
          </w14:textFill>
        </w:rPr>
      </w:pPr>
      <w:r>
        <w:rPr>
          <w:rFonts w:hint="eastAsia" w:asciiTheme="minorEastAsia" w:hAnsiTheme="minorEastAsia" w:eastAsiaTheme="minorEastAsia"/>
          <w:b/>
          <w:color w:val="000000" w:themeColor="text1"/>
          <w:sz w:val="32"/>
          <w:highlight w:val="none"/>
          <w14:textFill>
            <w14:solidFill>
              <w14:schemeClr w14:val="tx1"/>
            </w14:solidFill>
          </w14:textFill>
        </w:rPr>
        <w:t>采购项目编号：</w:t>
      </w:r>
    </w:p>
    <w:p w14:paraId="182425B9">
      <w:pPr>
        <w:spacing w:line="360" w:lineRule="auto"/>
        <w:ind w:firstLine="643" w:firstLineChars="200"/>
        <w:jc w:val="left"/>
        <w:rPr>
          <w:rFonts w:asciiTheme="minorEastAsia" w:hAnsiTheme="minorEastAsia" w:eastAsiaTheme="minorEastAsia"/>
          <w:b/>
          <w:color w:val="000000" w:themeColor="text1"/>
          <w:sz w:val="36"/>
          <w:highlight w:val="none"/>
          <w14:textFill>
            <w14:solidFill>
              <w14:schemeClr w14:val="tx1"/>
            </w14:solidFill>
          </w14:textFill>
        </w:rPr>
      </w:pPr>
      <w:r>
        <w:rPr>
          <w:rFonts w:hint="eastAsia" w:asciiTheme="minorEastAsia" w:hAnsiTheme="minorEastAsia" w:eastAsiaTheme="minorEastAsia"/>
          <w:b/>
          <w:color w:val="000000" w:themeColor="text1"/>
          <w:sz w:val="32"/>
          <w:highlight w:val="none"/>
          <w14:textFill>
            <w14:solidFill>
              <w14:schemeClr w14:val="tx1"/>
            </w14:solidFill>
          </w14:textFill>
        </w:rPr>
        <w:t>包号：</w:t>
      </w:r>
    </w:p>
    <w:p w14:paraId="00935502">
      <w:pPr>
        <w:spacing w:line="360" w:lineRule="auto"/>
        <w:jc w:val="center"/>
        <w:rPr>
          <w:rFonts w:asciiTheme="minorEastAsia" w:hAnsiTheme="minorEastAsia" w:eastAsiaTheme="minorEastAsia"/>
          <w:b/>
          <w:color w:val="000000" w:themeColor="text1"/>
          <w:sz w:val="36"/>
          <w:highlight w:val="none"/>
          <w14:textFill>
            <w14:solidFill>
              <w14:schemeClr w14:val="tx1"/>
            </w14:solidFill>
          </w14:textFill>
        </w:rPr>
      </w:pPr>
    </w:p>
    <w:p w14:paraId="0B152108">
      <w:pPr>
        <w:spacing w:line="360" w:lineRule="auto"/>
        <w:jc w:val="center"/>
        <w:rPr>
          <w:rFonts w:asciiTheme="minorEastAsia" w:hAnsiTheme="minorEastAsia" w:eastAsiaTheme="minorEastAsia"/>
          <w:b/>
          <w:color w:val="000000" w:themeColor="text1"/>
          <w:sz w:val="36"/>
          <w:highlight w:val="none"/>
          <w14:textFill>
            <w14:solidFill>
              <w14:schemeClr w14:val="tx1"/>
            </w14:solidFill>
          </w14:textFill>
        </w:rPr>
      </w:pPr>
    </w:p>
    <w:p w14:paraId="4D214F2B">
      <w:pPr>
        <w:spacing w:line="360" w:lineRule="auto"/>
        <w:jc w:val="center"/>
        <w:rPr>
          <w:rFonts w:cs="Arial" w:asciiTheme="minorEastAsia" w:hAnsiTheme="minorEastAsia" w:eastAsiaTheme="minorEastAsia"/>
          <w:b/>
          <w:bCs/>
          <w:color w:val="000000" w:themeColor="text1"/>
          <w:sz w:val="32"/>
          <w:szCs w:val="32"/>
          <w:highlight w:val="none"/>
          <w14:textFill>
            <w14:solidFill>
              <w14:schemeClr w14:val="tx1"/>
            </w14:solidFill>
          </w14:textFill>
        </w:rPr>
      </w:pPr>
      <w:r>
        <w:rPr>
          <w:rFonts w:hint="eastAsia" w:asciiTheme="minorEastAsia" w:hAnsiTheme="minorEastAsia" w:eastAsiaTheme="minorEastAsia"/>
          <w:b/>
          <w:color w:val="000000" w:themeColor="text1"/>
          <w:sz w:val="32"/>
          <w:highlight w:val="none"/>
          <w:lang w:eastAsia="zh-CN"/>
          <w14:textFill>
            <w14:solidFill>
              <w14:schemeClr w14:val="tx1"/>
            </w14:solidFill>
          </w14:textFill>
        </w:rPr>
        <w:t>2025</w:t>
      </w:r>
      <w:r>
        <w:rPr>
          <w:rFonts w:hint="eastAsia" w:asciiTheme="minorEastAsia" w:hAnsiTheme="minorEastAsia" w:eastAsiaTheme="minorEastAsia"/>
          <w:b/>
          <w:color w:val="000000" w:themeColor="text1"/>
          <w:sz w:val="32"/>
          <w:highlight w:val="none"/>
          <w14:textFill>
            <w14:solidFill>
              <w14:schemeClr w14:val="tx1"/>
            </w14:solidFill>
          </w14:textFill>
        </w:rPr>
        <w:t>年</w:t>
      </w:r>
      <w:r>
        <w:rPr>
          <w:rFonts w:asciiTheme="minorEastAsia" w:hAnsiTheme="minorEastAsia" w:eastAsiaTheme="minorEastAsia"/>
          <w:b/>
          <w:color w:val="000000" w:themeColor="text1"/>
          <w:sz w:val="32"/>
          <w:highlight w:val="none"/>
          <w14:textFill>
            <w14:solidFill>
              <w14:schemeClr w14:val="tx1"/>
            </w14:solidFill>
          </w14:textFill>
        </w:rPr>
        <w:t>XX</w:t>
      </w:r>
      <w:r>
        <w:rPr>
          <w:rFonts w:hint="eastAsia" w:asciiTheme="minorEastAsia" w:hAnsiTheme="minorEastAsia" w:eastAsiaTheme="minorEastAsia"/>
          <w:b/>
          <w:color w:val="000000" w:themeColor="text1"/>
          <w:sz w:val="32"/>
          <w:highlight w:val="none"/>
          <w14:textFill>
            <w14:solidFill>
              <w14:schemeClr w14:val="tx1"/>
            </w14:solidFill>
          </w14:textFill>
        </w:rPr>
        <w:t>月</w:t>
      </w:r>
      <w:r>
        <w:rPr>
          <w:rFonts w:asciiTheme="minorEastAsia" w:hAnsiTheme="minorEastAsia" w:eastAsiaTheme="minorEastAsia"/>
          <w:b/>
          <w:color w:val="000000" w:themeColor="text1"/>
          <w:sz w:val="32"/>
          <w:highlight w:val="none"/>
          <w14:textFill>
            <w14:solidFill>
              <w14:schemeClr w14:val="tx1"/>
            </w14:solidFill>
          </w14:textFill>
        </w:rPr>
        <w:t>XX</w:t>
      </w:r>
      <w:r>
        <w:rPr>
          <w:rFonts w:hint="eastAsia" w:asciiTheme="minorEastAsia" w:hAnsiTheme="minorEastAsia" w:eastAsiaTheme="minorEastAsia"/>
          <w:b/>
          <w:color w:val="000000" w:themeColor="text1"/>
          <w:sz w:val="32"/>
          <w:highlight w:val="none"/>
          <w14:textFill>
            <w14:solidFill>
              <w14:schemeClr w14:val="tx1"/>
            </w14:solidFill>
          </w14:textFill>
        </w:rPr>
        <w:t>日</w:t>
      </w:r>
    </w:p>
    <w:p w14:paraId="0A8FB9E5">
      <w:pPr>
        <w:widowControl/>
        <w:jc w:val="left"/>
        <w:rPr>
          <w:rFonts w:asciiTheme="minorEastAsia" w:hAnsiTheme="minorEastAsia" w:eastAsiaTheme="minorEastAsia"/>
          <w:b/>
          <w:color w:val="000000" w:themeColor="text1"/>
          <w:sz w:val="32"/>
          <w:szCs w:val="32"/>
          <w:highlight w:val="none"/>
          <w14:textFill>
            <w14:solidFill>
              <w14:schemeClr w14:val="tx1"/>
            </w14:solidFill>
          </w14:textFill>
        </w:rPr>
      </w:pPr>
      <w:r>
        <w:rPr>
          <w:rFonts w:asciiTheme="minorEastAsia" w:hAnsiTheme="minorEastAsia" w:eastAsiaTheme="minorEastAsia"/>
          <w:b/>
          <w:color w:val="000000" w:themeColor="text1"/>
          <w:sz w:val="32"/>
          <w:szCs w:val="32"/>
          <w:highlight w:val="none"/>
          <w14:textFill>
            <w14:solidFill>
              <w14:schemeClr w14:val="tx1"/>
            </w14:solidFill>
          </w14:textFill>
        </w:rPr>
        <w:br w:type="page"/>
      </w:r>
    </w:p>
    <w:p w14:paraId="69076BAC">
      <w:pPr>
        <w:spacing w:line="360" w:lineRule="auto"/>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格式</w:t>
      </w:r>
      <w:r>
        <w:rPr>
          <w:rFonts w:asciiTheme="minorEastAsia" w:hAnsiTheme="minorEastAsia" w:eastAsiaTheme="minorEastAsia"/>
          <w:b/>
          <w:color w:val="000000" w:themeColor="text1"/>
          <w:sz w:val="28"/>
          <w:szCs w:val="28"/>
          <w:highlight w:val="none"/>
          <w14:textFill>
            <w14:solidFill>
              <w14:schemeClr w14:val="tx1"/>
            </w14:solidFill>
          </w14:textFill>
        </w:rPr>
        <w:t>1-2</w:t>
      </w:r>
    </w:p>
    <w:p w14:paraId="0AD43186">
      <w:pPr>
        <w:spacing w:line="360" w:lineRule="auto"/>
        <w:jc w:val="center"/>
        <w:rPr>
          <w:rFonts w:cs="Arial" w:asciiTheme="minorEastAsia" w:hAnsiTheme="minorEastAsia" w:eastAsiaTheme="minorEastAsia"/>
          <w:b/>
          <w:bCs/>
          <w:color w:val="000000" w:themeColor="text1"/>
          <w:sz w:val="32"/>
          <w:szCs w:val="32"/>
          <w:highlight w:val="none"/>
          <w14:textFill>
            <w14:solidFill>
              <w14:schemeClr w14:val="tx1"/>
            </w14:solidFill>
          </w14:textFill>
        </w:rPr>
      </w:pPr>
      <w:r>
        <w:rPr>
          <w:rFonts w:hint="eastAsia" w:cs="Arial" w:asciiTheme="minorEastAsia" w:hAnsiTheme="minorEastAsia" w:eastAsiaTheme="minorEastAsia"/>
          <w:b/>
          <w:bCs/>
          <w:color w:val="000000" w:themeColor="text1"/>
          <w:sz w:val="32"/>
          <w:szCs w:val="32"/>
          <w:highlight w:val="none"/>
          <w14:textFill>
            <w14:solidFill>
              <w14:schemeClr w14:val="tx1"/>
            </w14:solidFill>
          </w14:textFill>
        </w:rPr>
        <w:t>一、法定代表人</w:t>
      </w:r>
      <w:r>
        <w:rPr>
          <w:rFonts w:cs="Arial" w:asciiTheme="minorEastAsia" w:hAnsiTheme="minorEastAsia" w:eastAsiaTheme="minorEastAsia"/>
          <w:b/>
          <w:bCs/>
          <w:color w:val="000000" w:themeColor="text1"/>
          <w:sz w:val="32"/>
          <w:szCs w:val="32"/>
          <w:highlight w:val="none"/>
          <w14:textFill>
            <w14:solidFill>
              <w14:schemeClr w14:val="tx1"/>
            </w14:solidFill>
          </w14:textFill>
        </w:rPr>
        <w:t>/</w:t>
      </w:r>
      <w:r>
        <w:rPr>
          <w:rFonts w:hint="eastAsia" w:cs="Arial" w:asciiTheme="minorEastAsia" w:hAnsiTheme="minorEastAsia" w:eastAsiaTheme="minorEastAsia"/>
          <w:b/>
          <w:bCs/>
          <w:color w:val="000000" w:themeColor="text1"/>
          <w:sz w:val="32"/>
          <w:szCs w:val="32"/>
          <w:highlight w:val="none"/>
          <w14:textFill>
            <w14:solidFill>
              <w14:schemeClr w14:val="tx1"/>
            </w14:solidFill>
          </w14:textFill>
        </w:rPr>
        <w:t>单位负责人授权书</w:t>
      </w:r>
    </w:p>
    <w:p w14:paraId="5C11C20C">
      <w:pPr>
        <w:widowControl/>
        <w:spacing w:line="360" w:lineRule="auto"/>
        <w:ind w:firstLine="472" w:firstLineChars="196"/>
        <w:jc w:val="left"/>
        <w:outlineLvl w:val="1"/>
        <w:rPr>
          <w:rFonts w:asciiTheme="minorEastAsia" w:hAnsiTheme="minorEastAsia" w:eastAsiaTheme="minorEastAsia"/>
          <w:b/>
          <w:color w:val="000000" w:themeColor="text1"/>
          <w:sz w:val="24"/>
          <w:highlight w:val="none"/>
          <w14:textFill>
            <w14:solidFill>
              <w14:schemeClr w14:val="tx1"/>
            </w14:solidFill>
          </w14:textFill>
        </w:rPr>
      </w:pPr>
    </w:p>
    <w:p w14:paraId="58B4D32F">
      <w:pPr>
        <w:widowControl/>
        <w:spacing w:line="360" w:lineRule="auto"/>
        <w:ind w:firstLine="472" w:firstLineChars="196"/>
        <w:jc w:val="left"/>
        <w:outlineLvl w:val="1"/>
        <w:rPr>
          <w:rFonts w:asciiTheme="minorEastAsia" w:hAnsiTheme="minorEastAsia" w:eastAsiaTheme="minorEastAsia"/>
          <w:b/>
          <w:color w:val="000000" w:themeColor="text1"/>
          <w:sz w:val="24"/>
          <w:highlight w:val="none"/>
          <w14:textFill>
            <w14:solidFill>
              <w14:schemeClr w14:val="tx1"/>
            </w14:solidFill>
          </w14:textFill>
        </w:rPr>
      </w:pPr>
    </w:p>
    <w:p w14:paraId="48DF84CB">
      <w:pPr>
        <w:widowControl/>
        <w:spacing w:line="360" w:lineRule="auto"/>
        <w:jc w:val="left"/>
        <w:outlineLvl w:val="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XXXXXXXX</w:t>
      </w:r>
      <w:r>
        <w:rPr>
          <w:rFonts w:hint="eastAsia" w:asciiTheme="minorEastAsia" w:hAnsiTheme="minorEastAsia" w:eastAsiaTheme="minorEastAsia"/>
          <w:color w:val="000000" w:themeColor="text1"/>
          <w:sz w:val="24"/>
          <w:highlight w:val="none"/>
          <w14:textFill>
            <w14:solidFill>
              <w14:schemeClr w14:val="tx1"/>
            </w14:solidFill>
          </w14:textFill>
        </w:rPr>
        <w:t>（采购</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人</w:t>
      </w:r>
      <w:r>
        <w:rPr>
          <w:rFonts w:hint="eastAsia" w:asciiTheme="minorEastAsia" w:hAnsiTheme="minorEastAsia" w:eastAsiaTheme="minorEastAsia"/>
          <w:color w:val="000000" w:themeColor="text1"/>
          <w:sz w:val="24"/>
          <w:highlight w:val="none"/>
          <w14:textFill>
            <w14:solidFill>
              <w14:schemeClr w14:val="tx1"/>
            </w14:solidFill>
          </w14:textFill>
        </w:rPr>
        <w:t>名称）：</w:t>
      </w:r>
    </w:p>
    <w:p w14:paraId="17A81507">
      <w:pPr>
        <w:widowControl/>
        <w:spacing w:line="360" w:lineRule="auto"/>
        <w:ind w:firstLine="470" w:firstLineChars="196"/>
        <w:jc w:val="left"/>
        <w:outlineLvl w:val="1"/>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本授权声明：</w:t>
      </w:r>
      <w:r>
        <w:rPr>
          <w:rFonts w:asciiTheme="minorEastAsia" w:hAnsiTheme="minorEastAsia" w:eastAsiaTheme="minorEastAsia"/>
          <w:color w:val="000000" w:themeColor="text1"/>
          <w:sz w:val="24"/>
          <w:highlight w:val="none"/>
          <w14:textFill>
            <w14:solidFill>
              <w14:schemeClr w14:val="tx1"/>
            </w14:solidFill>
          </w14:textFill>
        </w:rPr>
        <w:t xml:space="preserve"> XXXX</w:t>
      </w:r>
      <w:r>
        <w:rPr>
          <w:rFonts w:hint="eastAsia" w:asciiTheme="minorEastAsia" w:hAnsiTheme="minorEastAsia" w:eastAsiaTheme="minorEastAsia"/>
          <w:color w:val="000000" w:themeColor="text1"/>
          <w:sz w:val="24"/>
          <w:highlight w:val="none"/>
          <w14:textFill>
            <w14:solidFill>
              <w14:schemeClr w14:val="tx1"/>
            </w14:solidFill>
          </w14:textFill>
        </w:rPr>
        <w:t>（供应商名称）</w:t>
      </w:r>
      <w:r>
        <w:rPr>
          <w:rFonts w:asciiTheme="minorEastAsia" w:hAnsiTheme="minorEastAsia" w:eastAsiaTheme="minorEastAsia"/>
          <w:color w:val="000000" w:themeColor="text1"/>
          <w:sz w:val="24"/>
          <w:highlight w:val="none"/>
          <w14:textFill>
            <w14:solidFill>
              <w14:schemeClr w14:val="tx1"/>
            </w14:solidFill>
          </w14:textFill>
        </w:rPr>
        <w:t>XXXX</w:t>
      </w:r>
      <w:r>
        <w:rPr>
          <w:rFonts w:hint="eastAsia" w:asciiTheme="minorEastAsia" w:hAnsiTheme="minorEastAsia" w:eastAsiaTheme="minorEastAsia"/>
          <w:color w:val="000000" w:themeColor="text1"/>
          <w:sz w:val="24"/>
          <w:highlight w:val="none"/>
          <w14:textFill>
            <w14:solidFill>
              <w14:schemeClr w14:val="tx1"/>
            </w14:solidFill>
          </w14:textFill>
        </w:rPr>
        <w:t>（法定代表人</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单位负责人姓名、职务）授权</w:t>
      </w:r>
      <w:r>
        <w:rPr>
          <w:rFonts w:asciiTheme="minorEastAsia" w:hAnsiTheme="minorEastAsia" w:eastAsiaTheme="minorEastAsia"/>
          <w:color w:val="000000" w:themeColor="text1"/>
          <w:sz w:val="24"/>
          <w:highlight w:val="none"/>
          <w14:textFill>
            <w14:solidFill>
              <w14:schemeClr w14:val="tx1"/>
            </w14:solidFill>
          </w14:textFill>
        </w:rPr>
        <w:t>XXXX</w:t>
      </w:r>
      <w:r>
        <w:rPr>
          <w:rFonts w:hint="eastAsia" w:asciiTheme="minorEastAsia" w:hAnsiTheme="minorEastAsia" w:eastAsiaTheme="minorEastAsia"/>
          <w:color w:val="000000" w:themeColor="text1"/>
          <w:sz w:val="24"/>
          <w:highlight w:val="none"/>
          <w14:textFill>
            <w14:solidFill>
              <w14:schemeClr w14:val="tx1"/>
            </w14:solidFill>
          </w14:textFill>
        </w:rPr>
        <w:t>（被授权人姓名、职务）为我方“</w:t>
      </w:r>
      <w:r>
        <w:rPr>
          <w:rFonts w:asciiTheme="minorEastAsia" w:hAnsiTheme="minorEastAsia" w:eastAsiaTheme="minorEastAsia"/>
          <w:color w:val="000000" w:themeColor="text1"/>
          <w:sz w:val="24"/>
          <w:highlight w:val="none"/>
          <w14:textFill>
            <w14:solidFill>
              <w14:schemeClr w14:val="tx1"/>
            </w14:solidFill>
          </w14:textFill>
        </w:rPr>
        <w:t>XXXXXXXX</w:t>
      </w:r>
      <w:r>
        <w:rPr>
          <w:rFonts w:hint="eastAsia" w:asciiTheme="minorEastAsia" w:hAnsiTheme="minorEastAsia" w:eastAsiaTheme="minorEastAsia"/>
          <w:color w:val="000000" w:themeColor="text1"/>
          <w:sz w:val="24"/>
          <w:highlight w:val="none"/>
          <w14:textFill>
            <w14:solidFill>
              <w14:schemeClr w14:val="tx1"/>
            </w14:solidFill>
          </w14:textFill>
        </w:rPr>
        <w:t>”项目（采购项目编号：</w:t>
      </w:r>
      <w:r>
        <w:rPr>
          <w:rFonts w:asciiTheme="minorEastAsia" w:hAnsiTheme="minorEastAsia" w:eastAsiaTheme="minorEastAsia"/>
          <w:color w:val="000000" w:themeColor="text1"/>
          <w:sz w:val="24"/>
          <w:highlight w:val="none"/>
          <w14:textFill>
            <w14:solidFill>
              <w14:schemeClr w14:val="tx1"/>
            </w14:solidFill>
          </w14:textFill>
        </w:rPr>
        <w:t>XXXX</w:t>
      </w:r>
      <w:r>
        <w:rPr>
          <w:rFonts w:hint="eastAsia" w:asciiTheme="minorEastAsia" w:hAnsiTheme="minorEastAsia" w:eastAsiaTheme="minorEastAsia"/>
          <w:color w:val="000000" w:themeColor="text1"/>
          <w:sz w:val="24"/>
          <w:highlight w:val="none"/>
          <w14:textFill>
            <w14:solidFill>
              <w14:schemeClr w14:val="tx1"/>
            </w14:solidFill>
          </w14:textFill>
        </w:rPr>
        <w:t>）磋商采购活动的合法代表，以我方名义全权处理该项目有关磋商采购、签订合同以及执行合同等一切事宜。</w:t>
      </w:r>
    </w:p>
    <w:p w14:paraId="68AFAFBB">
      <w:pPr>
        <w:widowControl/>
        <w:spacing w:line="360" w:lineRule="auto"/>
        <w:ind w:firstLine="470" w:firstLineChars="196"/>
        <w:jc w:val="left"/>
        <w:outlineLvl w:val="1"/>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特此声明。</w:t>
      </w:r>
    </w:p>
    <w:p w14:paraId="36648A69">
      <w:pPr>
        <w:widowControl/>
        <w:spacing w:line="360" w:lineRule="auto"/>
        <w:ind w:firstLine="470" w:firstLineChars="196"/>
        <w:jc w:val="left"/>
        <w:outlineLvl w:val="1"/>
        <w:rPr>
          <w:rFonts w:asciiTheme="minorEastAsia" w:hAnsiTheme="minorEastAsia" w:eastAsiaTheme="minorEastAsia"/>
          <w:color w:val="000000" w:themeColor="text1"/>
          <w:sz w:val="24"/>
          <w:highlight w:val="none"/>
          <w14:textFill>
            <w14:solidFill>
              <w14:schemeClr w14:val="tx1"/>
            </w14:solidFill>
          </w14:textFill>
        </w:rPr>
      </w:pPr>
    </w:p>
    <w:p w14:paraId="56696292">
      <w:pPr>
        <w:widowControl/>
        <w:spacing w:line="360" w:lineRule="auto"/>
        <w:ind w:firstLine="470" w:firstLineChars="196"/>
        <w:jc w:val="left"/>
        <w:outlineLvl w:val="1"/>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法定代表人</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单位负责人（委托人）签字或加盖个人印章：</w:t>
      </w:r>
      <w:r>
        <w:rPr>
          <w:rFonts w:asciiTheme="minorEastAsia" w:hAnsiTheme="minorEastAsia" w:eastAsiaTheme="minorEastAsia"/>
          <w:color w:val="000000" w:themeColor="text1"/>
          <w:sz w:val="24"/>
          <w:highlight w:val="none"/>
          <w14:textFill>
            <w14:solidFill>
              <w14:schemeClr w14:val="tx1"/>
            </w14:solidFill>
          </w14:textFill>
        </w:rPr>
        <w:t>XXXX</w:t>
      </w:r>
      <w:r>
        <w:rPr>
          <w:rFonts w:hint="eastAsia" w:asciiTheme="minorEastAsia" w:hAnsiTheme="minorEastAsia" w:eastAsiaTheme="minorEastAsia"/>
          <w:color w:val="000000" w:themeColor="text1"/>
          <w:sz w:val="24"/>
          <w:highlight w:val="none"/>
          <w14:textFill>
            <w14:solidFill>
              <w14:schemeClr w14:val="tx1"/>
            </w14:solidFill>
          </w14:textFill>
        </w:rPr>
        <w:t>。</w:t>
      </w:r>
    </w:p>
    <w:p w14:paraId="7483E149">
      <w:pPr>
        <w:widowControl/>
        <w:spacing w:line="360" w:lineRule="auto"/>
        <w:ind w:firstLine="470" w:firstLineChars="196"/>
        <w:jc w:val="left"/>
        <w:outlineLvl w:val="1"/>
        <w:rPr>
          <w:rFonts w:asciiTheme="minorEastAsia" w:hAnsiTheme="minorEastAsia" w:eastAsiaTheme="minorEastAsia"/>
          <w:color w:val="000000" w:themeColor="text1"/>
          <w:sz w:val="24"/>
          <w:highlight w:val="none"/>
          <w14:textFill>
            <w14:solidFill>
              <w14:schemeClr w14:val="tx1"/>
            </w14:solidFill>
          </w14:textFill>
        </w:rPr>
      </w:pPr>
    </w:p>
    <w:p w14:paraId="002E9809">
      <w:pPr>
        <w:widowControl/>
        <w:spacing w:line="360" w:lineRule="auto"/>
        <w:ind w:firstLine="470" w:firstLineChars="196"/>
        <w:jc w:val="left"/>
        <w:outlineLvl w:val="1"/>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授权代表（被授权人）签字：</w:t>
      </w:r>
      <w:r>
        <w:rPr>
          <w:rFonts w:asciiTheme="minorEastAsia" w:hAnsiTheme="minorEastAsia" w:eastAsiaTheme="minorEastAsia"/>
          <w:color w:val="000000" w:themeColor="text1"/>
          <w:sz w:val="24"/>
          <w:highlight w:val="none"/>
          <w14:textFill>
            <w14:solidFill>
              <w14:schemeClr w14:val="tx1"/>
            </w14:solidFill>
          </w14:textFill>
        </w:rPr>
        <w:t>XXXX</w:t>
      </w:r>
      <w:r>
        <w:rPr>
          <w:rFonts w:hint="eastAsia" w:asciiTheme="minorEastAsia" w:hAnsiTheme="minorEastAsia" w:eastAsiaTheme="minorEastAsia"/>
          <w:color w:val="000000" w:themeColor="text1"/>
          <w:sz w:val="24"/>
          <w:highlight w:val="none"/>
          <w14:textFill>
            <w14:solidFill>
              <w14:schemeClr w14:val="tx1"/>
            </w14:solidFill>
          </w14:textFill>
        </w:rPr>
        <w:t>。</w:t>
      </w:r>
    </w:p>
    <w:p w14:paraId="698568DC">
      <w:pPr>
        <w:widowControl/>
        <w:spacing w:line="360" w:lineRule="auto"/>
        <w:ind w:firstLine="470" w:firstLineChars="196"/>
        <w:jc w:val="left"/>
        <w:outlineLvl w:val="1"/>
        <w:rPr>
          <w:rFonts w:asciiTheme="minorEastAsia" w:hAnsiTheme="minorEastAsia" w:eastAsiaTheme="minorEastAsia"/>
          <w:color w:val="000000" w:themeColor="text1"/>
          <w:sz w:val="24"/>
          <w:highlight w:val="none"/>
          <w14:textFill>
            <w14:solidFill>
              <w14:schemeClr w14:val="tx1"/>
            </w14:solidFill>
          </w14:textFill>
        </w:rPr>
      </w:pPr>
    </w:p>
    <w:p w14:paraId="0143AA5D">
      <w:pPr>
        <w:widowControl/>
        <w:spacing w:line="360" w:lineRule="auto"/>
        <w:ind w:firstLine="470" w:firstLineChars="196"/>
        <w:jc w:val="left"/>
        <w:outlineLvl w:val="1"/>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供应商名称：</w:t>
      </w:r>
      <w:r>
        <w:rPr>
          <w:rFonts w:asciiTheme="minorEastAsia" w:hAnsiTheme="minorEastAsia" w:eastAsiaTheme="minorEastAsia"/>
          <w:color w:val="000000" w:themeColor="text1"/>
          <w:sz w:val="24"/>
          <w:highlight w:val="none"/>
          <w14:textFill>
            <w14:solidFill>
              <w14:schemeClr w14:val="tx1"/>
            </w14:solidFill>
          </w14:textFill>
        </w:rPr>
        <w:t>XXXX</w:t>
      </w:r>
      <w:r>
        <w:rPr>
          <w:rFonts w:hint="eastAsia" w:asciiTheme="minorEastAsia" w:hAnsiTheme="minorEastAsia" w:eastAsiaTheme="minorEastAsia"/>
          <w:color w:val="000000" w:themeColor="text1"/>
          <w:sz w:val="24"/>
          <w:highlight w:val="none"/>
          <w14:textFill>
            <w14:solidFill>
              <w14:schemeClr w14:val="tx1"/>
            </w14:solidFill>
          </w14:textFill>
        </w:rPr>
        <w:t>（单位盖章）。</w:t>
      </w:r>
    </w:p>
    <w:p w14:paraId="64EE6D29">
      <w:pPr>
        <w:widowControl/>
        <w:spacing w:line="360" w:lineRule="auto"/>
        <w:ind w:firstLine="470" w:firstLineChars="196"/>
        <w:jc w:val="left"/>
        <w:outlineLvl w:val="1"/>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日期：</w:t>
      </w:r>
      <w:r>
        <w:rPr>
          <w:rFonts w:asciiTheme="minorEastAsia" w:hAnsiTheme="minorEastAsia" w:eastAsiaTheme="minorEastAsia"/>
          <w:color w:val="000000" w:themeColor="text1"/>
          <w:sz w:val="24"/>
          <w:highlight w:val="none"/>
          <w14:textFill>
            <w14:solidFill>
              <w14:schemeClr w14:val="tx1"/>
            </w14:solidFill>
          </w14:textFill>
        </w:rPr>
        <w:t>XXXX</w:t>
      </w:r>
      <w:r>
        <w:rPr>
          <w:rFonts w:hint="eastAsia" w:asciiTheme="minorEastAsia" w:hAnsiTheme="minorEastAsia" w:eastAsiaTheme="minorEastAsia"/>
          <w:color w:val="000000" w:themeColor="text1"/>
          <w:sz w:val="24"/>
          <w:highlight w:val="none"/>
          <w14:textFill>
            <w14:solidFill>
              <w14:schemeClr w14:val="tx1"/>
            </w14:solidFill>
          </w14:textFill>
        </w:rPr>
        <w:t>。</w:t>
      </w:r>
    </w:p>
    <w:p w14:paraId="7AA0F2E2">
      <w:pPr>
        <w:widowControl/>
        <w:spacing w:line="360" w:lineRule="auto"/>
        <w:jc w:val="left"/>
        <w:outlineLvl w:val="1"/>
        <w:rPr>
          <w:rFonts w:asciiTheme="minorEastAsia" w:hAnsiTheme="minorEastAsia" w:eastAsiaTheme="minorEastAsia"/>
          <w:b/>
          <w:color w:val="000000" w:themeColor="text1"/>
          <w:sz w:val="24"/>
          <w:highlight w:val="none"/>
          <w14:textFill>
            <w14:solidFill>
              <w14:schemeClr w14:val="tx1"/>
            </w14:solidFill>
          </w14:textFill>
        </w:rPr>
      </w:pPr>
      <w:bookmarkStart w:id="92" w:name="_Toc217446084"/>
    </w:p>
    <w:p w14:paraId="7E3F921A">
      <w:pPr>
        <w:spacing w:line="360" w:lineRule="auto"/>
        <w:ind w:left="840" w:hanging="840" w:hangingChars="350"/>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注：</w:t>
      </w:r>
    </w:p>
    <w:p w14:paraId="1AE4A7AC">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、供应商为法人单位时提供“法定代表人授权书”，供应商为其他组织时提供“单位负责人授权书”，供应商为自然人时提供“自然人身份证明材料”。</w:t>
      </w:r>
    </w:p>
    <w:p w14:paraId="1D31CA3B">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、应附法定代表人</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单位负责人身份证明材料复印件和授权代表身份证明材料复印件。</w:t>
      </w:r>
    </w:p>
    <w:p w14:paraId="4BBBF291">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、身份证明材料包括居民身份证或户口本或军官证或护照等。</w:t>
      </w:r>
    </w:p>
    <w:p w14:paraId="14BA8B20">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、身份证明材料应同时提供其在有效期的材料，如居民身份证正、反面复印件。</w:t>
      </w:r>
    </w:p>
    <w:bookmarkEnd w:id="92"/>
    <w:p w14:paraId="5232BE36">
      <w:pPr>
        <w:spacing w:line="360" w:lineRule="auto"/>
        <w:rPr>
          <w:rFonts w:asciiTheme="minorEastAsia" w:hAnsiTheme="minorEastAsia" w:eastAsiaTheme="minorEastAsia"/>
          <w:b/>
          <w:color w:val="000000" w:themeColor="text1"/>
          <w:sz w:val="32"/>
          <w:szCs w:val="32"/>
          <w:highlight w:val="none"/>
          <w14:textFill>
            <w14:solidFill>
              <w14:schemeClr w14:val="tx1"/>
            </w14:solidFill>
          </w14:textFill>
        </w:rPr>
      </w:pPr>
      <w:r>
        <w:rPr>
          <w:rFonts w:asciiTheme="minorEastAsia" w:hAnsiTheme="minorEastAsia" w:eastAsiaTheme="minorEastAsia"/>
          <w:b/>
          <w:color w:val="000000" w:themeColor="text1"/>
          <w:sz w:val="32"/>
          <w:szCs w:val="32"/>
          <w:highlight w:val="none"/>
          <w14:textFill>
            <w14:solidFill>
              <w14:schemeClr w14:val="tx1"/>
            </w14:solidFill>
          </w14:textFill>
        </w:rPr>
        <w:br w:type="page"/>
      </w:r>
      <w:r>
        <w:rPr>
          <w:rFonts w:hint="eastAsia" w:asciiTheme="minorEastAsia" w:hAnsiTheme="minorEastAsia" w:eastAsiaTheme="minorEastAsia"/>
          <w:b/>
          <w:color w:val="000000" w:themeColor="text1"/>
          <w:sz w:val="28"/>
          <w:szCs w:val="28"/>
          <w:highlight w:val="none"/>
          <w14:textFill>
            <w14:solidFill>
              <w14:schemeClr w14:val="tx1"/>
            </w14:solidFill>
          </w14:textFill>
        </w:rPr>
        <w:t>格式</w:t>
      </w:r>
      <w:r>
        <w:rPr>
          <w:rFonts w:asciiTheme="minorEastAsia" w:hAnsiTheme="minorEastAsia" w:eastAsiaTheme="minorEastAsia"/>
          <w:b/>
          <w:color w:val="000000" w:themeColor="text1"/>
          <w:sz w:val="28"/>
          <w:szCs w:val="28"/>
          <w:highlight w:val="none"/>
          <w14:textFill>
            <w14:solidFill>
              <w14:schemeClr w14:val="tx1"/>
            </w14:solidFill>
          </w14:textFill>
        </w:rPr>
        <w:t>1-3</w:t>
      </w:r>
    </w:p>
    <w:p w14:paraId="4A0AF8C9">
      <w:pPr>
        <w:spacing w:line="360" w:lineRule="auto"/>
        <w:jc w:val="center"/>
        <w:rPr>
          <w:rFonts w:cs="Arial" w:asciiTheme="minorEastAsia" w:hAnsiTheme="minorEastAsia" w:eastAsiaTheme="minorEastAsia"/>
          <w:b/>
          <w:bCs/>
          <w:color w:val="000000" w:themeColor="text1"/>
          <w:sz w:val="32"/>
          <w:szCs w:val="32"/>
          <w:highlight w:val="none"/>
          <w14:textFill>
            <w14:solidFill>
              <w14:schemeClr w14:val="tx1"/>
            </w14:solidFill>
          </w14:textFill>
        </w:rPr>
      </w:pPr>
      <w:r>
        <w:rPr>
          <w:rFonts w:hint="eastAsia" w:cs="Arial" w:asciiTheme="minorEastAsia" w:hAnsiTheme="minorEastAsia" w:eastAsiaTheme="minorEastAsia"/>
          <w:b/>
          <w:bCs/>
          <w:color w:val="000000" w:themeColor="text1"/>
          <w:sz w:val="32"/>
          <w:szCs w:val="32"/>
          <w:highlight w:val="none"/>
          <w14:textFill>
            <w14:solidFill>
              <w14:schemeClr w14:val="tx1"/>
            </w14:solidFill>
          </w14:textFill>
        </w:rPr>
        <w:t>二、承诺函</w:t>
      </w:r>
    </w:p>
    <w:p w14:paraId="3DDC8374">
      <w:pPr>
        <w:widowControl/>
        <w:spacing w:line="360" w:lineRule="auto"/>
        <w:jc w:val="center"/>
        <w:outlineLvl w:val="1"/>
        <w:rPr>
          <w:rFonts w:asciiTheme="minorEastAsia" w:hAnsiTheme="minorEastAsia" w:eastAsiaTheme="minorEastAsia"/>
          <w:b/>
          <w:color w:val="000000" w:themeColor="text1"/>
          <w:sz w:val="24"/>
          <w:highlight w:val="none"/>
          <w14:textFill>
            <w14:solidFill>
              <w14:schemeClr w14:val="tx1"/>
            </w14:solidFill>
          </w14:textFill>
        </w:rPr>
      </w:pPr>
    </w:p>
    <w:p w14:paraId="0048FF43">
      <w:pPr>
        <w:widowControl/>
        <w:spacing w:line="360" w:lineRule="auto"/>
        <w:jc w:val="left"/>
        <w:outlineLvl w:val="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XXXX</w:t>
      </w:r>
      <w:r>
        <w:rPr>
          <w:rFonts w:hint="eastAsia" w:asciiTheme="minorEastAsia" w:hAnsiTheme="minorEastAsia" w:eastAsiaTheme="minorEastAsia"/>
          <w:color w:val="000000" w:themeColor="text1"/>
          <w:sz w:val="24"/>
          <w:highlight w:val="none"/>
          <w14:textFill>
            <w14:solidFill>
              <w14:schemeClr w14:val="tx1"/>
            </w14:solidFill>
          </w14:textFill>
        </w:rPr>
        <w:t>（采购</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人</w:t>
      </w:r>
      <w:r>
        <w:rPr>
          <w:rFonts w:hint="eastAsia" w:asciiTheme="minorEastAsia" w:hAnsiTheme="minorEastAsia" w:eastAsiaTheme="minorEastAsia"/>
          <w:color w:val="000000" w:themeColor="text1"/>
          <w:sz w:val="24"/>
          <w:highlight w:val="none"/>
          <w14:textFill>
            <w14:solidFill>
              <w14:schemeClr w14:val="tx1"/>
            </w14:solidFill>
          </w14:textFill>
        </w:rPr>
        <w:t>名称）：</w:t>
      </w:r>
    </w:p>
    <w:p w14:paraId="660F41F2">
      <w:pPr>
        <w:widowControl/>
        <w:spacing w:line="360" w:lineRule="auto"/>
        <w:ind w:firstLine="480" w:firstLineChars="200"/>
        <w:jc w:val="left"/>
        <w:outlineLvl w:val="1"/>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我单位作为本次采购项目的供应商，根据磋商文件要求，现郑重承诺如下：</w:t>
      </w:r>
    </w:p>
    <w:p w14:paraId="5DDBE735">
      <w:pPr>
        <w:widowControl/>
        <w:spacing w:line="360" w:lineRule="auto"/>
        <w:ind w:firstLine="480" w:firstLineChars="200"/>
        <w:jc w:val="left"/>
        <w:outlineLvl w:val="1"/>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一、具备本项目规定的条件：</w:t>
      </w:r>
    </w:p>
    <w:p w14:paraId="4E69FD9E">
      <w:pPr>
        <w:widowControl/>
        <w:spacing w:line="360" w:lineRule="auto"/>
        <w:ind w:firstLine="480" w:firstLineChars="200"/>
        <w:jc w:val="left"/>
        <w:outlineLvl w:val="1"/>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（一）具有独立承担民事责任的能力；</w:t>
      </w:r>
    </w:p>
    <w:p w14:paraId="49A64C87">
      <w:pPr>
        <w:widowControl/>
        <w:spacing w:line="360" w:lineRule="auto"/>
        <w:ind w:firstLine="480" w:firstLineChars="200"/>
        <w:jc w:val="left"/>
        <w:outlineLvl w:val="1"/>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（二）具有良好的商业信誉和健全的财务会计制度；</w:t>
      </w:r>
    </w:p>
    <w:p w14:paraId="54B3D49C">
      <w:pPr>
        <w:widowControl/>
        <w:spacing w:line="360" w:lineRule="auto"/>
        <w:ind w:firstLine="480" w:firstLineChars="200"/>
        <w:jc w:val="left"/>
        <w:outlineLvl w:val="1"/>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（三）具有履行合同所必需的设备和专业技术能力；</w:t>
      </w:r>
    </w:p>
    <w:p w14:paraId="20098FAB">
      <w:pPr>
        <w:widowControl/>
        <w:spacing w:line="360" w:lineRule="auto"/>
        <w:ind w:firstLine="480" w:firstLineChars="200"/>
        <w:jc w:val="left"/>
        <w:outlineLvl w:val="1"/>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（四）有依法缴纳税收和社会保障资金的良好记录；</w:t>
      </w:r>
    </w:p>
    <w:p w14:paraId="214B93DB">
      <w:pPr>
        <w:widowControl/>
        <w:spacing w:line="360" w:lineRule="auto"/>
        <w:ind w:firstLine="480" w:firstLineChars="200"/>
        <w:jc w:val="left"/>
        <w:outlineLvl w:val="1"/>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（五）参加采购活动前三年内，在经营活动中没有重大违法记录；</w:t>
      </w:r>
    </w:p>
    <w:p w14:paraId="6B83CB38">
      <w:pPr>
        <w:widowControl/>
        <w:spacing w:line="360" w:lineRule="auto"/>
        <w:ind w:firstLine="480" w:firstLineChars="200"/>
        <w:jc w:val="left"/>
        <w:outlineLvl w:val="1"/>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（六）法律、行政法规规定的其他条件；</w:t>
      </w:r>
    </w:p>
    <w:p w14:paraId="5C55CAAF">
      <w:pPr>
        <w:widowControl/>
        <w:spacing w:line="360" w:lineRule="auto"/>
        <w:ind w:firstLine="480" w:firstLineChars="200"/>
        <w:jc w:val="left"/>
        <w:outlineLvl w:val="1"/>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（七）根据采购项目提出的特殊条件。</w:t>
      </w:r>
    </w:p>
    <w:p w14:paraId="566E9B60">
      <w:pPr>
        <w:widowControl/>
        <w:spacing w:line="360" w:lineRule="auto"/>
        <w:ind w:firstLine="480" w:firstLineChars="200"/>
        <w:jc w:val="left"/>
        <w:outlineLvl w:val="1"/>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二、截至响应文件递交截止日未被列入失信被执行人、重大税收违法案件当事人名单、采购严重违法失信行为记录名单。</w:t>
      </w:r>
    </w:p>
    <w:p w14:paraId="605ACC9F">
      <w:pPr>
        <w:widowControl/>
        <w:spacing w:line="360" w:lineRule="auto"/>
        <w:ind w:firstLine="480" w:firstLineChars="200"/>
        <w:jc w:val="left"/>
        <w:outlineLvl w:val="1"/>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本单位对上述承诺的内容事项真实性负责。如经查实上述承诺的内容事项存在虚假，我单位愿意接受以提供虚假材料谋取成交追究法律责任。</w:t>
      </w:r>
    </w:p>
    <w:p w14:paraId="6E65B54E">
      <w:pPr>
        <w:widowControl/>
        <w:spacing w:line="360" w:lineRule="auto"/>
        <w:ind w:firstLine="470" w:firstLineChars="196"/>
        <w:jc w:val="left"/>
        <w:outlineLvl w:val="1"/>
        <w:rPr>
          <w:rFonts w:asciiTheme="minorEastAsia" w:hAnsiTheme="minorEastAsia" w:eastAsiaTheme="minorEastAsia"/>
          <w:color w:val="000000" w:themeColor="text1"/>
          <w:sz w:val="24"/>
          <w:highlight w:val="none"/>
          <w14:textFill>
            <w14:solidFill>
              <w14:schemeClr w14:val="tx1"/>
            </w14:solidFill>
          </w14:textFill>
        </w:rPr>
      </w:pPr>
    </w:p>
    <w:p w14:paraId="0B1256DB">
      <w:pPr>
        <w:widowControl/>
        <w:spacing w:line="360" w:lineRule="auto"/>
        <w:ind w:firstLine="470" w:firstLineChars="196"/>
        <w:jc w:val="left"/>
        <w:outlineLvl w:val="1"/>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供应商名称：</w:t>
      </w:r>
      <w:r>
        <w:rPr>
          <w:rFonts w:asciiTheme="minorEastAsia" w:hAnsiTheme="minorEastAsia" w:eastAsiaTheme="minorEastAsia"/>
          <w:color w:val="000000" w:themeColor="text1"/>
          <w:sz w:val="24"/>
          <w:highlight w:val="none"/>
          <w14:textFill>
            <w14:solidFill>
              <w14:schemeClr w14:val="tx1"/>
            </w14:solidFill>
          </w14:textFill>
        </w:rPr>
        <w:t>XXXX</w:t>
      </w:r>
      <w:r>
        <w:rPr>
          <w:rFonts w:hint="eastAsia" w:asciiTheme="minorEastAsia" w:hAnsiTheme="minorEastAsia" w:eastAsiaTheme="minorEastAsia"/>
          <w:color w:val="000000" w:themeColor="text1"/>
          <w:sz w:val="24"/>
          <w:highlight w:val="none"/>
          <w14:textFill>
            <w14:solidFill>
              <w14:schemeClr w14:val="tx1"/>
            </w14:solidFill>
          </w14:textFill>
        </w:rPr>
        <w:t>（单位公章）。</w:t>
      </w:r>
    </w:p>
    <w:p w14:paraId="6A207707">
      <w:pPr>
        <w:widowControl/>
        <w:spacing w:line="360" w:lineRule="auto"/>
        <w:ind w:firstLine="470" w:firstLineChars="196"/>
        <w:jc w:val="left"/>
        <w:outlineLvl w:val="1"/>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法定代表人</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单位负责人或授权代表（签字或加盖个人印章）：</w:t>
      </w:r>
      <w:r>
        <w:rPr>
          <w:rFonts w:asciiTheme="minorEastAsia" w:hAnsiTheme="minorEastAsia" w:eastAsiaTheme="minorEastAsia"/>
          <w:color w:val="000000" w:themeColor="text1"/>
          <w:sz w:val="24"/>
          <w:highlight w:val="none"/>
          <w14:textFill>
            <w14:solidFill>
              <w14:schemeClr w14:val="tx1"/>
            </w14:solidFill>
          </w14:textFill>
        </w:rPr>
        <w:t>XXXX</w:t>
      </w:r>
      <w:r>
        <w:rPr>
          <w:rFonts w:hint="eastAsia" w:asciiTheme="minorEastAsia" w:hAnsiTheme="minorEastAsia" w:eastAsiaTheme="minorEastAsia"/>
          <w:color w:val="000000" w:themeColor="text1"/>
          <w:sz w:val="24"/>
          <w:highlight w:val="none"/>
          <w14:textFill>
            <w14:solidFill>
              <w14:schemeClr w14:val="tx1"/>
            </w14:solidFill>
          </w14:textFill>
        </w:rPr>
        <w:t>。</w:t>
      </w:r>
    </w:p>
    <w:p w14:paraId="513B4029">
      <w:pPr>
        <w:widowControl/>
        <w:spacing w:line="360" w:lineRule="auto"/>
        <w:ind w:firstLine="470" w:firstLineChars="196"/>
        <w:jc w:val="left"/>
        <w:outlineLvl w:val="1"/>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日期：</w:t>
      </w:r>
      <w:r>
        <w:rPr>
          <w:rFonts w:asciiTheme="minorEastAsia" w:hAnsiTheme="minorEastAsia" w:eastAsiaTheme="minorEastAsia"/>
          <w:color w:val="000000" w:themeColor="text1"/>
          <w:sz w:val="24"/>
          <w:highlight w:val="none"/>
          <w14:textFill>
            <w14:solidFill>
              <w14:schemeClr w14:val="tx1"/>
            </w14:solidFill>
          </w14:textFill>
        </w:rPr>
        <w:t>XXXX</w:t>
      </w:r>
      <w:r>
        <w:rPr>
          <w:rFonts w:hint="eastAsia" w:asciiTheme="minorEastAsia" w:hAnsiTheme="minorEastAsia" w:eastAsiaTheme="minorEastAsia"/>
          <w:color w:val="000000" w:themeColor="text1"/>
          <w:sz w:val="24"/>
          <w:highlight w:val="none"/>
          <w14:textFill>
            <w14:solidFill>
              <w14:schemeClr w14:val="tx1"/>
            </w14:solidFill>
          </w14:textFill>
        </w:rPr>
        <w:t>。</w:t>
      </w:r>
    </w:p>
    <w:p w14:paraId="4D981A75">
      <w:pPr>
        <w:spacing w:line="360" w:lineRule="auto"/>
        <w:rPr>
          <w:rFonts w:asciiTheme="minorEastAsia" w:hAnsiTheme="minorEastAsia" w:eastAsiaTheme="minorEastAsia"/>
          <w:b/>
          <w:color w:val="000000" w:themeColor="text1"/>
          <w:sz w:val="32"/>
          <w:szCs w:val="32"/>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br w:type="page"/>
      </w:r>
      <w:r>
        <w:rPr>
          <w:rFonts w:hint="eastAsia" w:asciiTheme="minorEastAsia" w:hAnsiTheme="minorEastAsia" w:eastAsiaTheme="minorEastAsia"/>
          <w:b/>
          <w:color w:val="000000" w:themeColor="text1"/>
          <w:sz w:val="28"/>
          <w:szCs w:val="28"/>
          <w:highlight w:val="none"/>
          <w14:textFill>
            <w14:solidFill>
              <w14:schemeClr w14:val="tx1"/>
            </w14:solidFill>
          </w14:textFill>
        </w:rPr>
        <w:t>格式</w:t>
      </w:r>
      <w:r>
        <w:rPr>
          <w:rFonts w:asciiTheme="minorEastAsia" w:hAnsiTheme="minorEastAsia" w:eastAsiaTheme="minorEastAsia"/>
          <w:b/>
          <w:color w:val="000000" w:themeColor="text1"/>
          <w:sz w:val="28"/>
          <w:szCs w:val="28"/>
          <w:highlight w:val="none"/>
          <w14:textFill>
            <w14:solidFill>
              <w14:schemeClr w14:val="tx1"/>
            </w14:solidFill>
          </w14:textFill>
        </w:rPr>
        <w:t>1-4</w:t>
      </w:r>
    </w:p>
    <w:p w14:paraId="0E107ED8">
      <w:pPr>
        <w:spacing w:line="360" w:lineRule="auto"/>
        <w:jc w:val="center"/>
        <w:rPr>
          <w:rFonts w:cs="Arial" w:asciiTheme="minorEastAsia" w:hAnsiTheme="minorEastAsia" w:eastAsiaTheme="minorEastAsia"/>
          <w:b/>
          <w:bCs/>
          <w:color w:val="000000" w:themeColor="text1"/>
          <w:sz w:val="32"/>
          <w:szCs w:val="32"/>
          <w:highlight w:val="none"/>
          <w14:textFill>
            <w14:solidFill>
              <w14:schemeClr w14:val="tx1"/>
            </w14:solidFill>
          </w14:textFill>
        </w:rPr>
      </w:pPr>
      <w:r>
        <w:rPr>
          <w:rFonts w:hint="eastAsia" w:cs="Arial" w:asciiTheme="minorEastAsia" w:hAnsiTheme="minorEastAsia" w:eastAsiaTheme="minorEastAsia"/>
          <w:b/>
          <w:bCs/>
          <w:color w:val="000000" w:themeColor="text1"/>
          <w:sz w:val="32"/>
          <w:szCs w:val="32"/>
          <w:highlight w:val="none"/>
          <w14:textFill>
            <w14:solidFill>
              <w14:schemeClr w14:val="tx1"/>
            </w14:solidFill>
          </w14:textFill>
        </w:rPr>
        <w:t>供应商和报价产品其他资格、资质性及其他类似效力要求的相关证明材料</w:t>
      </w:r>
    </w:p>
    <w:p w14:paraId="01B10B05">
      <w:pPr>
        <w:spacing w:line="360" w:lineRule="auto"/>
        <w:rPr>
          <w:rFonts w:cs="宋体" w:asciiTheme="minorEastAsia" w:hAnsiTheme="minorEastAsia" w:eastAsiaTheme="minorEastAsia"/>
          <w:bCs/>
          <w:color w:val="000000" w:themeColor="text1"/>
          <w:sz w:val="24"/>
          <w:highlight w:val="none"/>
          <w14:textFill>
            <w14:solidFill>
              <w14:schemeClr w14:val="tx1"/>
            </w14:solidFill>
          </w14:textFill>
        </w:rPr>
      </w:pPr>
      <w:r>
        <w:rPr>
          <w:rFonts w:hint="eastAsia" w:cs="宋体" w:asciiTheme="minorEastAsia" w:hAnsiTheme="minorEastAsia" w:eastAsiaTheme="minorEastAsia"/>
          <w:bCs/>
          <w:color w:val="000000" w:themeColor="text1"/>
          <w:sz w:val="24"/>
          <w:highlight w:val="none"/>
          <w14:textFill>
            <w14:solidFill>
              <w14:schemeClr w14:val="tx1"/>
            </w14:solidFill>
          </w14:textFill>
        </w:rPr>
        <w:t>注：供应商应按磋商文件第四章相关要求提供佐证材料，有格式要求的从其要求，无格式要求的格式自拟。</w:t>
      </w:r>
    </w:p>
    <w:p w14:paraId="0377204C">
      <w:pPr>
        <w:widowControl/>
        <w:spacing w:line="360" w:lineRule="auto"/>
        <w:jc w:val="left"/>
        <w:rPr>
          <w:rFonts w:asciiTheme="minorEastAsia" w:hAnsiTheme="minorEastAsia" w:eastAsiaTheme="minorEastAsia"/>
          <w:b/>
          <w:color w:val="000000" w:themeColor="text1"/>
          <w:sz w:val="32"/>
          <w:highlight w:val="none"/>
          <w14:textFill>
            <w14:solidFill>
              <w14:schemeClr w14:val="tx1"/>
            </w14:solidFill>
          </w14:textFill>
        </w:rPr>
      </w:pPr>
      <w:r>
        <w:rPr>
          <w:rFonts w:asciiTheme="minorEastAsia" w:hAnsiTheme="minorEastAsia" w:eastAsiaTheme="minorEastAsia"/>
          <w:b/>
          <w:color w:val="000000" w:themeColor="text1"/>
          <w:sz w:val="32"/>
          <w:szCs w:val="32"/>
          <w:highlight w:val="none"/>
          <w14:textFill>
            <w14:solidFill>
              <w14:schemeClr w14:val="tx1"/>
            </w14:solidFill>
          </w14:textFill>
        </w:rPr>
        <w:br w:type="page"/>
      </w:r>
      <w:r>
        <w:rPr>
          <w:rFonts w:hint="eastAsia" w:asciiTheme="minorEastAsia" w:hAnsiTheme="minorEastAsia" w:eastAsiaTheme="minorEastAsia"/>
          <w:b/>
          <w:color w:val="000000" w:themeColor="text1"/>
          <w:sz w:val="32"/>
          <w:highlight w:val="none"/>
          <w14:textFill>
            <w14:solidFill>
              <w14:schemeClr w14:val="tx1"/>
            </w14:solidFill>
          </w14:textFill>
        </w:rPr>
        <w:t>第二部分“其他响应文件”格式</w:t>
      </w:r>
    </w:p>
    <w:p w14:paraId="6ED01493">
      <w:pPr>
        <w:spacing w:line="360" w:lineRule="auto"/>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格式</w:t>
      </w:r>
      <w:r>
        <w:rPr>
          <w:rFonts w:asciiTheme="minorEastAsia" w:hAnsiTheme="minorEastAsia" w:eastAsiaTheme="minorEastAsia"/>
          <w:b/>
          <w:color w:val="000000" w:themeColor="text1"/>
          <w:sz w:val="28"/>
          <w:szCs w:val="28"/>
          <w:highlight w:val="none"/>
          <w14:textFill>
            <w14:solidFill>
              <w14:schemeClr w14:val="tx1"/>
            </w14:solidFill>
          </w14:textFill>
        </w:rPr>
        <w:t>2-1</w:t>
      </w:r>
    </w:p>
    <w:p w14:paraId="463E630C">
      <w:pPr>
        <w:spacing w:line="360" w:lineRule="auto"/>
        <w:rPr>
          <w:rFonts w:asciiTheme="minorEastAsia" w:hAnsiTheme="minorEastAsia" w:eastAsiaTheme="minorEastAsia"/>
          <w:b/>
          <w:color w:val="000000" w:themeColor="text1"/>
          <w:sz w:val="32"/>
          <w:szCs w:val="32"/>
          <w:highlight w:val="none"/>
          <w14:textFill>
            <w14:solidFill>
              <w14:schemeClr w14:val="tx1"/>
            </w14:solidFill>
          </w14:textFill>
        </w:rPr>
      </w:pPr>
      <w:r>
        <w:rPr>
          <w:rFonts w:hint="eastAsia" w:asciiTheme="minorEastAsia" w:hAnsiTheme="minorEastAsia" w:eastAsiaTheme="minorEastAsia"/>
          <w:b/>
          <w:color w:val="000000" w:themeColor="text1"/>
          <w:sz w:val="32"/>
          <w:szCs w:val="32"/>
          <w:highlight w:val="none"/>
          <w14:textFill>
            <w14:solidFill>
              <w14:schemeClr w14:val="tx1"/>
            </w14:solidFill>
          </w14:textFill>
        </w:rPr>
        <w:t>封面：</w:t>
      </w:r>
    </w:p>
    <w:p w14:paraId="3476093B">
      <w:pPr>
        <w:spacing w:line="360" w:lineRule="auto"/>
        <w:jc w:val="right"/>
        <w:rPr>
          <w:rFonts w:asciiTheme="minorEastAsia" w:hAnsiTheme="minorEastAsia" w:eastAsiaTheme="minorEastAsia"/>
          <w:b/>
          <w:color w:val="000000" w:themeColor="text1"/>
          <w:sz w:val="36"/>
          <w:highlight w:val="none"/>
          <w14:textFill>
            <w14:solidFill>
              <w14:schemeClr w14:val="tx1"/>
            </w14:solidFill>
          </w14:textFill>
        </w:rPr>
      </w:pPr>
      <w:r>
        <w:rPr>
          <w:rFonts w:hint="eastAsia" w:asciiTheme="minorEastAsia" w:hAnsiTheme="minorEastAsia" w:eastAsiaTheme="minorEastAsia"/>
          <w:b/>
          <w:color w:val="000000" w:themeColor="text1"/>
          <w:sz w:val="36"/>
          <w:highlight w:val="none"/>
          <w14:textFill>
            <w14:solidFill>
              <w14:schemeClr w14:val="tx1"/>
            </w14:solidFill>
          </w14:textFill>
        </w:rPr>
        <w:t>（正本</w:t>
      </w:r>
      <w:r>
        <w:rPr>
          <w:rFonts w:asciiTheme="minorEastAsia" w:hAnsiTheme="minorEastAsia" w:eastAsiaTheme="minorEastAsia"/>
          <w:b/>
          <w:color w:val="000000" w:themeColor="text1"/>
          <w:sz w:val="36"/>
          <w:highlight w:val="none"/>
          <w14:textFill>
            <w14:solidFill>
              <w14:schemeClr w14:val="tx1"/>
            </w14:solidFill>
          </w14:textFill>
        </w:rPr>
        <w:t>/</w:t>
      </w:r>
      <w:r>
        <w:rPr>
          <w:rFonts w:hint="eastAsia" w:asciiTheme="minorEastAsia" w:hAnsiTheme="minorEastAsia" w:eastAsiaTheme="minorEastAsia"/>
          <w:b/>
          <w:color w:val="000000" w:themeColor="text1"/>
          <w:sz w:val="36"/>
          <w:highlight w:val="none"/>
          <w14:textFill>
            <w14:solidFill>
              <w14:schemeClr w14:val="tx1"/>
            </w14:solidFill>
          </w14:textFill>
        </w:rPr>
        <w:t>副本）</w:t>
      </w:r>
    </w:p>
    <w:p w14:paraId="135356CC">
      <w:pPr>
        <w:spacing w:line="360" w:lineRule="auto"/>
        <w:rPr>
          <w:rFonts w:asciiTheme="minorEastAsia" w:hAnsiTheme="minorEastAsia" w:eastAsiaTheme="minorEastAsia"/>
          <w:b/>
          <w:color w:val="000000" w:themeColor="text1"/>
          <w:sz w:val="32"/>
          <w:szCs w:val="32"/>
          <w:highlight w:val="none"/>
          <w14:textFill>
            <w14:solidFill>
              <w14:schemeClr w14:val="tx1"/>
            </w14:solidFill>
          </w14:textFill>
        </w:rPr>
      </w:pPr>
    </w:p>
    <w:p w14:paraId="0619771E">
      <w:pPr>
        <w:spacing w:line="360" w:lineRule="auto"/>
        <w:jc w:val="center"/>
        <w:rPr>
          <w:rFonts w:asciiTheme="minorEastAsia" w:hAnsiTheme="minorEastAsia" w:eastAsiaTheme="minorEastAsia"/>
          <w:b/>
          <w:color w:val="000000" w:themeColor="text1"/>
          <w:sz w:val="72"/>
          <w:highlight w:val="none"/>
          <w14:textFill>
            <w14:solidFill>
              <w14:schemeClr w14:val="tx1"/>
            </w14:solidFill>
          </w14:textFill>
        </w:rPr>
      </w:pPr>
      <w:r>
        <w:rPr>
          <w:rFonts w:asciiTheme="minorEastAsia" w:hAnsiTheme="minorEastAsia" w:eastAsiaTheme="minorEastAsia"/>
          <w:b/>
          <w:color w:val="000000" w:themeColor="text1"/>
          <w:sz w:val="40"/>
          <w:szCs w:val="48"/>
          <w:highlight w:val="none"/>
          <w14:textFill>
            <w14:solidFill>
              <w14:schemeClr w14:val="tx1"/>
            </w14:solidFill>
          </w14:textFill>
        </w:rPr>
        <w:t>XX</w:t>
      </w:r>
      <w:r>
        <w:rPr>
          <w:rFonts w:hint="eastAsia" w:asciiTheme="minorEastAsia" w:hAnsiTheme="minorEastAsia" w:eastAsiaTheme="minorEastAsia"/>
          <w:b/>
          <w:color w:val="000000" w:themeColor="text1"/>
          <w:sz w:val="40"/>
          <w:szCs w:val="48"/>
          <w:highlight w:val="none"/>
          <w14:textFill>
            <w14:solidFill>
              <w14:schemeClr w14:val="tx1"/>
            </w14:solidFill>
          </w14:textFill>
        </w:rPr>
        <w:t>项目</w:t>
      </w:r>
    </w:p>
    <w:p w14:paraId="7A877BEC">
      <w:pPr>
        <w:spacing w:line="360" w:lineRule="auto"/>
        <w:rPr>
          <w:rFonts w:asciiTheme="minorEastAsia" w:hAnsiTheme="minorEastAsia" w:eastAsiaTheme="minorEastAsia"/>
          <w:b/>
          <w:color w:val="000000" w:themeColor="text1"/>
          <w:sz w:val="52"/>
          <w:szCs w:val="52"/>
          <w:highlight w:val="none"/>
          <w14:textFill>
            <w14:solidFill>
              <w14:schemeClr w14:val="tx1"/>
            </w14:solidFill>
          </w14:textFill>
        </w:rPr>
      </w:pPr>
    </w:p>
    <w:p w14:paraId="02CCF219">
      <w:pPr>
        <w:spacing w:line="360" w:lineRule="auto"/>
        <w:jc w:val="center"/>
        <w:rPr>
          <w:rFonts w:asciiTheme="minorEastAsia" w:hAnsiTheme="minorEastAsia" w:eastAsiaTheme="minorEastAsia"/>
          <w:b/>
          <w:color w:val="000000" w:themeColor="text1"/>
          <w:sz w:val="32"/>
          <w:szCs w:val="32"/>
          <w:highlight w:val="none"/>
          <w14:textFill>
            <w14:solidFill>
              <w14:schemeClr w14:val="tx1"/>
            </w14:solidFill>
          </w14:textFill>
        </w:rPr>
      </w:pPr>
      <w:r>
        <w:rPr>
          <w:rFonts w:hint="eastAsia" w:asciiTheme="minorEastAsia" w:hAnsiTheme="minorEastAsia" w:eastAsiaTheme="minorEastAsia"/>
          <w:b/>
          <w:color w:val="000000" w:themeColor="text1"/>
          <w:sz w:val="52"/>
          <w:szCs w:val="52"/>
          <w:highlight w:val="none"/>
          <w14:textFill>
            <w14:solidFill>
              <w14:schemeClr w14:val="tx1"/>
            </w14:solidFill>
          </w14:textFill>
        </w:rPr>
        <w:t>其他响应文件</w:t>
      </w:r>
    </w:p>
    <w:p w14:paraId="33328344">
      <w:pPr>
        <w:spacing w:line="360" w:lineRule="auto"/>
        <w:rPr>
          <w:rFonts w:asciiTheme="minorEastAsia" w:hAnsiTheme="minorEastAsia" w:eastAsiaTheme="minorEastAsia"/>
          <w:b/>
          <w:color w:val="000000" w:themeColor="text1"/>
          <w:sz w:val="36"/>
          <w:highlight w:val="none"/>
          <w14:textFill>
            <w14:solidFill>
              <w14:schemeClr w14:val="tx1"/>
            </w14:solidFill>
          </w14:textFill>
        </w:rPr>
      </w:pPr>
    </w:p>
    <w:p w14:paraId="65402DFD">
      <w:pPr>
        <w:spacing w:line="360" w:lineRule="auto"/>
        <w:rPr>
          <w:rFonts w:asciiTheme="minorEastAsia" w:hAnsiTheme="minorEastAsia" w:eastAsiaTheme="minorEastAsia"/>
          <w:b/>
          <w:color w:val="000000" w:themeColor="text1"/>
          <w:sz w:val="36"/>
          <w:highlight w:val="none"/>
          <w14:textFill>
            <w14:solidFill>
              <w14:schemeClr w14:val="tx1"/>
            </w14:solidFill>
          </w14:textFill>
        </w:rPr>
      </w:pPr>
    </w:p>
    <w:p w14:paraId="187203B2">
      <w:pPr>
        <w:spacing w:line="360" w:lineRule="auto"/>
        <w:ind w:firstLine="643" w:firstLineChars="200"/>
        <w:jc w:val="left"/>
        <w:rPr>
          <w:rFonts w:asciiTheme="minorEastAsia" w:hAnsiTheme="minorEastAsia" w:eastAsiaTheme="minorEastAsia"/>
          <w:b/>
          <w:color w:val="000000" w:themeColor="text1"/>
          <w:sz w:val="32"/>
          <w:highlight w:val="none"/>
          <w:u w:val="single"/>
          <w14:textFill>
            <w14:solidFill>
              <w14:schemeClr w14:val="tx1"/>
            </w14:solidFill>
          </w14:textFill>
        </w:rPr>
      </w:pPr>
      <w:r>
        <w:rPr>
          <w:rFonts w:hint="eastAsia" w:asciiTheme="minorEastAsia" w:hAnsiTheme="minorEastAsia" w:eastAsiaTheme="minorEastAsia"/>
          <w:b/>
          <w:color w:val="000000" w:themeColor="text1"/>
          <w:sz w:val="32"/>
          <w:highlight w:val="none"/>
          <w14:textFill>
            <w14:solidFill>
              <w14:schemeClr w14:val="tx1"/>
            </w14:solidFill>
          </w14:textFill>
        </w:rPr>
        <w:t>供应商名称：</w:t>
      </w:r>
    </w:p>
    <w:p w14:paraId="35FF0831">
      <w:pPr>
        <w:spacing w:line="360" w:lineRule="auto"/>
        <w:ind w:firstLine="643" w:firstLineChars="200"/>
        <w:jc w:val="left"/>
        <w:rPr>
          <w:rFonts w:asciiTheme="minorEastAsia" w:hAnsiTheme="minorEastAsia" w:eastAsiaTheme="minorEastAsia"/>
          <w:b/>
          <w:color w:val="000000" w:themeColor="text1"/>
          <w:sz w:val="32"/>
          <w:highlight w:val="none"/>
          <w:u w:val="single"/>
          <w14:textFill>
            <w14:solidFill>
              <w14:schemeClr w14:val="tx1"/>
            </w14:solidFill>
          </w14:textFill>
        </w:rPr>
      </w:pPr>
      <w:r>
        <w:rPr>
          <w:rFonts w:hint="eastAsia" w:asciiTheme="minorEastAsia" w:hAnsiTheme="minorEastAsia" w:eastAsiaTheme="minorEastAsia"/>
          <w:b/>
          <w:color w:val="000000" w:themeColor="text1"/>
          <w:sz w:val="32"/>
          <w:highlight w:val="none"/>
          <w14:textFill>
            <w14:solidFill>
              <w14:schemeClr w14:val="tx1"/>
            </w14:solidFill>
          </w14:textFill>
        </w:rPr>
        <w:t>采购项目编号：</w:t>
      </w:r>
    </w:p>
    <w:p w14:paraId="7B1E887E">
      <w:pPr>
        <w:spacing w:line="360" w:lineRule="auto"/>
        <w:ind w:firstLine="643" w:firstLineChars="200"/>
        <w:jc w:val="left"/>
        <w:rPr>
          <w:rFonts w:asciiTheme="minorEastAsia" w:hAnsiTheme="minorEastAsia" w:eastAsiaTheme="minorEastAsia"/>
          <w:b/>
          <w:color w:val="000000" w:themeColor="text1"/>
          <w:sz w:val="32"/>
          <w:highlight w:val="none"/>
          <w:u w:val="single"/>
          <w14:textFill>
            <w14:solidFill>
              <w14:schemeClr w14:val="tx1"/>
            </w14:solidFill>
          </w14:textFill>
        </w:rPr>
      </w:pPr>
      <w:r>
        <w:rPr>
          <w:rFonts w:hint="eastAsia" w:asciiTheme="minorEastAsia" w:hAnsiTheme="minorEastAsia" w:eastAsiaTheme="minorEastAsia"/>
          <w:b/>
          <w:color w:val="000000" w:themeColor="text1"/>
          <w:sz w:val="32"/>
          <w:highlight w:val="none"/>
          <w14:textFill>
            <w14:solidFill>
              <w14:schemeClr w14:val="tx1"/>
            </w14:solidFill>
          </w14:textFill>
        </w:rPr>
        <w:t>包号：</w:t>
      </w:r>
    </w:p>
    <w:p w14:paraId="6CC74F46">
      <w:pPr>
        <w:spacing w:line="360" w:lineRule="auto"/>
        <w:ind w:firstLine="790" w:firstLineChars="246"/>
        <w:jc w:val="center"/>
        <w:rPr>
          <w:rFonts w:asciiTheme="minorEastAsia" w:hAnsiTheme="minorEastAsia" w:eastAsiaTheme="minorEastAsia"/>
          <w:b/>
          <w:color w:val="000000" w:themeColor="text1"/>
          <w:sz w:val="32"/>
          <w:highlight w:val="none"/>
          <w14:textFill>
            <w14:solidFill>
              <w14:schemeClr w14:val="tx1"/>
            </w14:solidFill>
          </w14:textFill>
        </w:rPr>
      </w:pPr>
    </w:p>
    <w:p w14:paraId="1762BD4C">
      <w:pPr>
        <w:spacing w:line="360" w:lineRule="auto"/>
        <w:ind w:firstLine="790" w:firstLineChars="246"/>
        <w:jc w:val="center"/>
        <w:rPr>
          <w:rFonts w:asciiTheme="minorEastAsia" w:hAnsiTheme="minorEastAsia" w:eastAsiaTheme="minorEastAsia"/>
          <w:b/>
          <w:color w:val="000000" w:themeColor="text1"/>
          <w:sz w:val="32"/>
          <w:highlight w:val="none"/>
          <w14:textFill>
            <w14:solidFill>
              <w14:schemeClr w14:val="tx1"/>
            </w14:solidFill>
          </w14:textFill>
        </w:rPr>
      </w:pPr>
      <w:r>
        <w:rPr>
          <w:rFonts w:hint="eastAsia" w:asciiTheme="minorEastAsia" w:hAnsiTheme="minorEastAsia" w:eastAsiaTheme="minorEastAsia"/>
          <w:b/>
          <w:color w:val="000000" w:themeColor="text1"/>
          <w:sz w:val="32"/>
          <w:highlight w:val="none"/>
          <w:lang w:eastAsia="zh-CN"/>
          <w14:textFill>
            <w14:solidFill>
              <w14:schemeClr w14:val="tx1"/>
            </w14:solidFill>
          </w14:textFill>
        </w:rPr>
        <w:t>2025</w:t>
      </w:r>
      <w:r>
        <w:rPr>
          <w:rFonts w:hint="eastAsia" w:asciiTheme="minorEastAsia" w:hAnsiTheme="minorEastAsia" w:eastAsiaTheme="minorEastAsia"/>
          <w:b/>
          <w:color w:val="000000" w:themeColor="text1"/>
          <w:sz w:val="32"/>
          <w:highlight w:val="none"/>
          <w14:textFill>
            <w14:solidFill>
              <w14:schemeClr w14:val="tx1"/>
            </w14:solidFill>
          </w14:textFill>
        </w:rPr>
        <w:t>年</w:t>
      </w:r>
      <w:r>
        <w:rPr>
          <w:rFonts w:asciiTheme="minorEastAsia" w:hAnsiTheme="minorEastAsia" w:eastAsiaTheme="minorEastAsia"/>
          <w:b/>
          <w:color w:val="000000" w:themeColor="text1"/>
          <w:sz w:val="32"/>
          <w:highlight w:val="none"/>
          <w14:textFill>
            <w14:solidFill>
              <w14:schemeClr w14:val="tx1"/>
            </w14:solidFill>
          </w14:textFill>
        </w:rPr>
        <w:t>XX</w:t>
      </w:r>
      <w:r>
        <w:rPr>
          <w:rFonts w:hint="eastAsia" w:asciiTheme="minorEastAsia" w:hAnsiTheme="minorEastAsia" w:eastAsiaTheme="minorEastAsia"/>
          <w:b/>
          <w:color w:val="000000" w:themeColor="text1"/>
          <w:sz w:val="32"/>
          <w:highlight w:val="none"/>
          <w14:textFill>
            <w14:solidFill>
              <w14:schemeClr w14:val="tx1"/>
            </w14:solidFill>
          </w14:textFill>
        </w:rPr>
        <w:t>月</w:t>
      </w:r>
      <w:r>
        <w:rPr>
          <w:rFonts w:asciiTheme="minorEastAsia" w:hAnsiTheme="minorEastAsia" w:eastAsiaTheme="minorEastAsia"/>
          <w:b/>
          <w:color w:val="000000" w:themeColor="text1"/>
          <w:sz w:val="32"/>
          <w:highlight w:val="none"/>
          <w14:textFill>
            <w14:solidFill>
              <w14:schemeClr w14:val="tx1"/>
            </w14:solidFill>
          </w14:textFill>
        </w:rPr>
        <w:t>XX</w:t>
      </w:r>
      <w:r>
        <w:rPr>
          <w:rFonts w:hint="eastAsia" w:asciiTheme="minorEastAsia" w:hAnsiTheme="minorEastAsia" w:eastAsiaTheme="minorEastAsia"/>
          <w:b/>
          <w:color w:val="000000" w:themeColor="text1"/>
          <w:sz w:val="32"/>
          <w:highlight w:val="none"/>
          <w14:textFill>
            <w14:solidFill>
              <w14:schemeClr w14:val="tx1"/>
            </w14:solidFill>
          </w14:textFill>
        </w:rPr>
        <w:t>日</w:t>
      </w:r>
    </w:p>
    <w:p w14:paraId="5AF4BA95">
      <w:pPr>
        <w:spacing w:line="360" w:lineRule="auto"/>
        <w:rPr>
          <w:rFonts w:asciiTheme="minorEastAsia" w:hAnsiTheme="minorEastAsia" w:eastAsiaTheme="minorEastAsia"/>
          <w:b/>
          <w:color w:val="000000" w:themeColor="text1"/>
          <w:sz w:val="32"/>
          <w:szCs w:val="32"/>
          <w:highlight w:val="none"/>
          <w14:textFill>
            <w14:solidFill>
              <w14:schemeClr w14:val="tx1"/>
            </w14:solidFill>
          </w14:textFill>
        </w:rPr>
      </w:pPr>
      <w:r>
        <w:rPr>
          <w:rFonts w:asciiTheme="minorEastAsia" w:hAnsiTheme="minorEastAsia" w:eastAsiaTheme="minorEastAsia"/>
          <w:b/>
          <w:color w:val="000000" w:themeColor="text1"/>
          <w:sz w:val="32"/>
          <w:highlight w:val="none"/>
          <w14:textFill>
            <w14:solidFill>
              <w14:schemeClr w14:val="tx1"/>
            </w14:solidFill>
          </w14:textFill>
        </w:rPr>
        <w:br w:type="page"/>
      </w:r>
      <w:r>
        <w:rPr>
          <w:rFonts w:hint="eastAsia" w:asciiTheme="minorEastAsia" w:hAnsiTheme="minorEastAsia" w:eastAsiaTheme="minorEastAsia"/>
          <w:b/>
          <w:color w:val="000000" w:themeColor="text1"/>
          <w:sz w:val="28"/>
          <w:szCs w:val="28"/>
          <w:highlight w:val="none"/>
          <w14:textFill>
            <w14:solidFill>
              <w14:schemeClr w14:val="tx1"/>
            </w14:solidFill>
          </w14:textFill>
        </w:rPr>
        <w:t>格式</w:t>
      </w:r>
      <w:r>
        <w:rPr>
          <w:rFonts w:asciiTheme="minorEastAsia" w:hAnsiTheme="minorEastAsia" w:eastAsiaTheme="minorEastAsia"/>
          <w:b/>
          <w:color w:val="000000" w:themeColor="text1"/>
          <w:sz w:val="28"/>
          <w:szCs w:val="28"/>
          <w:highlight w:val="none"/>
          <w14:textFill>
            <w14:solidFill>
              <w14:schemeClr w14:val="tx1"/>
            </w14:solidFill>
          </w14:textFill>
        </w:rPr>
        <w:t>2-2</w:t>
      </w:r>
    </w:p>
    <w:p w14:paraId="4A356601">
      <w:pPr>
        <w:spacing w:line="360" w:lineRule="auto"/>
        <w:jc w:val="center"/>
        <w:rPr>
          <w:rFonts w:cs="Arial" w:asciiTheme="minorEastAsia" w:hAnsiTheme="minorEastAsia" w:eastAsiaTheme="minorEastAsia"/>
          <w:b/>
          <w:bCs/>
          <w:color w:val="000000" w:themeColor="text1"/>
          <w:sz w:val="32"/>
          <w:szCs w:val="32"/>
          <w:highlight w:val="none"/>
          <w14:textFill>
            <w14:solidFill>
              <w14:schemeClr w14:val="tx1"/>
            </w14:solidFill>
          </w14:textFill>
        </w:rPr>
      </w:pPr>
      <w:bookmarkStart w:id="93" w:name="_Toc308164824"/>
      <w:r>
        <w:rPr>
          <w:rFonts w:hint="eastAsia" w:cs="Arial" w:asciiTheme="minorEastAsia" w:hAnsiTheme="minorEastAsia" w:eastAsiaTheme="minorEastAsia"/>
          <w:b/>
          <w:bCs/>
          <w:color w:val="000000" w:themeColor="text1"/>
          <w:sz w:val="32"/>
          <w:szCs w:val="32"/>
          <w:highlight w:val="none"/>
          <w14:textFill>
            <w14:solidFill>
              <w14:schemeClr w14:val="tx1"/>
            </w14:solidFill>
          </w14:textFill>
        </w:rPr>
        <w:t>一、报价函</w:t>
      </w:r>
    </w:p>
    <w:p w14:paraId="26409D8E">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u w:val="single"/>
          <w14:textFill>
            <w14:solidFill>
              <w14:schemeClr w14:val="tx1"/>
            </w14:solidFill>
          </w14:textFill>
        </w:rPr>
        <w:t>XXXXXXX</w:t>
      </w:r>
      <w:r>
        <w:rPr>
          <w:rFonts w:hint="eastAsia" w:asciiTheme="minorEastAsia" w:hAnsiTheme="minorEastAsia" w:eastAsiaTheme="minorEastAsia"/>
          <w:color w:val="000000" w:themeColor="text1"/>
          <w:sz w:val="24"/>
          <w:highlight w:val="none"/>
          <w14:textFill>
            <w14:solidFill>
              <w14:schemeClr w14:val="tx1"/>
            </w14:solidFill>
          </w14:textFill>
        </w:rPr>
        <w:t>（采购</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人</w:t>
      </w:r>
      <w:r>
        <w:rPr>
          <w:rFonts w:hint="eastAsia" w:asciiTheme="minorEastAsia" w:hAnsiTheme="minorEastAsia" w:eastAsiaTheme="minorEastAsia"/>
          <w:color w:val="000000" w:themeColor="text1"/>
          <w:sz w:val="24"/>
          <w:highlight w:val="none"/>
          <w14:textFill>
            <w14:solidFill>
              <w14:schemeClr w14:val="tx1"/>
            </w14:solidFill>
          </w14:textFill>
        </w:rPr>
        <w:t>名称）</w:t>
      </w:r>
      <w:r>
        <w:rPr>
          <w:rFonts w:asciiTheme="minorEastAsia" w:hAnsiTheme="minorEastAsia" w:eastAsiaTheme="minorEastAsia"/>
          <w:color w:val="000000" w:themeColor="text1"/>
          <w:sz w:val="24"/>
          <w:highlight w:val="none"/>
          <w14:textFill>
            <w14:solidFill>
              <w14:schemeClr w14:val="tx1"/>
            </w14:solidFill>
          </w14:textFill>
        </w:rPr>
        <w:t xml:space="preserve">: </w:t>
      </w:r>
    </w:p>
    <w:p w14:paraId="45AD9E00">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．我方己仔细研究了</w:t>
      </w:r>
      <w:r>
        <w:rPr>
          <w:rFonts w:hint="eastAsia" w:asciiTheme="minorEastAsia" w:hAnsiTheme="minorEastAsia" w:eastAsiaTheme="minorEastAsia"/>
          <w:color w:val="000000" w:themeColor="text1"/>
          <w:sz w:val="24"/>
          <w:highlight w:val="none"/>
          <w:u w:val="single"/>
          <w14:textFill>
            <w14:solidFill>
              <w14:schemeClr w14:val="tx1"/>
            </w14:solidFill>
          </w14:textFill>
        </w:rPr>
        <w:t>（项目名称）</w:t>
      </w:r>
      <w:r>
        <w:rPr>
          <w:rFonts w:hint="eastAsia" w:asciiTheme="minorEastAsia" w:hAnsiTheme="minorEastAsia" w:eastAsiaTheme="minorEastAsia"/>
          <w:color w:val="000000" w:themeColor="text1"/>
          <w:sz w:val="24"/>
          <w:highlight w:val="none"/>
          <w14:textFill>
            <w14:solidFill>
              <w14:schemeClr w14:val="tx1"/>
            </w14:solidFill>
          </w14:textFill>
        </w:rPr>
        <w:t xml:space="preserve">磋商文件的全部内容，愿意以人民币 </w:t>
      </w:r>
      <w:r>
        <w:rPr>
          <w:rFonts w:hint="eastAsia" w:asciiTheme="minorEastAsia" w:hAnsiTheme="minorEastAsia" w:eastAsiaTheme="minorEastAsia"/>
          <w:color w:val="000000" w:themeColor="text1"/>
          <w:sz w:val="24"/>
          <w:highlight w:val="none"/>
          <w:u w:val="single"/>
          <w14:textFill>
            <w14:solidFill>
              <w14:schemeClr w14:val="tx1"/>
            </w14:solidFill>
          </w14:textFill>
        </w:rPr>
        <w:t xml:space="preserve">      （大写 ）</w:t>
      </w:r>
      <w:r>
        <w:rPr>
          <w:rFonts w:hint="eastAsia" w:asciiTheme="minorEastAsia" w:hAnsiTheme="minorEastAsia" w:eastAsiaTheme="minorEastAsia"/>
          <w:color w:val="000000" w:themeColor="text1"/>
          <w:sz w:val="24"/>
          <w:highlight w:val="none"/>
          <w14:textFill>
            <w14:solidFill>
              <w14:schemeClr w14:val="tx1"/>
            </w14:solidFill>
          </w14:textFill>
        </w:rPr>
        <w:t>的总报价，工期</w:t>
      </w:r>
      <w:r>
        <w:rPr>
          <w:rFonts w:hint="eastAsia" w:asciiTheme="minorEastAsia" w:hAnsiTheme="minorEastAsia" w:eastAsiaTheme="minorEastAsia"/>
          <w:color w:val="000000" w:themeColor="text1"/>
          <w:sz w:val="24"/>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sz w:val="24"/>
          <w:highlight w:val="none"/>
          <w14:textFill>
            <w14:solidFill>
              <w14:schemeClr w14:val="tx1"/>
            </w14:solidFill>
          </w14:textFill>
        </w:rPr>
        <w:t>日历天，按合同约定实施和完成承包工程，修补工程中的任何缺陷，工程质量达到。</w:t>
      </w:r>
    </w:p>
    <w:p w14:paraId="7AF49845">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．我方承诺在响应文件有效期</w:t>
      </w:r>
      <w:r>
        <w:rPr>
          <w:rFonts w:hint="eastAsia" w:asciiTheme="minorEastAsia" w:hAnsiTheme="minorEastAsia" w:eastAsiaTheme="minorEastAsia"/>
          <w:color w:val="000000" w:themeColor="text1"/>
          <w:sz w:val="24"/>
          <w:highlight w:val="none"/>
          <w:u w:val="single"/>
          <w:lang w:val="en-US" w:eastAsia="zh-CN"/>
          <w14:textFill>
            <w14:solidFill>
              <w14:schemeClr w14:val="tx1"/>
            </w14:solidFill>
          </w14:textFill>
        </w:rPr>
        <w:t xml:space="preserve"> 120</w:t>
      </w:r>
      <w:r>
        <w:rPr>
          <w:rFonts w:hint="eastAsia" w:asciiTheme="minorEastAsia" w:hAnsiTheme="minorEastAsia" w:eastAsiaTheme="minorEastAsia"/>
          <w:color w:val="000000" w:themeColor="text1"/>
          <w:sz w:val="24"/>
          <w:highlight w:val="none"/>
          <w14:textFill>
            <w14:solidFill>
              <w14:schemeClr w14:val="tx1"/>
            </w14:solidFill>
          </w14:textFill>
        </w:rPr>
        <w:t>天内不修改、撤销响应文件。</w:t>
      </w:r>
    </w:p>
    <w:p w14:paraId="0DAA2E98">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．如我方成交：</w:t>
      </w:r>
    </w:p>
    <w:p w14:paraId="41A539F8">
      <w:pPr>
        <w:spacing w:line="360" w:lineRule="auto"/>
        <w:ind w:firstLine="120" w:firstLineChars="5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(l</w:t>
      </w:r>
      <w:r>
        <w:rPr>
          <w:rFonts w:hint="eastAsia" w:asciiTheme="minorEastAsia" w:hAnsiTheme="minorEastAsia" w:eastAsiaTheme="minorEastAsia"/>
          <w:color w:val="000000" w:themeColor="text1"/>
          <w:sz w:val="24"/>
          <w:highlight w:val="none"/>
          <w14:textFill>
            <w14:solidFill>
              <w14:schemeClr w14:val="tx1"/>
            </w14:solidFill>
          </w14:textFill>
        </w:rPr>
        <w:t>）我方承诺在收到成交通知书后，在规定的期限内与采购人签订合同。</w:t>
      </w:r>
    </w:p>
    <w:p w14:paraId="21AE376E">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）我方承诺按照磋商文件规定向采购人递交履约担保。</w:t>
      </w:r>
    </w:p>
    <w:p w14:paraId="68810DE3">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）我方将严格履行采购合同规定的责任和义务。</w:t>
      </w:r>
    </w:p>
    <w:p w14:paraId="5DBB6283">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）我方愿意提供贵单位可能另外要求的，与磋商报价有关的文件资料，并保证我方已提供和将要提供的文件资料是真实、准确的。</w:t>
      </w:r>
    </w:p>
    <w:p w14:paraId="0F8CF27A">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5</w:t>
      </w:r>
      <w:r>
        <w:rPr>
          <w:rFonts w:hint="eastAsia" w:asciiTheme="minorEastAsia" w:hAnsiTheme="minorEastAsia" w:eastAsiaTheme="minorEastAsia"/>
          <w:color w:val="000000" w:themeColor="text1"/>
          <w:sz w:val="24"/>
          <w:highlight w:val="none"/>
          <w14:textFill>
            <w14:solidFill>
              <w14:schemeClr w14:val="tx1"/>
            </w14:solidFill>
          </w14:textFill>
        </w:rPr>
        <w:t>）（其他补充说明）。</w:t>
      </w:r>
    </w:p>
    <w:p w14:paraId="0D4DE083">
      <w:pPr>
        <w:adjustRightInd w:val="0"/>
        <w:spacing w:line="360" w:lineRule="auto"/>
        <w:ind w:firstLine="480" w:firstLineChars="200"/>
        <w:jc w:val="left"/>
        <w:rPr>
          <w:rFonts w:asciiTheme="minorEastAsia" w:hAnsiTheme="minorEastAsia" w:eastAsiaTheme="minorEastAsia"/>
          <w:color w:val="000000" w:themeColor="text1"/>
          <w:sz w:val="24"/>
          <w:highlight w:val="none"/>
          <w14:textFill>
            <w14:solidFill>
              <w14:schemeClr w14:val="tx1"/>
            </w14:solidFill>
          </w14:textFill>
        </w:rPr>
      </w:pPr>
    </w:p>
    <w:p w14:paraId="56C38448">
      <w:pPr>
        <w:adjustRightInd w:val="0"/>
        <w:spacing w:line="360" w:lineRule="auto"/>
        <w:ind w:firstLine="480" w:firstLineChars="200"/>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供应商名称：</w:t>
      </w:r>
      <w:r>
        <w:rPr>
          <w:rFonts w:asciiTheme="minorEastAsia" w:hAnsiTheme="minorEastAsia" w:eastAsiaTheme="minorEastAsia"/>
          <w:color w:val="000000" w:themeColor="text1"/>
          <w:sz w:val="24"/>
          <w:highlight w:val="none"/>
          <w14:textFill>
            <w14:solidFill>
              <w14:schemeClr w14:val="tx1"/>
            </w14:solidFill>
          </w14:textFill>
        </w:rPr>
        <w:t>XXX</w:t>
      </w:r>
      <w:r>
        <w:rPr>
          <w:rFonts w:hint="eastAsia" w:asciiTheme="minorEastAsia" w:hAnsiTheme="minorEastAsia" w:eastAsiaTheme="minorEastAsia"/>
          <w:color w:val="000000" w:themeColor="text1"/>
          <w:sz w:val="24"/>
          <w:highlight w:val="none"/>
          <w14:textFill>
            <w14:solidFill>
              <w14:schemeClr w14:val="tx1"/>
            </w14:solidFill>
          </w14:textFill>
        </w:rPr>
        <w:t>（盖单位公章）</w:t>
      </w:r>
    </w:p>
    <w:p w14:paraId="3D977833">
      <w:pPr>
        <w:spacing w:line="360" w:lineRule="auto"/>
        <w:ind w:firstLine="470" w:firstLineChars="196"/>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法定代表人</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单位负责人或授权代表（签字或加盖个人印章）：</w:t>
      </w:r>
      <w:r>
        <w:rPr>
          <w:rFonts w:asciiTheme="minorEastAsia" w:hAnsiTheme="minorEastAsia" w:eastAsiaTheme="minorEastAsia"/>
          <w:color w:val="000000" w:themeColor="text1"/>
          <w:sz w:val="24"/>
          <w:highlight w:val="none"/>
          <w14:textFill>
            <w14:solidFill>
              <w14:schemeClr w14:val="tx1"/>
            </w14:solidFill>
          </w14:textFill>
        </w:rPr>
        <w:t>XXX</w:t>
      </w:r>
    </w:p>
    <w:p w14:paraId="58E2B70F">
      <w:pPr>
        <w:spacing w:line="360" w:lineRule="auto"/>
        <w:ind w:firstLine="470" w:firstLineChars="196"/>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通讯地址：</w:t>
      </w:r>
      <w:r>
        <w:rPr>
          <w:rFonts w:asciiTheme="minorEastAsia" w:hAnsiTheme="minorEastAsia" w:eastAsiaTheme="minorEastAsia"/>
          <w:color w:val="000000" w:themeColor="text1"/>
          <w:sz w:val="24"/>
          <w:highlight w:val="none"/>
          <w14:textFill>
            <w14:solidFill>
              <w14:schemeClr w14:val="tx1"/>
            </w14:solidFill>
          </w14:textFill>
        </w:rPr>
        <w:t>XXX</w:t>
      </w:r>
    </w:p>
    <w:p w14:paraId="60607618">
      <w:pPr>
        <w:spacing w:line="360" w:lineRule="auto"/>
        <w:ind w:firstLine="470" w:firstLineChars="196"/>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邮政编码：</w:t>
      </w:r>
      <w:r>
        <w:rPr>
          <w:rFonts w:asciiTheme="minorEastAsia" w:hAnsiTheme="minorEastAsia" w:eastAsiaTheme="minorEastAsia"/>
          <w:color w:val="000000" w:themeColor="text1"/>
          <w:sz w:val="24"/>
          <w:highlight w:val="none"/>
          <w14:textFill>
            <w14:solidFill>
              <w14:schemeClr w14:val="tx1"/>
            </w14:solidFill>
          </w14:textFill>
        </w:rPr>
        <w:t>XXX</w:t>
      </w:r>
    </w:p>
    <w:p w14:paraId="2D046EB7">
      <w:pPr>
        <w:spacing w:line="360" w:lineRule="auto"/>
        <w:ind w:firstLine="470" w:firstLineChars="196"/>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联系电话：</w:t>
      </w:r>
      <w:r>
        <w:rPr>
          <w:rFonts w:asciiTheme="minorEastAsia" w:hAnsiTheme="minorEastAsia" w:eastAsiaTheme="minorEastAsia"/>
          <w:color w:val="000000" w:themeColor="text1"/>
          <w:sz w:val="24"/>
          <w:highlight w:val="none"/>
          <w14:textFill>
            <w14:solidFill>
              <w14:schemeClr w14:val="tx1"/>
            </w14:solidFill>
          </w14:textFill>
        </w:rPr>
        <w:t>XXX</w:t>
      </w:r>
    </w:p>
    <w:p w14:paraId="5AD2BB61">
      <w:pPr>
        <w:spacing w:line="360" w:lineRule="auto"/>
        <w:ind w:firstLine="470" w:firstLineChars="196"/>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传真：</w:t>
      </w:r>
      <w:r>
        <w:rPr>
          <w:rFonts w:asciiTheme="minorEastAsia" w:hAnsiTheme="minorEastAsia" w:eastAsiaTheme="minorEastAsia"/>
          <w:color w:val="000000" w:themeColor="text1"/>
          <w:sz w:val="24"/>
          <w:highlight w:val="none"/>
          <w14:textFill>
            <w14:solidFill>
              <w14:schemeClr w14:val="tx1"/>
            </w14:solidFill>
          </w14:textFill>
        </w:rPr>
        <w:t>XXX</w:t>
      </w:r>
    </w:p>
    <w:p w14:paraId="7CBE169D">
      <w:pPr>
        <w:spacing w:line="360" w:lineRule="auto"/>
        <w:ind w:firstLine="470" w:firstLineChars="196"/>
        <w:rPr>
          <w:rFonts w:asciiTheme="minorEastAsia" w:hAnsiTheme="minorEastAsia" w:eastAsiaTheme="minorEastAsia"/>
          <w:b/>
          <w:color w:val="000000" w:themeColor="text1"/>
          <w:sz w:val="32"/>
          <w:szCs w:val="32"/>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日期：</w:t>
      </w:r>
      <w:r>
        <w:rPr>
          <w:rFonts w:asciiTheme="minorEastAsia" w:hAnsiTheme="minorEastAsia" w:eastAsiaTheme="minorEastAsia"/>
          <w:color w:val="000000" w:themeColor="text1"/>
          <w:sz w:val="24"/>
          <w:highlight w:val="none"/>
          <w14:textFill>
            <w14:solidFill>
              <w14:schemeClr w14:val="tx1"/>
            </w14:solidFill>
          </w14:textFill>
        </w:rPr>
        <w:t>XXX</w:t>
      </w:r>
      <w:r>
        <w:rPr>
          <w:rFonts w:hint="eastAsia" w:asciiTheme="minorEastAsia" w:hAnsiTheme="minorEastAsia" w:eastAsiaTheme="minorEastAsia"/>
          <w:color w:val="000000" w:themeColor="text1"/>
          <w:sz w:val="24"/>
          <w:highlight w:val="none"/>
          <w14:textFill>
            <w14:solidFill>
              <w14:schemeClr w14:val="tx1"/>
            </w14:solidFill>
          </w14:textFill>
        </w:rPr>
        <w:t>年</w:t>
      </w:r>
      <w:r>
        <w:rPr>
          <w:rFonts w:asciiTheme="minorEastAsia" w:hAnsiTheme="minorEastAsia" w:eastAsiaTheme="minorEastAsia"/>
          <w:color w:val="000000" w:themeColor="text1"/>
          <w:sz w:val="24"/>
          <w:highlight w:val="none"/>
          <w14:textFill>
            <w14:solidFill>
              <w14:schemeClr w14:val="tx1"/>
            </w14:solidFill>
          </w14:textFill>
        </w:rPr>
        <w:t>XXX</w:t>
      </w:r>
      <w:r>
        <w:rPr>
          <w:rFonts w:hint="eastAsia" w:asciiTheme="minorEastAsia" w:hAnsiTheme="minorEastAsia" w:eastAsiaTheme="minorEastAsia"/>
          <w:color w:val="000000" w:themeColor="text1"/>
          <w:sz w:val="24"/>
          <w:highlight w:val="none"/>
          <w14:textFill>
            <w14:solidFill>
              <w14:schemeClr w14:val="tx1"/>
            </w14:solidFill>
          </w14:textFill>
        </w:rPr>
        <w:t>月</w:t>
      </w:r>
      <w:r>
        <w:rPr>
          <w:rFonts w:asciiTheme="minorEastAsia" w:hAnsiTheme="minorEastAsia" w:eastAsiaTheme="minorEastAsia"/>
          <w:color w:val="000000" w:themeColor="text1"/>
          <w:sz w:val="24"/>
          <w:highlight w:val="none"/>
          <w14:textFill>
            <w14:solidFill>
              <w14:schemeClr w14:val="tx1"/>
            </w14:solidFill>
          </w14:textFill>
        </w:rPr>
        <w:t>XXX</w:t>
      </w:r>
      <w:r>
        <w:rPr>
          <w:rFonts w:hint="eastAsia" w:asciiTheme="minorEastAsia" w:hAnsiTheme="minorEastAsia" w:eastAsiaTheme="minorEastAsia"/>
          <w:color w:val="000000" w:themeColor="text1"/>
          <w:sz w:val="24"/>
          <w:highlight w:val="none"/>
          <w14:textFill>
            <w14:solidFill>
              <w14:schemeClr w14:val="tx1"/>
            </w14:solidFill>
          </w14:textFill>
        </w:rPr>
        <w:t>日</w:t>
      </w:r>
      <w:r>
        <w:rPr>
          <w:rFonts w:asciiTheme="minorEastAsia" w:hAnsiTheme="minorEastAsia" w:eastAsiaTheme="minorEastAsia"/>
          <w:b/>
          <w:color w:val="000000" w:themeColor="text1"/>
          <w:sz w:val="32"/>
          <w:szCs w:val="32"/>
          <w:highlight w:val="none"/>
          <w14:textFill>
            <w14:solidFill>
              <w14:schemeClr w14:val="tx1"/>
            </w14:solidFill>
          </w14:textFill>
        </w:rPr>
        <w:br w:type="page"/>
      </w:r>
      <w:r>
        <w:rPr>
          <w:rFonts w:hint="eastAsia" w:asciiTheme="minorEastAsia" w:hAnsiTheme="minorEastAsia" w:eastAsiaTheme="minorEastAsia"/>
          <w:b/>
          <w:color w:val="000000" w:themeColor="text1"/>
          <w:sz w:val="32"/>
          <w:szCs w:val="32"/>
          <w:highlight w:val="none"/>
          <w14:textFill>
            <w14:solidFill>
              <w14:schemeClr w14:val="tx1"/>
            </w14:solidFill>
          </w14:textFill>
        </w:rPr>
        <w:t>格式</w:t>
      </w:r>
      <w:r>
        <w:rPr>
          <w:rFonts w:asciiTheme="minorEastAsia" w:hAnsiTheme="minorEastAsia" w:eastAsiaTheme="minorEastAsia"/>
          <w:b/>
          <w:color w:val="000000" w:themeColor="text1"/>
          <w:sz w:val="32"/>
          <w:szCs w:val="32"/>
          <w:highlight w:val="none"/>
          <w14:textFill>
            <w14:solidFill>
              <w14:schemeClr w14:val="tx1"/>
            </w14:solidFill>
          </w14:textFill>
        </w:rPr>
        <w:t>2-3</w:t>
      </w:r>
    </w:p>
    <w:p w14:paraId="0DD264A9">
      <w:pPr>
        <w:widowControl/>
        <w:jc w:val="center"/>
        <w:outlineLvl w:val="1"/>
        <w:rPr>
          <w:rFonts w:asciiTheme="minorEastAsia" w:hAnsiTheme="minorEastAsia" w:eastAsiaTheme="minorEastAsia"/>
          <w:b/>
          <w:color w:val="000000" w:themeColor="text1"/>
          <w:sz w:val="32"/>
          <w:szCs w:val="32"/>
          <w:highlight w:val="none"/>
          <w14:textFill>
            <w14:solidFill>
              <w14:schemeClr w14:val="tx1"/>
            </w14:solidFill>
          </w14:textFill>
        </w:rPr>
      </w:pPr>
      <w:r>
        <w:rPr>
          <w:rFonts w:hint="eastAsia" w:asciiTheme="minorEastAsia" w:hAnsiTheme="minorEastAsia" w:eastAsiaTheme="minorEastAsia"/>
          <w:b/>
          <w:color w:val="000000" w:themeColor="text1"/>
          <w:sz w:val="32"/>
          <w:szCs w:val="32"/>
          <w:highlight w:val="none"/>
          <w14:textFill>
            <w14:solidFill>
              <w14:schemeClr w14:val="tx1"/>
            </w14:solidFill>
          </w14:textFill>
        </w:rPr>
        <w:t>二、承诺函（实质性要求）</w:t>
      </w:r>
    </w:p>
    <w:p w14:paraId="20227D1D">
      <w:pPr>
        <w:widowControl/>
        <w:jc w:val="center"/>
        <w:outlineLvl w:val="1"/>
        <w:rPr>
          <w:rFonts w:asciiTheme="minorEastAsia" w:hAnsiTheme="minorEastAsia" w:eastAsiaTheme="minorEastAsia"/>
          <w:b/>
          <w:color w:val="000000" w:themeColor="text1"/>
          <w:sz w:val="24"/>
          <w:highlight w:val="none"/>
          <w14:textFill>
            <w14:solidFill>
              <w14:schemeClr w14:val="tx1"/>
            </w14:solidFill>
          </w14:textFill>
        </w:rPr>
      </w:pPr>
    </w:p>
    <w:p w14:paraId="005FE53B">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XXX</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采购人</w:t>
      </w:r>
      <w:r>
        <w:rPr>
          <w:rFonts w:hint="eastAsia" w:asciiTheme="minorEastAsia" w:hAnsiTheme="minorEastAsia" w:eastAsiaTheme="minorEastAsia"/>
          <w:color w:val="000000" w:themeColor="text1"/>
          <w:sz w:val="24"/>
          <w:highlight w:val="none"/>
          <w14:textFill>
            <w14:solidFill>
              <w14:schemeClr w14:val="tx1"/>
            </w14:solidFill>
          </w14:textFill>
        </w:rPr>
        <w:t>名称）：</w:t>
      </w:r>
    </w:p>
    <w:p w14:paraId="677BC71D">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我方作为本次采购项目的供应商，根据磋商文件要求，现郑重承诺如下：</w:t>
      </w:r>
    </w:p>
    <w:p w14:paraId="02436FFD">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一、我方已认真阅读并接受本项目磋商文件第二章的全部实质性要求（含国家规定的强制采购范围），如对磋商文件有异议，已依法进行维权救济，不存在对磋商文件有异议的同时又参加磋商以求侥幸成交或者为实现其他非法目的的行为。</w:t>
      </w:r>
    </w:p>
    <w:p w14:paraId="38956AE5">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二、在参加本次采购活动中，不存在与单位负责人为同一人或者存在直接控股、管理关系的其他供应商参与同一合同项下的采购活动的行为。</w:t>
      </w:r>
    </w:p>
    <w:p w14:paraId="72432AF2">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三、为采购项目提供整体设计、规范编制或者项目管理、监理、检测等服务的供应商，不得再参加该采购项目的其他采购活动，我方承诺不属于此类禁止参加本项目的供应商。</w:t>
      </w:r>
    </w:p>
    <w:p w14:paraId="3F9FF803">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四、在参加本次采购活动中，不存在和其他供应商在同一合同项下的采购项目中，同时委托同一个自然人、同一家庭的人员、同一单位的人员作为代理人的行为。</w:t>
      </w:r>
    </w:p>
    <w:p w14:paraId="7DAF95DA">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五、我方实际控制人或者中高级管理人员，不存在同时是采购代理机构工作人员的情形。</w:t>
      </w:r>
    </w:p>
    <w:p w14:paraId="299FDB96">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六、不存在同一母公司的两家以上的子公司，以不同供应商身份同时参加本项目同一合同项下的采购活动的情形。</w:t>
      </w:r>
    </w:p>
    <w:p w14:paraId="73AAF8CD">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七、我方与采购代理机构不存在关联关系，也不是采购代理机构的母公司或子公司。</w:t>
      </w:r>
    </w:p>
    <w:p w14:paraId="51845048">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八、响应文件中提供的任何资料和技术、服务、商务等响应承诺情况都是真实的、有效的、合法的。</w:t>
      </w:r>
    </w:p>
    <w:p w14:paraId="6CE7E2B8">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九、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14:paraId="7B6886A2">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十、国家或行业主管部门对采购产品的技术标准、质量标准和资格资质条件等有强制性规定的，我方承诺符合其要求。</w:t>
      </w:r>
    </w:p>
    <w:p w14:paraId="0E50B8BF">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十一、参加本次采购活动，我方完全同意磋商文件第二章关于“磋商费用”、“合同分包”、“合同转包”、“履约保证金”的实质性要求，并承诺严格按照磋商文件要求履行。</w:t>
      </w:r>
    </w:p>
    <w:p w14:paraId="4F7692E5">
      <w:pPr>
        <w:spacing w:line="360" w:lineRule="auto"/>
        <w:ind w:firstLine="480" w:firstLineChars="200"/>
        <w:rPr>
          <w:rFonts w:hint="eastAsia"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十二、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4FDF8996">
      <w:pPr>
        <w:pStyle w:val="23"/>
        <w:spacing w:before="0" w:after="0" w:line="360" w:lineRule="auto"/>
        <w:rPr>
          <w:rFonts w:hint="eastAsia" w:asciiTheme="minorEastAsia" w:hAnsiTheme="minorEastAsia" w:eastAsiaTheme="minorEastAsia"/>
          <w:b w:val="0"/>
          <w:color w:val="000000" w:themeColor="text1"/>
          <w:kern w:val="2"/>
          <w:szCs w:val="24"/>
          <w:highlight w:val="none"/>
          <w14:textFill>
            <w14:solidFill>
              <w14:schemeClr w14:val="tx1"/>
            </w14:solidFill>
          </w14:textFill>
        </w:rPr>
      </w:pPr>
      <w:r>
        <w:rPr>
          <w:rFonts w:hint="eastAsia" w:asciiTheme="minorEastAsia" w:hAnsiTheme="minorEastAsia" w:eastAsiaTheme="minorEastAsia"/>
          <w:b w:val="0"/>
          <w:color w:val="000000" w:themeColor="text1"/>
          <w:kern w:val="2"/>
          <w:sz w:val="24"/>
          <w:szCs w:val="24"/>
          <w:highlight w:val="none"/>
          <w:lang w:val="en-US" w:eastAsia="zh-CN"/>
          <w14:textFill>
            <w14:solidFill>
              <w14:schemeClr w14:val="tx1"/>
            </w14:solidFill>
          </w14:textFill>
        </w:rPr>
        <w:t>十三、我方已经仔细研读第九章《</w:t>
      </w:r>
      <w:r>
        <w:rPr>
          <w:rFonts w:hint="eastAsia" w:asciiTheme="minorEastAsia" w:hAnsiTheme="minorEastAsia" w:eastAsiaTheme="minorEastAsia"/>
          <w:b w:val="0"/>
          <w:color w:val="000000" w:themeColor="text1"/>
          <w:kern w:val="2"/>
          <w:szCs w:val="24"/>
          <w:highlight w:val="none"/>
          <w14:textFill>
            <w14:solidFill>
              <w14:schemeClr w14:val="tx1"/>
            </w14:solidFill>
          </w14:textFill>
        </w:rPr>
        <w:t>合同及附件</w:t>
      </w:r>
      <w:r>
        <w:rPr>
          <w:rFonts w:hint="eastAsia" w:asciiTheme="minorEastAsia" w:hAnsiTheme="minorEastAsia" w:eastAsiaTheme="minorEastAsia"/>
          <w:b w:val="0"/>
          <w:color w:val="000000" w:themeColor="text1"/>
          <w:kern w:val="2"/>
          <w:sz w:val="24"/>
          <w:szCs w:val="24"/>
          <w:highlight w:val="none"/>
          <w:lang w:val="en-US" w:eastAsia="zh-CN"/>
          <w14:textFill>
            <w14:solidFill>
              <w14:schemeClr w14:val="tx1"/>
            </w14:solidFill>
          </w14:textFill>
        </w:rPr>
        <w:t>》内容，</w:t>
      </w:r>
      <w:r>
        <w:rPr>
          <w:rFonts w:hint="eastAsia" w:asciiTheme="minorEastAsia" w:hAnsiTheme="minorEastAsia" w:eastAsiaTheme="minorEastAsia"/>
          <w:b w:val="0"/>
          <w:color w:val="000000" w:themeColor="text1"/>
          <w:kern w:val="2"/>
          <w:szCs w:val="24"/>
          <w:highlight w:val="none"/>
          <w14:textFill>
            <w14:solidFill>
              <w14:schemeClr w14:val="tx1"/>
            </w14:solidFill>
          </w14:textFill>
        </w:rPr>
        <w:t>我方完全</w:t>
      </w:r>
      <w:r>
        <w:rPr>
          <w:rFonts w:hint="eastAsia" w:asciiTheme="minorEastAsia" w:hAnsiTheme="minorEastAsia" w:eastAsiaTheme="minorEastAsia"/>
          <w:b w:val="0"/>
          <w:color w:val="000000" w:themeColor="text1"/>
          <w:kern w:val="2"/>
          <w:szCs w:val="24"/>
          <w:highlight w:val="none"/>
          <w:lang w:val="en-US" w:eastAsia="zh-CN"/>
          <w14:textFill>
            <w14:solidFill>
              <w14:schemeClr w14:val="tx1"/>
            </w14:solidFill>
          </w14:textFill>
        </w:rPr>
        <w:t>响应合同内容</w:t>
      </w:r>
      <w:r>
        <w:rPr>
          <w:rFonts w:hint="eastAsia" w:asciiTheme="minorEastAsia" w:hAnsiTheme="minorEastAsia" w:eastAsiaTheme="minorEastAsia"/>
          <w:b w:val="0"/>
          <w:color w:val="000000" w:themeColor="text1"/>
          <w:kern w:val="2"/>
          <w:szCs w:val="24"/>
          <w:highlight w:val="none"/>
          <w14:textFill>
            <w14:solidFill>
              <w14:schemeClr w14:val="tx1"/>
            </w14:solidFill>
          </w14:textFill>
        </w:rPr>
        <w:t>并承诺严格按照</w:t>
      </w:r>
      <w:r>
        <w:rPr>
          <w:rFonts w:hint="eastAsia" w:asciiTheme="minorEastAsia" w:hAnsiTheme="minorEastAsia" w:eastAsiaTheme="minorEastAsia"/>
          <w:b w:val="0"/>
          <w:color w:val="000000" w:themeColor="text1"/>
          <w:kern w:val="2"/>
          <w:szCs w:val="24"/>
          <w:highlight w:val="none"/>
          <w:lang w:val="en-US" w:eastAsia="zh-CN"/>
          <w14:textFill>
            <w14:solidFill>
              <w14:schemeClr w14:val="tx1"/>
            </w14:solidFill>
          </w14:textFill>
        </w:rPr>
        <w:t>合同内容</w:t>
      </w:r>
      <w:r>
        <w:rPr>
          <w:rFonts w:hint="eastAsia" w:asciiTheme="minorEastAsia" w:hAnsiTheme="minorEastAsia" w:eastAsiaTheme="minorEastAsia"/>
          <w:b w:val="0"/>
          <w:color w:val="000000" w:themeColor="text1"/>
          <w:kern w:val="2"/>
          <w:szCs w:val="24"/>
          <w:highlight w:val="none"/>
          <w14:textFill>
            <w14:solidFill>
              <w14:schemeClr w14:val="tx1"/>
            </w14:solidFill>
          </w14:textFill>
        </w:rPr>
        <w:t>要求履行</w:t>
      </w:r>
    </w:p>
    <w:p w14:paraId="53AC4D49">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我方对上述承诺的内容事项真实性负责。如经查实上述承诺的内容事项存在虚假，我方愿意接受以提供虚假材料谋取成交的法律责任。</w:t>
      </w:r>
    </w:p>
    <w:p w14:paraId="4C2430FF">
      <w:pPr>
        <w:spacing w:line="440" w:lineRule="exact"/>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p>
    <w:p w14:paraId="31636B66">
      <w:pPr>
        <w:spacing w:line="440" w:lineRule="exact"/>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p>
    <w:p w14:paraId="12AF3026">
      <w:pPr>
        <w:spacing w:line="440" w:lineRule="exact"/>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法定代表人</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单位负责人签字或加盖个人印章：</w:t>
      </w:r>
      <w:r>
        <w:rPr>
          <w:rFonts w:asciiTheme="minorEastAsia" w:hAnsiTheme="minorEastAsia" w:eastAsiaTheme="minorEastAsia"/>
          <w:color w:val="000000" w:themeColor="text1"/>
          <w:sz w:val="24"/>
          <w:highlight w:val="none"/>
          <w14:textFill>
            <w14:solidFill>
              <w14:schemeClr w14:val="tx1"/>
            </w14:solidFill>
          </w14:textFill>
        </w:rPr>
        <w:t>XXXX</w:t>
      </w:r>
    </w:p>
    <w:p w14:paraId="33A50DCD">
      <w:pPr>
        <w:spacing w:line="440" w:lineRule="exact"/>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授权代表签字：</w:t>
      </w:r>
      <w:r>
        <w:rPr>
          <w:rFonts w:asciiTheme="minorEastAsia" w:hAnsiTheme="minorEastAsia" w:eastAsiaTheme="minorEastAsia"/>
          <w:color w:val="000000" w:themeColor="text1"/>
          <w:sz w:val="24"/>
          <w:highlight w:val="none"/>
          <w14:textFill>
            <w14:solidFill>
              <w14:schemeClr w14:val="tx1"/>
            </w14:solidFill>
          </w14:textFill>
        </w:rPr>
        <w:t>XXXX</w:t>
      </w:r>
    </w:p>
    <w:p w14:paraId="4D1EFAFD">
      <w:pPr>
        <w:spacing w:line="440" w:lineRule="exact"/>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供应商名称：</w:t>
      </w:r>
      <w:r>
        <w:rPr>
          <w:rFonts w:asciiTheme="minorEastAsia" w:hAnsiTheme="minorEastAsia" w:eastAsiaTheme="minorEastAsia"/>
          <w:color w:val="000000" w:themeColor="text1"/>
          <w:sz w:val="24"/>
          <w:highlight w:val="none"/>
          <w14:textFill>
            <w14:solidFill>
              <w14:schemeClr w14:val="tx1"/>
            </w14:solidFill>
          </w14:textFill>
        </w:rPr>
        <w:t>XXXX</w:t>
      </w:r>
      <w:r>
        <w:rPr>
          <w:rFonts w:hint="eastAsia" w:asciiTheme="minorEastAsia" w:hAnsiTheme="minorEastAsia" w:eastAsiaTheme="minorEastAsia"/>
          <w:color w:val="000000" w:themeColor="text1"/>
          <w:sz w:val="24"/>
          <w:highlight w:val="none"/>
          <w14:textFill>
            <w14:solidFill>
              <w14:schemeClr w14:val="tx1"/>
            </w14:solidFill>
          </w14:textFill>
        </w:rPr>
        <w:t>（盖章）</w:t>
      </w:r>
    </w:p>
    <w:p w14:paraId="56424CED">
      <w:pPr>
        <w:spacing w:line="440" w:lineRule="exact"/>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日期：</w:t>
      </w:r>
      <w:r>
        <w:rPr>
          <w:rFonts w:asciiTheme="minorEastAsia" w:hAnsiTheme="minorEastAsia" w:eastAsiaTheme="minorEastAsia"/>
          <w:color w:val="000000" w:themeColor="text1"/>
          <w:sz w:val="24"/>
          <w:highlight w:val="none"/>
          <w14:textFill>
            <w14:solidFill>
              <w14:schemeClr w14:val="tx1"/>
            </w14:solidFill>
          </w14:textFill>
        </w:rPr>
        <w:t>XXX</w:t>
      </w:r>
      <w:r>
        <w:rPr>
          <w:rFonts w:hint="eastAsia" w:asciiTheme="minorEastAsia" w:hAnsiTheme="minorEastAsia" w:eastAsiaTheme="minorEastAsia"/>
          <w:color w:val="000000" w:themeColor="text1"/>
          <w:sz w:val="24"/>
          <w:highlight w:val="none"/>
          <w14:textFill>
            <w14:solidFill>
              <w14:schemeClr w14:val="tx1"/>
            </w14:solidFill>
          </w14:textFill>
        </w:rPr>
        <w:t>年</w:t>
      </w:r>
      <w:r>
        <w:rPr>
          <w:rFonts w:asciiTheme="minorEastAsia" w:hAnsiTheme="minorEastAsia" w:eastAsiaTheme="minorEastAsia"/>
          <w:color w:val="000000" w:themeColor="text1"/>
          <w:sz w:val="24"/>
          <w:highlight w:val="none"/>
          <w14:textFill>
            <w14:solidFill>
              <w14:schemeClr w14:val="tx1"/>
            </w14:solidFill>
          </w14:textFill>
        </w:rPr>
        <w:t>XXX</w:t>
      </w:r>
      <w:r>
        <w:rPr>
          <w:rFonts w:hint="eastAsia" w:asciiTheme="minorEastAsia" w:hAnsiTheme="minorEastAsia" w:eastAsiaTheme="minorEastAsia"/>
          <w:color w:val="000000" w:themeColor="text1"/>
          <w:sz w:val="24"/>
          <w:highlight w:val="none"/>
          <w14:textFill>
            <w14:solidFill>
              <w14:schemeClr w14:val="tx1"/>
            </w14:solidFill>
          </w14:textFill>
        </w:rPr>
        <w:t>月</w:t>
      </w:r>
      <w:r>
        <w:rPr>
          <w:rFonts w:asciiTheme="minorEastAsia" w:hAnsiTheme="minorEastAsia" w:eastAsiaTheme="minorEastAsia"/>
          <w:color w:val="000000" w:themeColor="text1"/>
          <w:sz w:val="24"/>
          <w:highlight w:val="none"/>
          <w14:textFill>
            <w14:solidFill>
              <w14:schemeClr w14:val="tx1"/>
            </w14:solidFill>
          </w14:textFill>
        </w:rPr>
        <w:t>XXX</w:t>
      </w:r>
      <w:r>
        <w:rPr>
          <w:rFonts w:hint="eastAsia" w:asciiTheme="minorEastAsia" w:hAnsiTheme="minorEastAsia" w:eastAsiaTheme="minorEastAsia"/>
          <w:color w:val="000000" w:themeColor="text1"/>
          <w:sz w:val="24"/>
          <w:highlight w:val="none"/>
          <w14:textFill>
            <w14:solidFill>
              <w14:schemeClr w14:val="tx1"/>
            </w14:solidFill>
          </w14:textFill>
        </w:rPr>
        <w:t>日</w:t>
      </w:r>
    </w:p>
    <w:p w14:paraId="00BB590D">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p>
    <w:p w14:paraId="388ADB16">
      <w:pPr>
        <w:spacing w:line="360" w:lineRule="auto"/>
        <w:rPr>
          <w:rFonts w:asciiTheme="minorEastAsia" w:hAnsiTheme="minorEastAsia" w:eastAsiaTheme="minorEastAsia"/>
          <w:b/>
          <w:color w:val="000000" w:themeColor="text1"/>
          <w:sz w:val="32"/>
          <w:szCs w:val="32"/>
          <w:highlight w:val="none"/>
          <w14:textFill>
            <w14:solidFill>
              <w14:schemeClr w14:val="tx1"/>
            </w14:solidFill>
          </w14:textFill>
        </w:rPr>
      </w:pPr>
      <w:r>
        <w:rPr>
          <w:rFonts w:asciiTheme="minorEastAsia" w:hAnsiTheme="minorEastAsia" w:eastAsiaTheme="minorEastAsia"/>
          <w:b/>
          <w:color w:val="000000" w:themeColor="text1"/>
          <w:sz w:val="32"/>
          <w:szCs w:val="32"/>
          <w:highlight w:val="none"/>
          <w14:textFill>
            <w14:solidFill>
              <w14:schemeClr w14:val="tx1"/>
            </w14:solidFill>
          </w14:textFill>
        </w:rPr>
        <w:br w:type="page"/>
      </w:r>
      <w:bookmarkEnd w:id="93"/>
      <w:bookmarkStart w:id="94" w:name="_Toc217446087"/>
      <w:r>
        <w:rPr>
          <w:rFonts w:hint="eastAsia" w:asciiTheme="minorEastAsia" w:hAnsiTheme="minorEastAsia" w:eastAsiaTheme="minorEastAsia"/>
          <w:b/>
          <w:color w:val="000000" w:themeColor="text1"/>
          <w:sz w:val="28"/>
          <w:szCs w:val="28"/>
          <w:highlight w:val="none"/>
          <w14:textFill>
            <w14:solidFill>
              <w14:schemeClr w14:val="tx1"/>
            </w14:solidFill>
          </w14:textFill>
        </w:rPr>
        <w:t>格式</w:t>
      </w:r>
      <w:r>
        <w:rPr>
          <w:rFonts w:asciiTheme="minorEastAsia" w:hAnsiTheme="minorEastAsia" w:eastAsiaTheme="minorEastAsia"/>
          <w:b/>
          <w:color w:val="000000" w:themeColor="text1"/>
          <w:sz w:val="28"/>
          <w:szCs w:val="28"/>
          <w:highlight w:val="none"/>
          <w14:textFill>
            <w14:solidFill>
              <w14:schemeClr w14:val="tx1"/>
            </w14:solidFill>
          </w14:textFill>
        </w:rPr>
        <w:t>2-4</w:t>
      </w:r>
    </w:p>
    <w:p w14:paraId="3C57815D">
      <w:pPr>
        <w:widowControl/>
        <w:spacing w:line="360" w:lineRule="auto"/>
        <w:jc w:val="center"/>
        <w:outlineLvl w:val="1"/>
        <w:rPr>
          <w:rFonts w:asciiTheme="minorEastAsia" w:hAnsiTheme="minorEastAsia" w:eastAsiaTheme="minorEastAsia"/>
          <w:b/>
          <w:color w:val="000000" w:themeColor="text1"/>
          <w:sz w:val="32"/>
          <w:szCs w:val="32"/>
          <w:highlight w:val="none"/>
          <w14:textFill>
            <w14:solidFill>
              <w14:schemeClr w14:val="tx1"/>
            </w14:solidFill>
          </w14:textFill>
        </w:rPr>
      </w:pPr>
    </w:p>
    <w:p w14:paraId="4E4465EE">
      <w:pPr>
        <w:spacing w:line="360" w:lineRule="auto"/>
        <w:jc w:val="center"/>
        <w:rPr>
          <w:rFonts w:cs="Arial" w:asciiTheme="minorEastAsia" w:hAnsiTheme="minorEastAsia" w:eastAsiaTheme="minorEastAsia"/>
          <w:b/>
          <w:bCs/>
          <w:color w:val="000000" w:themeColor="text1"/>
          <w:sz w:val="32"/>
          <w:szCs w:val="32"/>
          <w:highlight w:val="none"/>
          <w14:textFill>
            <w14:solidFill>
              <w14:schemeClr w14:val="tx1"/>
            </w14:solidFill>
          </w14:textFill>
        </w:rPr>
      </w:pPr>
      <w:r>
        <w:rPr>
          <w:rFonts w:hint="eastAsia" w:cs="Arial" w:asciiTheme="minorEastAsia" w:hAnsiTheme="minorEastAsia" w:eastAsiaTheme="minorEastAsia"/>
          <w:b/>
          <w:bCs/>
          <w:color w:val="000000" w:themeColor="text1"/>
          <w:sz w:val="32"/>
          <w:szCs w:val="32"/>
          <w:highlight w:val="none"/>
          <w14:textFill>
            <w14:solidFill>
              <w14:schemeClr w14:val="tx1"/>
            </w14:solidFill>
          </w14:textFill>
        </w:rPr>
        <w:t>三、已标价工程量清单、施工组织设计（实施方案）</w:t>
      </w:r>
    </w:p>
    <w:p w14:paraId="03A16EFB">
      <w:pPr>
        <w:widowControl/>
        <w:spacing w:line="360" w:lineRule="auto"/>
        <w:jc w:val="center"/>
        <w:outlineLvl w:val="1"/>
        <w:rPr>
          <w:rFonts w:asciiTheme="minorEastAsia" w:hAnsiTheme="minorEastAsia" w:eastAsiaTheme="minorEastAsia"/>
          <w:b/>
          <w:color w:val="000000" w:themeColor="text1"/>
          <w:sz w:val="32"/>
          <w:szCs w:val="32"/>
          <w:highlight w:val="none"/>
          <w14:textFill>
            <w14:solidFill>
              <w14:schemeClr w14:val="tx1"/>
            </w14:solidFill>
          </w14:textFill>
        </w:rPr>
      </w:pPr>
    </w:p>
    <w:p w14:paraId="718748D0">
      <w:pPr>
        <w:pStyle w:val="28"/>
        <w:widowControl/>
        <w:numPr>
          <w:ilvl w:val="0"/>
          <w:numId w:val="4"/>
        </w:numPr>
        <w:spacing w:line="360" w:lineRule="auto"/>
        <w:ind w:firstLineChars="0"/>
        <w:outlineLvl w:val="1"/>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已标价工程量清单相关要求详见磋商文件第五章。</w:t>
      </w:r>
    </w:p>
    <w:p w14:paraId="260673E2">
      <w:pPr>
        <w:pStyle w:val="28"/>
        <w:widowControl/>
        <w:numPr>
          <w:ilvl w:val="0"/>
          <w:numId w:val="4"/>
        </w:numPr>
        <w:spacing w:line="360" w:lineRule="auto"/>
        <w:ind w:firstLineChars="0"/>
        <w:outlineLvl w:val="1"/>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施工组织设计（实施方案）格式及内容自拟。</w:t>
      </w:r>
    </w:p>
    <w:p w14:paraId="207A548B">
      <w:pPr>
        <w:widowControl/>
        <w:spacing w:line="360" w:lineRule="auto"/>
        <w:outlineLvl w:val="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br w:type="page"/>
      </w:r>
      <w:r>
        <w:rPr>
          <w:rFonts w:hint="eastAsia" w:asciiTheme="minorEastAsia" w:hAnsiTheme="minorEastAsia" w:eastAsiaTheme="minorEastAsia"/>
          <w:b/>
          <w:color w:val="000000" w:themeColor="text1"/>
          <w:sz w:val="28"/>
          <w:szCs w:val="28"/>
          <w:highlight w:val="none"/>
          <w14:textFill>
            <w14:solidFill>
              <w14:schemeClr w14:val="tx1"/>
            </w14:solidFill>
          </w14:textFill>
        </w:rPr>
        <w:t>格式</w:t>
      </w:r>
      <w:r>
        <w:rPr>
          <w:rFonts w:asciiTheme="minorEastAsia" w:hAnsiTheme="minorEastAsia" w:eastAsiaTheme="minorEastAsia"/>
          <w:b/>
          <w:color w:val="000000" w:themeColor="text1"/>
          <w:sz w:val="28"/>
          <w:szCs w:val="28"/>
          <w:highlight w:val="none"/>
          <w14:textFill>
            <w14:solidFill>
              <w14:schemeClr w14:val="tx1"/>
            </w14:solidFill>
          </w14:textFill>
        </w:rPr>
        <w:t>2-5</w:t>
      </w:r>
    </w:p>
    <w:p w14:paraId="48FEB182">
      <w:pPr>
        <w:spacing w:line="360" w:lineRule="auto"/>
        <w:jc w:val="center"/>
        <w:rPr>
          <w:rFonts w:cs="Arial" w:asciiTheme="minorEastAsia" w:hAnsiTheme="minorEastAsia" w:eastAsiaTheme="minorEastAsia"/>
          <w:b/>
          <w:bCs/>
          <w:color w:val="000000" w:themeColor="text1"/>
          <w:sz w:val="32"/>
          <w:szCs w:val="32"/>
          <w:highlight w:val="none"/>
          <w14:textFill>
            <w14:solidFill>
              <w14:schemeClr w14:val="tx1"/>
            </w14:solidFill>
          </w14:textFill>
        </w:rPr>
      </w:pPr>
      <w:r>
        <w:rPr>
          <w:rFonts w:hint="eastAsia" w:cs="Arial" w:asciiTheme="minorEastAsia" w:hAnsiTheme="minorEastAsia" w:eastAsiaTheme="minorEastAsia"/>
          <w:b/>
          <w:bCs/>
          <w:color w:val="000000" w:themeColor="text1"/>
          <w:sz w:val="32"/>
          <w:szCs w:val="32"/>
          <w:highlight w:val="none"/>
          <w14:textFill>
            <w14:solidFill>
              <w14:schemeClr w14:val="tx1"/>
            </w14:solidFill>
          </w14:textFill>
        </w:rPr>
        <w:t>四、供应商基本情况表</w:t>
      </w:r>
    </w:p>
    <w:tbl>
      <w:tblPr>
        <w:tblStyle w:val="18"/>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14:paraId="7A99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14:paraId="532051C4">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bCs/>
                <w:color w:val="000000" w:themeColor="text1"/>
                <w:szCs w:val="21"/>
                <w:highlight w:val="none"/>
                <w14:textFill>
                  <w14:solidFill>
                    <w14:schemeClr w14:val="tx1"/>
                  </w14:solidFill>
                </w14:textFill>
              </w:rPr>
              <w:t>供应商名称</w:t>
            </w:r>
          </w:p>
        </w:tc>
        <w:tc>
          <w:tcPr>
            <w:tcW w:w="7560" w:type="dxa"/>
            <w:gridSpan w:val="11"/>
            <w:vAlign w:val="center"/>
          </w:tcPr>
          <w:p w14:paraId="0C0CB9EB">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p>
        </w:tc>
      </w:tr>
      <w:tr w14:paraId="1DD27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14:paraId="3B1A431D">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bCs/>
                <w:color w:val="000000" w:themeColor="text1"/>
                <w:szCs w:val="21"/>
                <w:highlight w:val="none"/>
                <w14:textFill>
                  <w14:solidFill>
                    <w14:schemeClr w14:val="tx1"/>
                  </w14:solidFill>
                </w14:textFill>
              </w:rPr>
              <w:t>注册地址</w:t>
            </w:r>
          </w:p>
        </w:tc>
        <w:tc>
          <w:tcPr>
            <w:tcW w:w="4680" w:type="dxa"/>
            <w:gridSpan w:val="6"/>
            <w:vAlign w:val="center"/>
          </w:tcPr>
          <w:p w14:paraId="4184552B">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p>
        </w:tc>
        <w:tc>
          <w:tcPr>
            <w:tcW w:w="1260" w:type="dxa"/>
            <w:gridSpan w:val="3"/>
            <w:vAlign w:val="center"/>
          </w:tcPr>
          <w:p w14:paraId="083BF867">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bCs/>
                <w:color w:val="000000" w:themeColor="text1"/>
                <w:szCs w:val="21"/>
                <w:highlight w:val="none"/>
                <w14:textFill>
                  <w14:solidFill>
                    <w14:schemeClr w14:val="tx1"/>
                  </w14:solidFill>
                </w14:textFill>
              </w:rPr>
              <w:t>邮政编码</w:t>
            </w:r>
          </w:p>
        </w:tc>
        <w:tc>
          <w:tcPr>
            <w:tcW w:w="1620" w:type="dxa"/>
            <w:gridSpan w:val="2"/>
            <w:vAlign w:val="center"/>
          </w:tcPr>
          <w:p w14:paraId="4FF7E938">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p>
        </w:tc>
      </w:tr>
      <w:tr w14:paraId="76D56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14:paraId="58CE99C3">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bCs/>
                <w:color w:val="000000" w:themeColor="text1"/>
                <w:szCs w:val="21"/>
                <w:highlight w:val="none"/>
                <w14:textFill>
                  <w14:solidFill>
                    <w14:schemeClr w14:val="tx1"/>
                  </w14:solidFill>
                </w14:textFill>
              </w:rPr>
              <w:t>联系方式</w:t>
            </w:r>
          </w:p>
        </w:tc>
        <w:tc>
          <w:tcPr>
            <w:tcW w:w="1080" w:type="dxa"/>
            <w:vAlign w:val="center"/>
          </w:tcPr>
          <w:p w14:paraId="7E305B68">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bCs/>
                <w:color w:val="000000" w:themeColor="text1"/>
                <w:szCs w:val="21"/>
                <w:highlight w:val="none"/>
                <w14:textFill>
                  <w14:solidFill>
                    <w14:schemeClr w14:val="tx1"/>
                  </w14:solidFill>
                </w14:textFill>
              </w:rPr>
              <w:t>联系人</w:t>
            </w:r>
          </w:p>
        </w:tc>
        <w:tc>
          <w:tcPr>
            <w:tcW w:w="3600" w:type="dxa"/>
            <w:gridSpan w:val="5"/>
            <w:vAlign w:val="center"/>
          </w:tcPr>
          <w:p w14:paraId="22E25AEE">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p>
        </w:tc>
        <w:tc>
          <w:tcPr>
            <w:tcW w:w="1260" w:type="dxa"/>
            <w:gridSpan w:val="3"/>
            <w:vAlign w:val="center"/>
          </w:tcPr>
          <w:p w14:paraId="5D329C10">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bCs/>
                <w:color w:val="000000" w:themeColor="text1"/>
                <w:szCs w:val="21"/>
                <w:highlight w:val="none"/>
                <w14:textFill>
                  <w14:solidFill>
                    <w14:schemeClr w14:val="tx1"/>
                  </w14:solidFill>
                </w14:textFill>
              </w:rPr>
              <w:t>联系电话</w:t>
            </w:r>
          </w:p>
        </w:tc>
        <w:tc>
          <w:tcPr>
            <w:tcW w:w="1620" w:type="dxa"/>
            <w:gridSpan w:val="2"/>
            <w:vAlign w:val="center"/>
          </w:tcPr>
          <w:p w14:paraId="2D1F8310">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p>
        </w:tc>
      </w:tr>
      <w:tr w14:paraId="74CEC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14:paraId="40F70259">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p>
        </w:tc>
        <w:tc>
          <w:tcPr>
            <w:tcW w:w="1080" w:type="dxa"/>
            <w:vAlign w:val="center"/>
          </w:tcPr>
          <w:p w14:paraId="403E90BE">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bCs/>
                <w:color w:val="000000" w:themeColor="text1"/>
                <w:szCs w:val="21"/>
                <w:highlight w:val="none"/>
                <w14:textFill>
                  <w14:solidFill>
                    <w14:schemeClr w14:val="tx1"/>
                  </w14:solidFill>
                </w14:textFill>
              </w:rPr>
              <w:t>传真</w:t>
            </w:r>
          </w:p>
        </w:tc>
        <w:tc>
          <w:tcPr>
            <w:tcW w:w="3600" w:type="dxa"/>
            <w:gridSpan w:val="5"/>
            <w:vAlign w:val="center"/>
          </w:tcPr>
          <w:p w14:paraId="1B50E25E">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p>
        </w:tc>
        <w:tc>
          <w:tcPr>
            <w:tcW w:w="1260" w:type="dxa"/>
            <w:gridSpan w:val="3"/>
            <w:vAlign w:val="center"/>
          </w:tcPr>
          <w:p w14:paraId="7C18E3A0">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bCs/>
                <w:color w:val="000000" w:themeColor="text1"/>
                <w:szCs w:val="21"/>
                <w:highlight w:val="none"/>
                <w14:textFill>
                  <w14:solidFill>
                    <w14:schemeClr w14:val="tx1"/>
                  </w14:solidFill>
                </w14:textFill>
              </w:rPr>
              <w:t>网址</w:t>
            </w:r>
          </w:p>
        </w:tc>
        <w:tc>
          <w:tcPr>
            <w:tcW w:w="1620" w:type="dxa"/>
            <w:gridSpan w:val="2"/>
            <w:vAlign w:val="center"/>
          </w:tcPr>
          <w:p w14:paraId="5ECB2B1F">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p>
        </w:tc>
      </w:tr>
      <w:tr w14:paraId="22690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14:paraId="66C2DD62">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bCs/>
                <w:color w:val="000000" w:themeColor="text1"/>
                <w:szCs w:val="21"/>
                <w:highlight w:val="none"/>
                <w14:textFill>
                  <w14:solidFill>
                    <w14:schemeClr w14:val="tx1"/>
                  </w14:solidFill>
                </w14:textFill>
              </w:rPr>
              <w:t>组织结构</w:t>
            </w:r>
          </w:p>
        </w:tc>
        <w:tc>
          <w:tcPr>
            <w:tcW w:w="7560" w:type="dxa"/>
            <w:gridSpan w:val="11"/>
            <w:vAlign w:val="center"/>
          </w:tcPr>
          <w:p w14:paraId="3ACBA959">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p>
        </w:tc>
      </w:tr>
      <w:tr w14:paraId="2CE49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14:paraId="6AABA19E">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bCs/>
                <w:color w:val="000000" w:themeColor="text1"/>
                <w:szCs w:val="21"/>
                <w:highlight w:val="none"/>
                <w14:textFill>
                  <w14:solidFill>
                    <w14:schemeClr w14:val="tx1"/>
                  </w14:solidFill>
                </w14:textFill>
              </w:rPr>
              <w:t>法定代表人</w:t>
            </w:r>
            <w:r>
              <w:rPr>
                <w:rFonts w:cs="Arial" w:asciiTheme="minorEastAsia" w:hAnsiTheme="minorEastAsia" w:eastAsiaTheme="minorEastAsia"/>
                <w:bCs/>
                <w:color w:val="000000" w:themeColor="text1"/>
                <w:szCs w:val="21"/>
                <w:highlight w:val="none"/>
                <w14:textFill>
                  <w14:solidFill>
                    <w14:schemeClr w14:val="tx1"/>
                  </w14:solidFill>
                </w14:textFill>
              </w:rPr>
              <w:t>/</w:t>
            </w:r>
            <w:r>
              <w:rPr>
                <w:rFonts w:hint="eastAsia" w:cs="Arial" w:asciiTheme="minorEastAsia" w:hAnsiTheme="minorEastAsia" w:eastAsiaTheme="minorEastAsia"/>
                <w:bCs/>
                <w:color w:val="000000" w:themeColor="text1"/>
                <w:szCs w:val="21"/>
                <w:highlight w:val="none"/>
                <w14:textFill>
                  <w14:solidFill>
                    <w14:schemeClr w14:val="tx1"/>
                  </w14:solidFill>
                </w14:textFill>
              </w:rPr>
              <w:t>单位负责人</w:t>
            </w:r>
          </w:p>
        </w:tc>
        <w:tc>
          <w:tcPr>
            <w:tcW w:w="1260" w:type="dxa"/>
            <w:gridSpan w:val="2"/>
            <w:vAlign w:val="center"/>
          </w:tcPr>
          <w:p w14:paraId="3643814B">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bCs/>
                <w:color w:val="000000" w:themeColor="text1"/>
                <w:szCs w:val="21"/>
                <w:highlight w:val="none"/>
                <w14:textFill>
                  <w14:solidFill>
                    <w14:schemeClr w14:val="tx1"/>
                  </w14:solidFill>
                </w14:textFill>
              </w:rPr>
              <w:t>姓名</w:t>
            </w:r>
          </w:p>
        </w:tc>
        <w:tc>
          <w:tcPr>
            <w:tcW w:w="1260" w:type="dxa"/>
            <w:vAlign w:val="center"/>
          </w:tcPr>
          <w:p w14:paraId="4415E329">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p>
        </w:tc>
        <w:tc>
          <w:tcPr>
            <w:tcW w:w="1260" w:type="dxa"/>
            <w:vAlign w:val="center"/>
          </w:tcPr>
          <w:p w14:paraId="5C950BC5">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bCs/>
                <w:color w:val="000000" w:themeColor="text1"/>
                <w:szCs w:val="21"/>
                <w:highlight w:val="none"/>
                <w14:textFill>
                  <w14:solidFill>
                    <w14:schemeClr w14:val="tx1"/>
                  </w14:solidFill>
                </w14:textFill>
              </w:rPr>
              <w:t>技术职称</w:t>
            </w:r>
          </w:p>
        </w:tc>
        <w:tc>
          <w:tcPr>
            <w:tcW w:w="1260" w:type="dxa"/>
            <w:gridSpan w:val="3"/>
            <w:vAlign w:val="center"/>
          </w:tcPr>
          <w:p w14:paraId="6FFC4ED2">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p>
        </w:tc>
        <w:tc>
          <w:tcPr>
            <w:tcW w:w="1260" w:type="dxa"/>
            <w:gridSpan w:val="3"/>
            <w:vAlign w:val="center"/>
          </w:tcPr>
          <w:p w14:paraId="76962CDE">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bCs/>
                <w:color w:val="000000" w:themeColor="text1"/>
                <w:szCs w:val="21"/>
                <w:highlight w:val="none"/>
                <w14:textFill>
                  <w14:solidFill>
                    <w14:schemeClr w14:val="tx1"/>
                  </w14:solidFill>
                </w14:textFill>
              </w:rPr>
              <w:t>联系电话</w:t>
            </w:r>
          </w:p>
        </w:tc>
        <w:tc>
          <w:tcPr>
            <w:tcW w:w="1260" w:type="dxa"/>
            <w:vAlign w:val="center"/>
          </w:tcPr>
          <w:p w14:paraId="154D7791">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p>
        </w:tc>
      </w:tr>
      <w:tr w14:paraId="351A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14:paraId="6429F448">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bCs/>
                <w:color w:val="000000" w:themeColor="text1"/>
                <w:szCs w:val="21"/>
                <w:highlight w:val="none"/>
                <w14:textFill>
                  <w14:solidFill>
                    <w14:schemeClr w14:val="tx1"/>
                  </w14:solidFill>
                </w14:textFill>
              </w:rPr>
              <w:t>技术负责人</w:t>
            </w:r>
          </w:p>
        </w:tc>
        <w:tc>
          <w:tcPr>
            <w:tcW w:w="1260" w:type="dxa"/>
            <w:gridSpan w:val="2"/>
            <w:vAlign w:val="center"/>
          </w:tcPr>
          <w:p w14:paraId="68058E3B">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bCs/>
                <w:color w:val="000000" w:themeColor="text1"/>
                <w:szCs w:val="21"/>
                <w:highlight w:val="none"/>
                <w14:textFill>
                  <w14:solidFill>
                    <w14:schemeClr w14:val="tx1"/>
                  </w14:solidFill>
                </w14:textFill>
              </w:rPr>
              <w:t>姓名</w:t>
            </w:r>
          </w:p>
        </w:tc>
        <w:tc>
          <w:tcPr>
            <w:tcW w:w="1260" w:type="dxa"/>
            <w:vAlign w:val="center"/>
          </w:tcPr>
          <w:p w14:paraId="5ABE93AF">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p>
        </w:tc>
        <w:tc>
          <w:tcPr>
            <w:tcW w:w="1260" w:type="dxa"/>
            <w:vAlign w:val="center"/>
          </w:tcPr>
          <w:p w14:paraId="266AF861">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bCs/>
                <w:color w:val="000000" w:themeColor="text1"/>
                <w:szCs w:val="21"/>
                <w:highlight w:val="none"/>
                <w14:textFill>
                  <w14:solidFill>
                    <w14:schemeClr w14:val="tx1"/>
                  </w14:solidFill>
                </w14:textFill>
              </w:rPr>
              <w:t>技术职称</w:t>
            </w:r>
          </w:p>
        </w:tc>
        <w:tc>
          <w:tcPr>
            <w:tcW w:w="1260" w:type="dxa"/>
            <w:gridSpan w:val="3"/>
            <w:vAlign w:val="center"/>
          </w:tcPr>
          <w:p w14:paraId="3E60A324">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p>
        </w:tc>
        <w:tc>
          <w:tcPr>
            <w:tcW w:w="1260" w:type="dxa"/>
            <w:gridSpan w:val="3"/>
            <w:vAlign w:val="center"/>
          </w:tcPr>
          <w:p w14:paraId="344F62F1">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bCs/>
                <w:color w:val="000000" w:themeColor="text1"/>
                <w:szCs w:val="21"/>
                <w:highlight w:val="none"/>
                <w14:textFill>
                  <w14:solidFill>
                    <w14:schemeClr w14:val="tx1"/>
                  </w14:solidFill>
                </w14:textFill>
              </w:rPr>
              <w:t>联系电话</w:t>
            </w:r>
          </w:p>
        </w:tc>
        <w:tc>
          <w:tcPr>
            <w:tcW w:w="1260" w:type="dxa"/>
            <w:vAlign w:val="center"/>
          </w:tcPr>
          <w:p w14:paraId="53356D78">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p>
        </w:tc>
      </w:tr>
      <w:tr w14:paraId="309F8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14:paraId="6B0A76B2">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bCs/>
                <w:color w:val="000000" w:themeColor="text1"/>
                <w:szCs w:val="21"/>
                <w:highlight w:val="none"/>
                <w14:textFill>
                  <w14:solidFill>
                    <w14:schemeClr w14:val="tx1"/>
                  </w14:solidFill>
                </w14:textFill>
              </w:rPr>
              <w:t>成立时间</w:t>
            </w:r>
          </w:p>
        </w:tc>
        <w:tc>
          <w:tcPr>
            <w:tcW w:w="2520" w:type="dxa"/>
            <w:gridSpan w:val="3"/>
            <w:vAlign w:val="center"/>
          </w:tcPr>
          <w:p w14:paraId="39468C07">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p>
        </w:tc>
        <w:tc>
          <w:tcPr>
            <w:tcW w:w="5040" w:type="dxa"/>
            <w:gridSpan w:val="8"/>
            <w:vAlign w:val="center"/>
          </w:tcPr>
          <w:p w14:paraId="613E1F29">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bCs/>
                <w:color w:val="000000" w:themeColor="text1"/>
                <w:szCs w:val="21"/>
                <w:highlight w:val="none"/>
                <w14:textFill>
                  <w14:solidFill>
                    <w14:schemeClr w14:val="tx1"/>
                  </w14:solidFill>
                </w14:textFill>
              </w:rPr>
              <w:t>员工总人数：</w:t>
            </w:r>
          </w:p>
        </w:tc>
      </w:tr>
      <w:tr w14:paraId="57C8C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14:paraId="5C118E71">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bCs/>
                <w:color w:val="000000" w:themeColor="text1"/>
                <w:szCs w:val="21"/>
                <w:highlight w:val="none"/>
                <w14:textFill>
                  <w14:solidFill>
                    <w14:schemeClr w14:val="tx1"/>
                  </w14:solidFill>
                </w14:textFill>
              </w:rPr>
              <w:t>企业资质等级</w:t>
            </w:r>
          </w:p>
        </w:tc>
        <w:tc>
          <w:tcPr>
            <w:tcW w:w="2520" w:type="dxa"/>
            <w:gridSpan w:val="3"/>
            <w:vAlign w:val="center"/>
          </w:tcPr>
          <w:p w14:paraId="592BF01C">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p>
        </w:tc>
        <w:tc>
          <w:tcPr>
            <w:tcW w:w="1680" w:type="dxa"/>
            <w:gridSpan w:val="2"/>
            <w:vMerge w:val="restart"/>
            <w:vAlign w:val="center"/>
          </w:tcPr>
          <w:p w14:paraId="05E9C9C2">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bCs/>
                <w:color w:val="000000" w:themeColor="text1"/>
                <w:szCs w:val="21"/>
                <w:highlight w:val="none"/>
                <w14:textFill>
                  <w14:solidFill>
                    <w14:schemeClr w14:val="tx1"/>
                  </w14:solidFill>
                </w14:textFill>
              </w:rPr>
              <w:t>其中</w:t>
            </w:r>
          </w:p>
        </w:tc>
        <w:tc>
          <w:tcPr>
            <w:tcW w:w="1680" w:type="dxa"/>
            <w:gridSpan w:val="3"/>
            <w:vAlign w:val="center"/>
          </w:tcPr>
          <w:p w14:paraId="159F91F9">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bCs/>
                <w:color w:val="000000" w:themeColor="text1"/>
                <w:szCs w:val="21"/>
                <w:highlight w:val="none"/>
                <w14:textFill>
                  <w14:solidFill>
                    <w14:schemeClr w14:val="tx1"/>
                  </w14:solidFill>
                </w14:textFill>
              </w:rPr>
              <w:t>项目经理</w:t>
            </w:r>
          </w:p>
        </w:tc>
        <w:tc>
          <w:tcPr>
            <w:tcW w:w="1680" w:type="dxa"/>
            <w:gridSpan w:val="3"/>
            <w:vAlign w:val="center"/>
          </w:tcPr>
          <w:p w14:paraId="335763A1">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p>
        </w:tc>
      </w:tr>
      <w:tr w14:paraId="0721D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14:paraId="1168EB86">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bCs/>
                <w:color w:val="000000" w:themeColor="text1"/>
                <w:szCs w:val="21"/>
                <w:highlight w:val="none"/>
                <w14:textFill>
                  <w14:solidFill>
                    <w14:schemeClr w14:val="tx1"/>
                  </w14:solidFill>
                </w14:textFill>
              </w:rPr>
              <w:t>营业执照</w:t>
            </w:r>
            <w:r>
              <w:rPr>
                <w:rFonts w:hint="eastAsia" w:asciiTheme="minorEastAsia" w:hAnsiTheme="minorEastAsia" w:eastAsiaTheme="minorEastAsia"/>
                <w:color w:val="000000" w:themeColor="text1"/>
                <w:highlight w:val="none"/>
                <w14:textFill>
                  <w14:solidFill>
                    <w14:schemeClr w14:val="tx1"/>
                  </w14:solidFill>
                </w14:textFill>
              </w:rPr>
              <w:t>号</w:t>
            </w:r>
          </w:p>
        </w:tc>
        <w:tc>
          <w:tcPr>
            <w:tcW w:w="2520" w:type="dxa"/>
            <w:gridSpan w:val="3"/>
            <w:vAlign w:val="center"/>
          </w:tcPr>
          <w:p w14:paraId="6369757A">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p>
        </w:tc>
        <w:tc>
          <w:tcPr>
            <w:tcW w:w="1680" w:type="dxa"/>
            <w:gridSpan w:val="2"/>
            <w:vMerge w:val="continue"/>
            <w:vAlign w:val="center"/>
          </w:tcPr>
          <w:p w14:paraId="0EFAA395">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p>
        </w:tc>
        <w:tc>
          <w:tcPr>
            <w:tcW w:w="1680" w:type="dxa"/>
            <w:gridSpan w:val="3"/>
            <w:vAlign w:val="center"/>
          </w:tcPr>
          <w:p w14:paraId="5AC7D662">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bCs/>
                <w:color w:val="000000" w:themeColor="text1"/>
                <w:szCs w:val="21"/>
                <w:highlight w:val="none"/>
                <w14:textFill>
                  <w14:solidFill>
                    <w14:schemeClr w14:val="tx1"/>
                  </w14:solidFill>
                </w14:textFill>
              </w:rPr>
              <w:t>高级职称人员</w:t>
            </w:r>
          </w:p>
        </w:tc>
        <w:tc>
          <w:tcPr>
            <w:tcW w:w="1680" w:type="dxa"/>
            <w:gridSpan w:val="3"/>
            <w:vAlign w:val="center"/>
          </w:tcPr>
          <w:p w14:paraId="505CA030">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p>
        </w:tc>
      </w:tr>
      <w:tr w14:paraId="4C0D3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14:paraId="28B870F2">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bCs/>
                <w:color w:val="000000" w:themeColor="text1"/>
                <w:szCs w:val="21"/>
                <w:highlight w:val="none"/>
                <w14:textFill>
                  <w14:solidFill>
                    <w14:schemeClr w14:val="tx1"/>
                  </w14:solidFill>
                </w14:textFill>
              </w:rPr>
              <w:t>注册资金</w:t>
            </w:r>
          </w:p>
        </w:tc>
        <w:tc>
          <w:tcPr>
            <w:tcW w:w="2520" w:type="dxa"/>
            <w:gridSpan w:val="3"/>
            <w:vAlign w:val="center"/>
          </w:tcPr>
          <w:p w14:paraId="3A0927FB">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p>
        </w:tc>
        <w:tc>
          <w:tcPr>
            <w:tcW w:w="1680" w:type="dxa"/>
            <w:gridSpan w:val="2"/>
            <w:vMerge w:val="continue"/>
            <w:vAlign w:val="center"/>
          </w:tcPr>
          <w:p w14:paraId="160DDCF8">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p>
        </w:tc>
        <w:tc>
          <w:tcPr>
            <w:tcW w:w="1680" w:type="dxa"/>
            <w:gridSpan w:val="3"/>
            <w:vAlign w:val="center"/>
          </w:tcPr>
          <w:p w14:paraId="41C57D32">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bCs/>
                <w:color w:val="000000" w:themeColor="text1"/>
                <w:szCs w:val="21"/>
                <w:highlight w:val="none"/>
                <w14:textFill>
                  <w14:solidFill>
                    <w14:schemeClr w14:val="tx1"/>
                  </w14:solidFill>
                </w14:textFill>
              </w:rPr>
              <w:t>中级职称人员</w:t>
            </w:r>
          </w:p>
        </w:tc>
        <w:tc>
          <w:tcPr>
            <w:tcW w:w="1680" w:type="dxa"/>
            <w:gridSpan w:val="3"/>
            <w:vAlign w:val="center"/>
          </w:tcPr>
          <w:p w14:paraId="41A44124">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p>
        </w:tc>
      </w:tr>
      <w:tr w14:paraId="4F6B8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14:paraId="3B16324F">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bCs/>
                <w:color w:val="000000" w:themeColor="text1"/>
                <w:szCs w:val="21"/>
                <w:highlight w:val="none"/>
                <w14:textFill>
                  <w14:solidFill>
                    <w14:schemeClr w14:val="tx1"/>
                  </w14:solidFill>
                </w14:textFill>
              </w:rPr>
              <w:t>开户银行</w:t>
            </w:r>
          </w:p>
        </w:tc>
        <w:tc>
          <w:tcPr>
            <w:tcW w:w="2520" w:type="dxa"/>
            <w:gridSpan w:val="3"/>
            <w:vAlign w:val="center"/>
          </w:tcPr>
          <w:p w14:paraId="3BC4E7DC">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p>
        </w:tc>
        <w:tc>
          <w:tcPr>
            <w:tcW w:w="1680" w:type="dxa"/>
            <w:gridSpan w:val="2"/>
            <w:vMerge w:val="continue"/>
            <w:vAlign w:val="center"/>
          </w:tcPr>
          <w:p w14:paraId="5BD3C7A5">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p>
        </w:tc>
        <w:tc>
          <w:tcPr>
            <w:tcW w:w="1680" w:type="dxa"/>
            <w:gridSpan w:val="3"/>
            <w:vAlign w:val="center"/>
          </w:tcPr>
          <w:p w14:paraId="6DE3038C">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bCs/>
                <w:color w:val="000000" w:themeColor="text1"/>
                <w:szCs w:val="21"/>
                <w:highlight w:val="none"/>
                <w14:textFill>
                  <w14:solidFill>
                    <w14:schemeClr w14:val="tx1"/>
                  </w14:solidFill>
                </w14:textFill>
              </w:rPr>
              <w:t>初级职称人员</w:t>
            </w:r>
          </w:p>
        </w:tc>
        <w:tc>
          <w:tcPr>
            <w:tcW w:w="1680" w:type="dxa"/>
            <w:gridSpan w:val="3"/>
            <w:vAlign w:val="center"/>
          </w:tcPr>
          <w:p w14:paraId="15168A95">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p>
        </w:tc>
      </w:tr>
      <w:tr w14:paraId="675AA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14:paraId="0C5BD1DD">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bCs/>
                <w:color w:val="000000" w:themeColor="text1"/>
                <w:szCs w:val="21"/>
                <w:highlight w:val="none"/>
                <w14:textFill>
                  <w14:solidFill>
                    <w14:schemeClr w14:val="tx1"/>
                  </w14:solidFill>
                </w14:textFill>
              </w:rPr>
              <w:t>账号</w:t>
            </w:r>
          </w:p>
        </w:tc>
        <w:tc>
          <w:tcPr>
            <w:tcW w:w="2520" w:type="dxa"/>
            <w:gridSpan w:val="3"/>
            <w:vAlign w:val="center"/>
          </w:tcPr>
          <w:p w14:paraId="629D3FD3">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p>
        </w:tc>
        <w:tc>
          <w:tcPr>
            <w:tcW w:w="1680" w:type="dxa"/>
            <w:gridSpan w:val="2"/>
            <w:vMerge w:val="continue"/>
            <w:vAlign w:val="center"/>
          </w:tcPr>
          <w:p w14:paraId="6FD1D407">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p>
        </w:tc>
        <w:tc>
          <w:tcPr>
            <w:tcW w:w="1680" w:type="dxa"/>
            <w:gridSpan w:val="3"/>
            <w:vAlign w:val="center"/>
          </w:tcPr>
          <w:p w14:paraId="32F8526F">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bCs/>
                <w:color w:val="000000" w:themeColor="text1"/>
                <w:szCs w:val="21"/>
                <w:highlight w:val="none"/>
                <w14:textFill>
                  <w14:solidFill>
                    <w14:schemeClr w14:val="tx1"/>
                  </w14:solidFill>
                </w14:textFill>
              </w:rPr>
              <w:t>技工</w:t>
            </w:r>
          </w:p>
        </w:tc>
        <w:tc>
          <w:tcPr>
            <w:tcW w:w="1680" w:type="dxa"/>
            <w:gridSpan w:val="3"/>
            <w:vAlign w:val="center"/>
          </w:tcPr>
          <w:p w14:paraId="72B8F599">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p>
        </w:tc>
      </w:tr>
      <w:tr w14:paraId="7F24A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14:paraId="043C91DC">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bCs/>
                <w:color w:val="000000" w:themeColor="text1"/>
                <w:szCs w:val="21"/>
                <w:highlight w:val="none"/>
                <w14:textFill>
                  <w14:solidFill>
                    <w14:schemeClr w14:val="tx1"/>
                  </w14:solidFill>
                </w14:textFill>
              </w:rPr>
              <w:t>经营范围</w:t>
            </w:r>
          </w:p>
        </w:tc>
        <w:tc>
          <w:tcPr>
            <w:tcW w:w="7560" w:type="dxa"/>
            <w:gridSpan w:val="11"/>
            <w:vAlign w:val="center"/>
          </w:tcPr>
          <w:p w14:paraId="39DC61F0">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p>
        </w:tc>
      </w:tr>
      <w:tr w14:paraId="17008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14:paraId="6F68A164">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bCs/>
                <w:color w:val="000000" w:themeColor="text1"/>
                <w:szCs w:val="21"/>
                <w:highlight w:val="none"/>
                <w14:textFill>
                  <w14:solidFill>
                    <w14:schemeClr w14:val="tx1"/>
                  </w14:solidFill>
                </w14:textFill>
              </w:rPr>
              <w:t>备注</w:t>
            </w:r>
          </w:p>
        </w:tc>
        <w:tc>
          <w:tcPr>
            <w:tcW w:w="7560" w:type="dxa"/>
            <w:gridSpan w:val="11"/>
            <w:vAlign w:val="center"/>
          </w:tcPr>
          <w:p w14:paraId="1CB9A66E">
            <w:pPr>
              <w:spacing w:line="360" w:lineRule="auto"/>
              <w:jc w:val="center"/>
              <w:rPr>
                <w:rFonts w:cs="Arial" w:asciiTheme="minorEastAsia" w:hAnsiTheme="minorEastAsia" w:eastAsiaTheme="minorEastAsia"/>
                <w:bCs/>
                <w:color w:val="000000" w:themeColor="text1"/>
                <w:szCs w:val="21"/>
                <w:highlight w:val="none"/>
                <w14:textFill>
                  <w14:solidFill>
                    <w14:schemeClr w14:val="tx1"/>
                  </w14:solidFill>
                </w14:textFill>
              </w:rPr>
            </w:pPr>
          </w:p>
        </w:tc>
      </w:tr>
    </w:tbl>
    <w:p w14:paraId="3A7AC61D">
      <w:pPr>
        <w:adjustRightInd w:val="0"/>
        <w:spacing w:line="360" w:lineRule="auto"/>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供应商名称：</w:t>
      </w:r>
      <w:r>
        <w:rPr>
          <w:rFonts w:asciiTheme="minorEastAsia" w:hAnsiTheme="minorEastAsia" w:eastAsiaTheme="minorEastAsia"/>
          <w:color w:val="000000" w:themeColor="text1"/>
          <w:sz w:val="24"/>
          <w:highlight w:val="none"/>
          <w14:textFill>
            <w14:solidFill>
              <w14:schemeClr w14:val="tx1"/>
            </w14:solidFill>
          </w14:textFill>
        </w:rPr>
        <w:t>XXX</w:t>
      </w:r>
      <w:r>
        <w:rPr>
          <w:rFonts w:hint="eastAsia" w:asciiTheme="minorEastAsia" w:hAnsiTheme="minorEastAsia" w:eastAsiaTheme="minorEastAsia"/>
          <w:color w:val="000000" w:themeColor="text1"/>
          <w:sz w:val="24"/>
          <w:highlight w:val="none"/>
          <w14:textFill>
            <w14:solidFill>
              <w14:schemeClr w14:val="tx1"/>
            </w14:solidFill>
          </w14:textFill>
        </w:rPr>
        <w:t>（盖单位公章）</w:t>
      </w:r>
    </w:p>
    <w:p w14:paraId="37D352B1">
      <w:pPr>
        <w:adjustRightInd w:val="0"/>
        <w:spacing w:line="360" w:lineRule="auto"/>
        <w:jc w:val="left"/>
        <w:rPr>
          <w:rFonts w:asciiTheme="minorEastAsia" w:hAnsiTheme="minorEastAsia" w:eastAsiaTheme="minorEastAsia"/>
          <w:bCs/>
          <w:color w:val="000000" w:themeColor="text1"/>
          <w:sz w:val="24"/>
          <w:highlight w:val="none"/>
          <w14:textFill>
            <w14:solidFill>
              <w14:schemeClr w14:val="tx1"/>
            </w14:solidFill>
          </w14:textFill>
        </w:rPr>
      </w:pPr>
      <w:r>
        <w:rPr>
          <w:rFonts w:hint="eastAsia" w:asciiTheme="minorEastAsia" w:hAnsiTheme="minorEastAsia" w:eastAsiaTheme="minorEastAsia"/>
          <w:bCs/>
          <w:color w:val="000000" w:themeColor="text1"/>
          <w:sz w:val="24"/>
          <w:highlight w:val="none"/>
          <w14:textFill>
            <w14:solidFill>
              <w14:schemeClr w14:val="tx1"/>
            </w14:solidFill>
          </w14:textFill>
        </w:rPr>
        <w:t>法定代表人</w:t>
      </w:r>
      <w:r>
        <w:rPr>
          <w:rFonts w:asciiTheme="minorEastAsia" w:hAnsiTheme="minorEastAsia" w:eastAsiaTheme="minorEastAsia"/>
          <w:bCs/>
          <w:color w:val="000000" w:themeColor="text1"/>
          <w:sz w:val="24"/>
          <w:highlight w:val="none"/>
          <w14:textFill>
            <w14:solidFill>
              <w14:schemeClr w14:val="tx1"/>
            </w14:solidFill>
          </w14:textFill>
        </w:rPr>
        <w:t>/</w:t>
      </w:r>
      <w:r>
        <w:rPr>
          <w:rFonts w:hint="eastAsia" w:asciiTheme="minorEastAsia" w:hAnsiTheme="minorEastAsia" w:eastAsiaTheme="minorEastAsia"/>
          <w:bCs/>
          <w:color w:val="000000" w:themeColor="text1"/>
          <w:sz w:val="24"/>
          <w:highlight w:val="none"/>
          <w14:textFill>
            <w14:solidFill>
              <w14:schemeClr w14:val="tx1"/>
            </w14:solidFill>
          </w14:textFill>
        </w:rPr>
        <w:t>单位负责人或授权代表</w:t>
      </w:r>
      <w:r>
        <w:rPr>
          <w:rFonts w:hint="eastAsia" w:asciiTheme="minorEastAsia" w:hAnsiTheme="minorEastAsia" w:eastAsiaTheme="minorEastAsia"/>
          <w:color w:val="000000" w:themeColor="text1"/>
          <w:sz w:val="24"/>
          <w:highlight w:val="none"/>
          <w14:textFill>
            <w14:solidFill>
              <w14:schemeClr w14:val="tx1"/>
            </w14:solidFill>
          </w14:textFill>
        </w:rPr>
        <w:t>（签字或加盖个人印章）</w:t>
      </w:r>
      <w:r>
        <w:rPr>
          <w:rFonts w:hint="eastAsia" w:asciiTheme="minorEastAsia" w:hAnsiTheme="minorEastAsia" w:eastAsiaTheme="minorEastAsia"/>
          <w:bCs/>
          <w:color w:val="000000" w:themeColor="text1"/>
          <w:sz w:val="24"/>
          <w:highlight w:val="none"/>
          <w14:textFill>
            <w14:solidFill>
              <w14:schemeClr w14:val="tx1"/>
            </w14:solidFill>
          </w14:textFill>
        </w:rPr>
        <w:t>：</w:t>
      </w:r>
      <w:r>
        <w:rPr>
          <w:rFonts w:asciiTheme="minorEastAsia" w:hAnsiTheme="minorEastAsia" w:eastAsiaTheme="minorEastAsia"/>
          <w:bCs/>
          <w:color w:val="000000" w:themeColor="text1"/>
          <w:sz w:val="24"/>
          <w:highlight w:val="none"/>
          <w14:textFill>
            <w14:solidFill>
              <w14:schemeClr w14:val="tx1"/>
            </w14:solidFill>
          </w14:textFill>
        </w:rPr>
        <w:t>XXX</w:t>
      </w:r>
    </w:p>
    <w:p w14:paraId="5590B943">
      <w:pPr>
        <w:adjustRightInd w:val="0"/>
        <w:spacing w:line="360" w:lineRule="auto"/>
        <w:jc w:val="left"/>
        <w:rPr>
          <w:rFonts w:asciiTheme="minorEastAsia" w:hAnsiTheme="minorEastAsia" w:eastAsiaTheme="minorEastAsia"/>
          <w:bCs/>
          <w:color w:val="000000" w:themeColor="text1"/>
          <w:sz w:val="24"/>
          <w:highlight w:val="none"/>
          <w14:textFill>
            <w14:solidFill>
              <w14:schemeClr w14:val="tx1"/>
            </w14:solidFill>
          </w14:textFill>
        </w:rPr>
      </w:pPr>
      <w:r>
        <w:rPr>
          <w:rFonts w:hint="eastAsia" w:asciiTheme="minorEastAsia" w:hAnsiTheme="minorEastAsia" w:eastAsiaTheme="minorEastAsia"/>
          <w:bCs/>
          <w:color w:val="000000" w:themeColor="text1"/>
          <w:sz w:val="24"/>
          <w:highlight w:val="none"/>
          <w14:textFill>
            <w14:solidFill>
              <w14:schemeClr w14:val="tx1"/>
            </w14:solidFill>
          </w14:textFill>
        </w:rPr>
        <w:t>日期：</w:t>
      </w:r>
      <w:r>
        <w:rPr>
          <w:rFonts w:asciiTheme="minorEastAsia" w:hAnsiTheme="minorEastAsia" w:eastAsiaTheme="minorEastAsia"/>
          <w:bCs/>
          <w:color w:val="000000" w:themeColor="text1"/>
          <w:sz w:val="24"/>
          <w:highlight w:val="none"/>
          <w14:textFill>
            <w14:solidFill>
              <w14:schemeClr w14:val="tx1"/>
            </w14:solidFill>
          </w14:textFill>
        </w:rPr>
        <w:t>XXX</w:t>
      </w:r>
      <w:r>
        <w:rPr>
          <w:rFonts w:hint="eastAsia" w:asciiTheme="minorEastAsia" w:hAnsiTheme="minorEastAsia" w:eastAsiaTheme="minorEastAsia"/>
          <w:bCs/>
          <w:color w:val="000000" w:themeColor="text1"/>
          <w:sz w:val="24"/>
          <w:highlight w:val="none"/>
          <w14:textFill>
            <w14:solidFill>
              <w14:schemeClr w14:val="tx1"/>
            </w14:solidFill>
          </w14:textFill>
        </w:rPr>
        <w:t>年</w:t>
      </w:r>
      <w:r>
        <w:rPr>
          <w:rFonts w:asciiTheme="minorEastAsia" w:hAnsiTheme="minorEastAsia" w:eastAsiaTheme="minorEastAsia"/>
          <w:bCs/>
          <w:color w:val="000000" w:themeColor="text1"/>
          <w:sz w:val="24"/>
          <w:highlight w:val="none"/>
          <w14:textFill>
            <w14:solidFill>
              <w14:schemeClr w14:val="tx1"/>
            </w14:solidFill>
          </w14:textFill>
        </w:rPr>
        <w:t>XXX</w:t>
      </w:r>
      <w:r>
        <w:rPr>
          <w:rFonts w:hint="eastAsia" w:asciiTheme="minorEastAsia" w:hAnsiTheme="minorEastAsia" w:eastAsiaTheme="minorEastAsia"/>
          <w:bCs/>
          <w:color w:val="000000" w:themeColor="text1"/>
          <w:sz w:val="24"/>
          <w:highlight w:val="none"/>
          <w14:textFill>
            <w14:solidFill>
              <w14:schemeClr w14:val="tx1"/>
            </w14:solidFill>
          </w14:textFill>
        </w:rPr>
        <w:t>月</w:t>
      </w:r>
      <w:r>
        <w:rPr>
          <w:rFonts w:asciiTheme="minorEastAsia" w:hAnsiTheme="minorEastAsia" w:eastAsiaTheme="minorEastAsia"/>
          <w:bCs/>
          <w:color w:val="000000" w:themeColor="text1"/>
          <w:sz w:val="24"/>
          <w:highlight w:val="none"/>
          <w14:textFill>
            <w14:solidFill>
              <w14:schemeClr w14:val="tx1"/>
            </w14:solidFill>
          </w14:textFill>
        </w:rPr>
        <w:t>XXX</w:t>
      </w:r>
      <w:r>
        <w:rPr>
          <w:rFonts w:hint="eastAsia" w:asciiTheme="minorEastAsia" w:hAnsiTheme="minorEastAsia" w:eastAsiaTheme="minorEastAsia"/>
          <w:bCs/>
          <w:color w:val="000000" w:themeColor="text1"/>
          <w:sz w:val="24"/>
          <w:highlight w:val="none"/>
          <w14:textFill>
            <w14:solidFill>
              <w14:schemeClr w14:val="tx1"/>
            </w14:solidFill>
          </w14:textFill>
        </w:rPr>
        <w:t>日</w:t>
      </w:r>
    </w:p>
    <w:p w14:paraId="312FA7F5">
      <w:pPr>
        <w:spacing w:line="360" w:lineRule="auto"/>
        <w:rPr>
          <w:rFonts w:asciiTheme="minorEastAsia" w:hAnsiTheme="minorEastAsia" w:eastAsiaTheme="minorEastAsia"/>
          <w:b/>
          <w:color w:val="000000" w:themeColor="text1"/>
          <w:sz w:val="28"/>
          <w:szCs w:val="28"/>
          <w:highlight w:val="none"/>
          <w14:textFill>
            <w14:solidFill>
              <w14:schemeClr w14:val="tx1"/>
            </w14:solidFill>
          </w14:textFill>
        </w:rPr>
        <w:sectPr>
          <w:headerReference r:id="rId7" w:type="default"/>
          <w:footerReference r:id="rId8" w:type="default"/>
          <w:pgSz w:w="11907" w:h="16840"/>
          <w:pgMar w:top="1134" w:right="1418" w:bottom="1134" w:left="1418" w:header="851" w:footer="992" w:gutter="0"/>
          <w:pgNumType w:fmt="numberInDash"/>
          <w:cols w:space="425" w:num="1"/>
          <w:docGrid w:linePitch="312" w:charSpace="0"/>
        </w:sectPr>
      </w:pPr>
    </w:p>
    <w:p w14:paraId="30CA44DA">
      <w:pPr>
        <w:spacing w:line="360" w:lineRule="auto"/>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格式</w:t>
      </w:r>
      <w:r>
        <w:rPr>
          <w:rFonts w:asciiTheme="minorEastAsia" w:hAnsiTheme="minorEastAsia" w:eastAsiaTheme="minorEastAsia"/>
          <w:b/>
          <w:color w:val="000000" w:themeColor="text1"/>
          <w:sz w:val="28"/>
          <w:szCs w:val="28"/>
          <w:highlight w:val="none"/>
          <w14:textFill>
            <w14:solidFill>
              <w14:schemeClr w14:val="tx1"/>
            </w14:solidFill>
          </w14:textFill>
        </w:rPr>
        <w:t>2-6</w:t>
      </w:r>
    </w:p>
    <w:p w14:paraId="32452AC6">
      <w:pPr>
        <w:spacing w:line="360" w:lineRule="auto"/>
        <w:jc w:val="center"/>
        <w:rPr>
          <w:rFonts w:asciiTheme="minorEastAsia" w:hAnsiTheme="minorEastAsia" w:eastAsiaTheme="minorEastAsia"/>
          <w:b/>
          <w:bCs/>
          <w:color w:val="000000" w:themeColor="text1"/>
          <w:sz w:val="32"/>
          <w:szCs w:val="32"/>
          <w14:textFill>
            <w14:solidFill>
              <w14:schemeClr w14:val="tx1"/>
            </w14:solidFill>
          </w14:textFill>
        </w:rPr>
      </w:pPr>
      <w:r>
        <w:rPr>
          <w:rFonts w:hint="eastAsia" w:asciiTheme="minorEastAsia" w:hAnsiTheme="minorEastAsia" w:eastAsiaTheme="minorEastAsia"/>
          <w:b/>
          <w:bCs/>
          <w:color w:val="000000" w:themeColor="text1"/>
          <w:sz w:val="32"/>
          <w:szCs w:val="32"/>
          <w14:textFill>
            <w14:solidFill>
              <w14:schemeClr w14:val="tx1"/>
            </w14:solidFill>
          </w14:textFill>
        </w:rPr>
        <w:t>五、技术、服务、合同条款要求应答表</w:t>
      </w:r>
    </w:p>
    <w:tbl>
      <w:tblPr>
        <w:tblStyle w:val="18"/>
        <w:tblW w:w="8613" w:type="dxa"/>
        <w:tblInd w:w="0" w:type="dxa"/>
        <w:tblLayout w:type="fixed"/>
        <w:tblCellMar>
          <w:top w:w="0" w:type="dxa"/>
          <w:left w:w="108" w:type="dxa"/>
          <w:bottom w:w="0" w:type="dxa"/>
          <w:right w:w="108" w:type="dxa"/>
        </w:tblCellMar>
      </w:tblPr>
      <w:tblGrid>
        <w:gridCol w:w="877"/>
        <w:gridCol w:w="2990"/>
        <w:gridCol w:w="3452"/>
        <w:gridCol w:w="1294"/>
      </w:tblGrid>
      <w:tr w14:paraId="45CD2646">
        <w:tblPrEx>
          <w:tblCellMar>
            <w:top w:w="0" w:type="dxa"/>
            <w:left w:w="108" w:type="dxa"/>
            <w:bottom w:w="0" w:type="dxa"/>
            <w:right w:w="108" w:type="dxa"/>
          </w:tblCellMar>
        </w:tblPrEx>
        <w:trPr>
          <w:trHeight w:val="664" w:hRule="atLeast"/>
        </w:trPr>
        <w:tc>
          <w:tcPr>
            <w:tcW w:w="877" w:type="dxa"/>
            <w:tcBorders>
              <w:top w:val="single" w:color="auto" w:sz="4" w:space="0"/>
              <w:left w:val="single" w:color="auto" w:sz="4" w:space="0"/>
              <w:bottom w:val="single" w:color="auto" w:sz="4" w:space="0"/>
              <w:right w:val="single" w:color="auto" w:sz="4" w:space="0"/>
            </w:tcBorders>
            <w:vAlign w:val="center"/>
          </w:tcPr>
          <w:p w14:paraId="037D2C8A">
            <w:pPr>
              <w:spacing w:line="360" w:lineRule="auto"/>
              <w:ind w:right="21" w:rightChars="10"/>
              <w:jc w:val="center"/>
              <w:rPr>
                <w:rFonts w:cs="Arial"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序号</w:t>
            </w:r>
          </w:p>
        </w:tc>
        <w:tc>
          <w:tcPr>
            <w:tcW w:w="2990" w:type="dxa"/>
            <w:tcBorders>
              <w:top w:val="single" w:color="auto" w:sz="4" w:space="0"/>
              <w:left w:val="nil"/>
              <w:bottom w:val="single" w:color="auto" w:sz="4" w:space="0"/>
              <w:right w:val="single" w:color="auto" w:sz="4" w:space="0"/>
            </w:tcBorders>
            <w:vAlign w:val="center"/>
          </w:tcPr>
          <w:p w14:paraId="0CFC97E1">
            <w:pPr>
              <w:spacing w:line="360" w:lineRule="auto"/>
              <w:ind w:right="21" w:rightChars="10"/>
              <w:jc w:val="center"/>
              <w:rPr>
                <w:rFonts w:cs="Arial"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项目</w:t>
            </w:r>
          </w:p>
        </w:tc>
        <w:tc>
          <w:tcPr>
            <w:tcW w:w="3452" w:type="dxa"/>
            <w:tcBorders>
              <w:top w:val="single" w:color="auto" w:sz="4" w:space="0"/>
              <w:left w:val="nil"/>
              <w:bottom w:val="single" w:color="auto" w:sz="4" w:space="0"/>
              <w:right w:val="single" w:color="auto" w:sz="4" w:space="0"/>
            </w:tcBorders>
            <w:vAlign w:val="center"/>
          </w:tcPr>
          <w:p w14:paraId="6CB4BDFB">
            <w:pPr>
              <w:spacing w:line="360" w:lineRule="auto"/>
              <w:ind w:right="21" w:rightChars="10"/>
              <w:jc w:val="center"/>
              <w:rPr>
                <w:rFonts w:cs="Arial"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响应内容</w:t>
            </w:r>
          </w:p>
        </w:tc>
        <w:tc>
          <w:tcPr>
            <w:tcW w:w="1294" w:type="dxa"/>
            <w:tcBorders>
              <w:top w:val="single" w:color="auto" w:sz="4" w:space="0"/>
              <w:left w:val="nil"/>
              <w:bottom w:val="single" w:color="auto" w:sz="4" w:space="0"/>
              <w:right w:val="single" w:color="auto" w:sz="4" w:space="0"/>
            </w:tcBorders>
            <w:vAlign w:val="center"/>
          </w:tcPr>
          <w:p w14:paraId="48C06683">
            <w:pPr>
              <w:spacing w:line="360" w:lineRule="auto"/>
              <w:ind w:right="21" w:rightChars="10"/>
              <w:jc w:val="center"/>
              <w:rPr>
                <w:rFonts w:cs="Arial"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备注</w:t>
            </w:r>
          </w:p>
        </w:tc>
      </w:tr>
      <w:tr w14:paraId="13480782">
        <w:tblPrEx>
          <w:tblCellMar>
            <w:top w:w="0" w:type="dxa"/>
            <w:left w:w="108" w:type="dxa"/>
            <w:bottom w:w="0" w:type="dxa"/>
            <w:right w:w="108" w:type="dxa"/>
          </w:tblCellMar>
        </w:tblPrEx>
        <w:trPr>
          <w:trHeight w:val="551" w:hRule="atLeast"/>
        </w:trPr>
        <w:tc>
          <w:tcPr>
            <w:tcW w:w="877" w:type="dxa"/>
            <w:tcBorders>
              <w:top w:val="single" w:color="auto" w:sz="4" w:space="0"/>
              <w:left w:val="single" w:color="auto" w:sz="4" w:space="0"/>
              <w:bottom w:val="single" w:color="auto" w:sz="4" w:space="0"/>
              <w:right w:val="single" w:color="auto" w:sz="4" w:space="0"/>
            </w:tcBorders>
            <w:vAlign w:val="center"/>
          </w:tcPr>
          <w:p w14:paraId="28B0C912">
            <w:pPr>
              <w:spacing w:line="360" w:lineRule="auto"/>
              <w:ind w:right="21" w:rightChars="10"/>
              <w:jc w:val="center"/>
              <w:rPr>
                <w:rFonts w:cs="Arial"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w:t>
            </w:r>
          </w:p>
        </w:tc>
        <w:tc>
          <w:tcPr>
            <w:tcW w:w="2990" w:type="dxa"/>
            <w:tcBorders>
              <w:top w:val="single" w:color="auto" w:sz="4" w:space="0"/>
              <w:left w:val="nil"/>
              <w:bottom w:val="single" w:color="auto" w:sz="4" w:space="0"/>
              <w:right w:val="single" w:color="auto" w:sz="4" w:space="0"/>
            </w:tcBorders>
            <w:vAlign w:val="center"/>
          </w:tcPr>
          <w:p w14:paraId="6658477B">
            <w:pPr>
              <w:spacing w:line="360" w:lineRule="auto"/>
              <w:ind w:right="21" w:rightChars="10"/>
              <w:jc w:val="center"/>
              <w:rPr>
                <w:rFonts w:cs="Arial"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项目负责人（项目经理）</w:t>
            </w:r>
          </w:p>
        </w:tc>
        <w:tc>
          <w:tcPr>
            <w:tcW w:w="3452" w:type="dxa"/>
            <w:tcBorders>
              <w:top w:val="single" w:color="auto" w:sz="4" w:space="0"/>
              <w:left w:val="nil"/>
              <w:bottom w:val="single" w:color="auto" w:sz="4" w:space="0"/>
              <w:right w:val="single" w:color="auto" w:sz="4" w:space="0"/>
            </w:tcBorders>
            <w:vAlign w:val="center"/>
          </w:tcPr>
          <w:p w14:paraId="4D28CEB6">
            <w:pPr>
              <w:spacing w:line="360" w:lineRule="auto"/>
              <w:ind w:right="-82" w:rightChars="-39"/>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姓名：</w:t>
            </w:r>
          </w:p>
        </w:tc>
        <w:tc>
          <w:tcPr>
            <w:tcW w:w="1294" w:type="dxa"/>
            <w:tcBorders>
              <w:top w:val="single" w:color="auto" w:sz="4" w:space="0"/>
              <w:left w:val="nil"/>
              <w:bottom w:val="single" w:color="auto" w:sz="4" w:space="0"/>
              <w:right w:val="single" w:color="auto" w:sz="4" w:space="0"/>
            </w:tcBorders>
            <w:vAlign w:val="center"/>
          </w:tcPr>
          <w:p w14:paraId="3930A85E">
            <w:pPr>
              <w:spacing w:line="360" w:lineRule="auto"/>
              <w:ind w:right="21" w:rightChars="10"/>
              <w:jc w:val="center"/>
              <w:rPr>
                <w:rFonts w:cs="Arial" w:asciiTheme="minorEastAsia" w:hAnsiTheme="minorEastAsia" w:eastAsiaTheme="minorEastAsia"/>
                <w:color w:val="000000" w:themeColor="text1"/>
                <w14:textFill>
                  <w14:solidFill>
                    <w14:schemeClr w14:val="tx1"/>
                  </w14:solidFill>
                </w14:textFill>
              </w:rPr>
            </w:pPr>
          </w:p>
        </w:tc>
      </w:tr>
      <w:tr w14:paraId="72320D68">
        <w:tblPrEx>
          <w:tblCellMar>
            <w:top w:w="0" w:type="dxa"/>
            <w:left w:w="108" w:type="dxa"/>
            <w:bottom w:w="0" w:type="dxa"/>
            <w:right w:w="108" w:type="dxa"/>
          </w:tblCellMar>
        </w:tblPrEx>
        <w:trPr>
          <w:trHeight w:val="677" w:hRule="atLeast"/>
        </w:trPr>
        <w:tc>
          <w:tcPr>
            <w:tcW w:w="877" w:type="dxa"/>
            <w:tcBorders>
              <w:top w:val="single" w:color="auto" w:sz="4" w:space="0"/>
              <w:left w:val="single" w:color="auto" w:sz="4" w:space="0"/>
              <w:bottom w:val="single" w:color="auto" w:sz="4" w:space="0"/>
              <w:right w:val="single" w:color="auto" w:sz="4" w:space="0"/>
            </w:tcBorders>
            <w:vAlign w:val="center"/>
          </w:tcPr>
          <w:p w14:paraId="3D1DDB13">
            <w:pPr>
              <w:spacing w:line="360" w:lineRule="auto"/>
              <w:ind w:right="21" w:rightChars="10"/>
              <w:jc w:val="center"/>
              <w:rPr>
                <w:rFonts w:cs="Arial"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3</w:t>
            </w:r>
          </w:p>
        </w:tc>
        <w:tc>
          <w:tcPr>
            <w:tcW w:w="2990" w:type="dxa"/>
            <w:tcBorders>
              <w:top w:val="single" w:color="auto" w:sz="4" w:space="0"/>
              <w:left w:val="nil"/>
              <w:bottom w:val="single" w:color="auto" w:sz="4" w:space="0"/>
              <w:right w:val="single" w:color="auto" w:sz="4" w:space="0"/>
            </w:tcBorders>
            <w:vAlign w:val="center"/>
          </w:tcPr>
          <w:p w14:paraId="4C03930C">
            <w:pPr>
              <w:spacing w:line="360" w:lineRule="auto"/>
              <w:ind w:right="21" w:rightChars="10"/>
              <w:jc w:val="center"/>
              <w:rPr>
                <w:rFonts w:cs="Arial"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工期</w:t>
            </w:r>
          </w:p>
        </w:tc>
        <w:tc>
          <w:tcPr>
            <w:tcW w:w="3452" w:type="dxa"/>
            <w:tcBorders>
              <w:top w:val="single" w:color="auto" w:sz="4" w:space="0"/>
              <w:left w:val="nil"/>
              <w:bottom w:val="single" w:color="auto" w:sz="4" w:space="0"/>
              <w:right w:val="single" w:color="auto" w:sz="4" w:space="0"/>
            </w:tcBorders>
            <w:vAlign w:val="center"/>
          </w:tcPr>
          <w:p w14:paraId="04531FD0">
            <w:pPr>
              <w:spacing w:line="360" w:lineRule="auto"/>
              <w:ind w:right="21" w:rightChars="10"/>
              <w:jc w:val="center"/>
              <w:rPr>
                <w:rFonts w:cs="Arial"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工期总日历天数：</w:t>
            </w:r>
            <w:r>
              <w:rPr>
                <w:rFonts w:hint="eastAsia" w:cs="宋体" w:asciiTheme="minorEastAsia" w:hAnsiTheme="minorEastAsia" w:eastAsiaTheme="minorEastAsia"/>
                <w:color w:val="000000" w:themeColor="text1"/>
                <w:u w:val="single"/>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天。</w:t>
            </w:r>
          </w:p>
        </w:tc>
        <w:tc>
          <w:tcPr>
            <w:tcW w:w="1294" w:type="dxa"/>
            <w:tcBorders>
              <w:top w:val="single" w:color="auto" w:sz="4" w:space="0"/>
              <w:left w:val="nil"/>
              <w:bottom w:val="single" w:color="auto" w:sz="4" w:space="0"/>
              <w:right w:val="single" w:color="auto" w:sz="4" w:space="0"/>
            </w:tcBorders>
            <w:vAlign w:val="center"/>
          </w:tcPr>
          <w:p w14:paraId="29C45539">
            <w:pPr>
              <w:spacing w:line="360" w:lineRule="auto"/>
              <w:ind w:right="21" w:rightChars="10"/>
              <w:jc w:val="center"/>
              <w:rPr>
                <w:rFonts w:cs="Arial" w:asciiTheme="minorEastAsia" w:hAnsiTheme="minorEastAsia" w:eastAsiaTheme="minorEastAsia"/>
                <w:color w:val="000000" w:themeColor="text1"/>
                <w14:textFill>
                  <w14:solidFill>
                    <w14:schemeClr w14:val="tx1"/>
                  </w14:solidFill>
                </w14:textFill>
              </w:rPr>
            </w:pPr>
          </w:p>
        </w:tc>
      </w:tr>
      <w:tr w14:paraId="6F7F21C7">
        <w:tblPrEx>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14:paraId="427D4549">
            <w:pPr>
              <w:spacing w:line="360" w:lineRule="auto"/>
              <w:ind w:right="21" w:rightChars="10"/>
              <w:jc w:val="center"/>
              <w:rPr>
                <w:rFonts w:cs="Arial"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4</w:t>
            </w:r>
          </w:p>
        </w:tc>
        <w:tc>
          <w:tcPr>
            <w:tcW w:w="2990" w:type="dxa"/>
            <w:tcBorders>
              <w:top w:val="single" w:color="auto" w:sz="4" w:space="0"/>
              <w:left w:val="nil"/>
              <w:bottom w:val="single" w:color="auto" w:sz="4" w:space="0"/>
              <w:right w:val="single" w:color="auto" w:sz="4" w:space="0"/>
            </w:tcBorders>
            <w:vAlign w:val="center"/>
          </w:tcPr>
          <w:p w14:paraId="3FCCA314">
            <w:pPr>
              <w:spacing w:line="360" w:lineRule="auto"/>
              <w:ind w:right="21" w:rightChars="10"/>
              <w:jc w:val="center"/>
              <w:rPr>
                <w:rFonts w:cs="Arial"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缺陷责任期</w:t>
            </w:r>
          </w:p>
        </w:tc>
        <w:tc>
          <w:tcPr>
            <w:tcW w:w="3452" w:type="dxa"/>
            <w:tcBorders>
              <w:top w:val="single" w:color="auto" w:sz="4" w:space="0"/>
              <w:left w:val="nil"/>
              <w:bottom w:val="single" w:color="auto" w:sz="4" w:space="0"/>
              <w:right w:val="single" w:color="auto" w:sz="4" w:space="0"/>
            </w:tcBorders>
            <w:vAlign w:val="center"/>
          </w:tcPr>
          <w:p w14:paraId="4E4AC0F4">
            <w:pPr>
              <w:spacing w:line="360" w:lineRule="auto"/>
              <w:jc w:val="center"/>
              <w:rPr>
                <w:rFonts w:cs="Arial"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个月</w:t>
            </w:r>
          </w:p>
        </w:tc>
        <w:tc>
          <w:tcPr>
            <w:tcW w:w="1294" w:type="dxa"/>
            <w:tcBorders>
              <w:top w:val="single" w:color="auto" w:sz="4" w:space="0"/>
              <w:left w:val="nil"/>
              <w:bottom w:val="single" w:color="auto" w:sz="4" w:space="0"/>
              <w:right w:val="single" w:color="auto" w:sz="4" w:space="0"/>
            </w:tcBorders>
            <w:vAlign w:val="center"/>
          </w:tcPr>
          <w:p w14:paraId="162119C8">
            <w:pPr>
              <w:spacing w:line="360" w:lineRule="auto"/>
              <w:ind w:right="21" w:rightChars="10"/>
              <w:jc w:val="center"/>
              <w:rPr>
                <w:rFonts w:cs="Arial" w:asciiTheme="minorEastAsia" w:hAnsiTheme="minorEastAsia" w:eastAsiaTheme="minorEastAsia"/>
                <w:color w:val="000000" w:themeColor="text1"/>
                <w14:textFill>
                  <w14:solidFill>
                    <w14:schemeClr w14:val="tx1"/>
                  </w14:solidFill>
                </w14:textFill>
              </w:rPr>
            </w:pPr>
          </w:p>
        </w:tc>
      </w:tr>
      <w:tr w14:paraId="3602FED4">
        <w:tblPrEx>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14:paraId="77F9B08F">
            <w:pPr>
              <w:spacing w:line="360" w:lineRule="auto"/>
              <w:ind w:right="21" w:rightChars="10"/>
              <w:jc w:val="center"/>
              <w:rPr>
                <w:rFonts w:cs="Arial"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5</w:t>
            </w:r>
          </w:p>
        </w:tc>
        <w:tc>
          <w:tcPr>
            <w:tcW w:w="2990" w:type="dxa"/>
            <w:tcBorders>
              <w:top w:val="single" w:color="auto" w:sz="4" w:space="0"/>
              <w:left w:val="nil"/>
              <w:bottom w:val="single" w:color="auto" w:sz="4" w:space="0"/>
              <w:right w:val="single" w:color="auto" w:sz="4" w:space="0"/>
            </w:tcBorders>
            <w:vAlign w:val="center"/>
          </w:tcPr>
          <w:p w14:paraId="1D819B42">
            <w:pPr>
              <w:spacing w:line="360" w:lineRule="auto"/>
              <w:ind w:right="21" w:rightChars="10"/>
              <w:jc w:val="center"/>
              <w:rPr>
                <w:rFonts w:cs="Arial"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分包</w:t>
            </w:r>
          </w:p>
        </w:tc>
        <w:tc>
          <w:tcPr>
            <w:tcW w:w="3452" w:type="dxa"/>
            <w:tcBorders>
              <w:top w:val="single" w:color="auto" w:sz="4" w:space="0"/>
              <w:left w:val="nil"/>
              <w:bottom w:val="single" w:color="auto" w:sz="4" w:space="0"/>
              <w:right w:val="single" w:color="auto" w:sz="4" w:space="0"/>
            </w:tcBorders>
            <w:vAlign w:val="center"/>
          </w:tcPr>
          <w:p w14:paraId="4E1EAEA4">
            <w:pPr>
              <w:spacing w:line="360" w:lineRule="auto"/>
              <w:jc w:val="center"/>
              <w:rPr>
                <w:rFonts w:cs="Arial" w:asciiTheme="minorEastAsia" w:hAnsiTheme="minorEastAsia" w:eastAsiaTheme="minorEastAsia"/>
                <w:color w:val="000000" w:themeColor="text1"/>
                <w14:textFill>
                  <w14:solidFill>
                    <w14:schemeClr w14:val="tx1"/>
                  </w14:solidFill>
                </w14:textFill>
              </w:rPr>
            </w:pPr>
          </w:p>
        </w:tc>
        <w:tc>
          <w:tcPr>
            <w:tcW w:w="1294" w:type="dxa"/>
            <w:tcBorders>
              <w:top w:val="single" w:color="auto" w:sz="4" w:space="0"/>
              <w:left w:val="nil"/>
              <w:bottom w:val="single" w:color="auto" w:sz="4" w:space="0"/>
              <w:right w:val="single" w:color="auto" w:sz="4" w:space="0"/>
            </w:tcBorders>
            <w:vAlign w:val="center"/>
          </w:tcPr>
          <w:p w14:paraId="4FC5E339">
            <w:pPr>
              <w:spacing w:line="360" w:lineRule="auto"/>
              <w:ind w:right="21" w:rightChars="10"/>
              <w:jc w:val="center"/>
              <w:rPr>
                <w:rFonts w:cs="Arial" w:asciiTheme="minorEastAsia" w:hAnsiTheme="minorEastAsia" w:eastAsiaTheme="minorEastAsia"/>
                <w:color w:val="000000" w:themeColor="text1"/>
                <w14:textFill>
                  <w14:solidFill>
                    <w14:schemeClr w14:val="tx1"/>
                  </w14:solidFill>
                </w14:textFill>
              </w:rPr>
            </w:pPr>
          </w:p>
        </w:tc>
      </w:tr>
      <w:tr w14:paraId="3998A2C4">
        <w:tblPrEx>
          <w:tblCellMar>
            <w:top w:w="0" w:type="dxa"/>
            <w:left w:w="108" w:type="dxa"/>
            <w:bottom w:w="0" w:type="dxa"/>
            <w:right w:w="108" w:type="dxa"/>
          </w:tblCellMar>
        </w:tblPrEx>
        <w:trPr>
          <w:trHeight w:val="622" w:hRule="atLeast"/>
        </w:trPr>
        <w:tc>
          <w:tcPr>
            <w:tcW w:w="877" w:type="dxa"/>
            <w:tcBorders>
              <w:top w:val="single" w:color="auto" w:sz="4" w:space="0"/>
              <w:left w:val="single" w:color="auto" w:sz="4" w:space="0"/>
              <w:bottom w:val="single" w:color="auto" w:sz="4" w:space="0"/>
              <w:right w:val="single" w:color="auto" w:sz="4" w:space="0"/>
            </w:tcBorders>
            <w:vAlign w:val="center"/>
          </w:tcPr>
          <w:p w14:paraId="2C8108A1">
            <w:pPr>
              <w:spacing w:line="360" w:lineRule="auto"/>
              <w:ind w:right="21" w:rightChars="10"/>
              <w:jc w:val="center"/>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6</w:t>
            </w:r>
          </w:p>
        </w:tc>
        <w:tc>
          <w:tcPr>
            <w:tcW w:w="2990" w:type="dxa"/>
            <w:tcBorders>
              <w:top w:val="single" w:color="auto" w:sz="4" w:space="0"/>
              <w:left w:val="nil"/>
              <w:bottom w:val="single" w:color="auto" w:sz="4" w:space="0"/>
              <w:right w:val="single" w:color="auto" w:sz="4" w:space="0"/>
            </w:tcBorders>
            <w:vAlign w:val="center"/>
          </w:tcPr>
          <w:p w14:paraId="68081251">
            <w:pPr>
              <w:spacing w:line="360" w:lineRule="auto"/>
              <w:ind w:right="21" w:rightChars="10"/>
              <w:jc w:val="center"/>
              <w:rPr>
                <w:rFonts w:cs="MingLiU" w:asciiTheme="minorEastAsia" w:hAnsiTheme="minorEastAsia" w:eastAsiaTheme="minorEastAsia"/>
                <w:color w:val="000000" w:themeColor="text1"/>
                <w:kern w:val="0"/>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价格调整</w:t>
            </w:r>
          </w:p>
        </w:tc>
        <w:tc>
          <w:tcPr>
            <w:tcW w:w="3452" w:type="dxa"/>
            <w:tcBorders>
              <w:top w:val="single" w:color="auto" w:sz="4" w:space="0"/>
              <w:left w:val="nil"/>
              <w:bottom w:val="single" w:color="auto" w:sz="4" w:space="0"/>
              <w:right w:val="single" w:color="auto" w:sz="4" w:space="0"/>
            </w:tcBorders>
            <w:vAlign w:val="center"/>
          </w:tcPr>
          <w:p w14:paraId="1F7426A4">
            <w:pPr>
              <w:spacing w:line="360" w:lineRule="auto"/>
              <w:jc w:val="center"/>
              <w:rPr>
                <w:rFonts w:asciiTheme="minorEastAsia" w:hAnsiTheme="minorEastAsia" w:eastAsiaTheme="minorEastAsia"/>
                <w:color w:val="000000" w:themeColor="text1"/>
                <w14:textFill>
                  <w14:solidFill>
                    <w14:schemeClr w14:val="tx1"/>
                  </w14:solidFill>
                </w14:textFill>
              </w:rPr>
            </w:pPr>
          </w:p>
        </w:tc>
        <w:tc>
          <w:tcPr>
            <w:tcW w:w="1294" w:type="dxa"/>
            <w:tcBorders>
              <w:top w:val="single" w:color="auto" w:sz="4" w:space="0"/>
              <w:left w:val="nil"/>
              <w:bottom w:val="single" w:color="auto" w:sz="4" w:space="0"/>
              <w:right w:val="single" w:color="auto" w:sz="4" w:space="0"/>
            </w:tcBorders>
            <w:vAlign w:val="center"/>
          </w:tcPr>
          <w:p w14:paraId="6107678E">
            <w:pPr>
              <w:spacing w:line="360" w:lineRule="auto"/>
              <w:ind w:right="21" w:rightChars="10"/>
              <w:jc w:val="center"/>
              <w:rPr>
                <w:rFonts w:cs="Arial" w:asciiTheme="minorEastAsia" w:hAnsiTheme="minorEastAsia" w:eastAsiaTheme="minorEastAsia"/>
                <w:color w:val="000000" w:themeColor="text1"/>
                <w14:textFill>
                  <w14:solidFill>
                    <w14:schemeClr w14:val="tx1"/>
                  </w14:solidFill>
                </w14:textFill>
              </w:rPr>
            </w:pPr>
          </w:p>
        </w:tc>
      </w:tr>
      <w:tr w14:paraId="3D049D71">
        <w:tblPrEx>
          <w:tblCellMar>
            <w:top w:w="0" w:type="dxa"/>
            <w:left w:w="108" w:type="dxa"/>
            <w:bottom w:w="0" w:type="dxa"/>
            <w:right w:w="108" w:type="dxa"/>
          </w:tblCellMar>
        </w:tblPrEx>
        <w:trPr>
          <w:trHeight w:val="622" w:hRule="atLeast"/>
        </w:trPr>
        <w:tc>
          <w:tcPr>
            <w:tcW w:w="877" w:type="dxa"/>
            <w:tcBorders>
              <w:top w:val="single" w:color="auto" w:sz="4" w:space="0"/>
              <w:left w:val="single" w:color="auto" w:sz="4" w:space="0"/>
              <w:bottom w:val="single" w:color="auto" w:sz="4" w:space="0"/>
              <w:right w:val="single" w:color="auto" w:sz="4" w:space="0"/>
            </w:tcBorders>
            <w:vAlign w:val="center"/>
          </w:tcPr>
          <w:p w14:paraId="46744F3A">
            <w:pPr>
              <w:spacing w:line="360" w:lineRule="auto"/>
              <w:ind w:right="21" w:rightChars="10"/>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w:t>
            </w:r>
          </w:p>
        </w:tc>
        <w:tc>
          <w:tcPr>
            <w:tcW w:w="2990" w:type="dxa"/>
            <w:tcBorders>
              <w:top w:val="single" w:color="auto" w:sz="4" w:space="0"/>
              <w:left w:val="nil"/>
              <w:bottom w:val="single" w:color="auto" w:sz="4" w:space="0"/>
              <w:right w:val="single" w:color="auto" w:sz="4" w:space="0"/>
            </w:tcBorders>
            <w:vAlign w:val="center"/>
          </w:tcPr>
          <w:p w14:paraId="0360225F">
            <w:pPr>
              <w:spacing w:line="360" w:lineRule="auto"/>
              <w:ind w:right="21" w:rightChars="10"/>
              <w:jc w:val="center"/>
              <w:rPr>
                <w:rFonts w:cs="MingLiU" w:asciiTheme="minorEastAsia" w:hAnsiTheme="minorEastAsia" w:eastAsiaTheme="minorEastAsia"/>
                <w:color w:val="000000" w:themeColor="text1"/>
                <w:kern w:val="0"/>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施工质量标准</w:t>
            </w:r>
          </w:p>
        </w:tc>
        <w:tc>
          <w:tcPr>
            <w:tcW w:w="3452" w:type="dxa"/>
            <w:tcBorders>
              <w:top w:val="single" w:color="auto" w:sz="4" w:space="0"/>
              <w:left w:val="nil"/>
              <w:bottom w:val="single" w:color="auto" w:sz="4" w:space="0"/>
              <w:right w:val="single" w:color="auto" w:sz="4" w:space="0"/>
            </w:tcBorders>
            <w:vAlign w:val="center"/>
          </w:tcPr>
          <w:p w14:paraId="760BD504">
            <w:pPr>
              <w:spacing w:line="360" w:lineRule="auto"/>
              <w:jc w:val="center"/>
              <w:rPr>
                <w:rFonts w:asciiTheme="minorEastAsia" w:hAnsiTheme="minorEastAsia" w:eastAsiaTheme="minorEastAsia"/>
                <w:color w:val="000000" w:themeColor="text1"/>
                <w14:textFill>
                  <w14:solidFill>
                    <w14:schemeClr w14:val="tx1"/>
                  </w14:solidFill>
                </w14:textFill>
              </w:rPr>
            </w:pPr>
          </w:p>
        </w:tc>
        <w:tc>
          <w:tcPr>
            <w:tcW w:w="1294" w:type="dxa"/>
            <w:tcBorders>
              <w:top w:val="single" w:color="auto" w:sz="4" w:space="0"/>
              <w:left w:val="nil"/>
              <w:bottom w:val="single" w:color="auto" w:sz="4" w:space="0"/>
              <w:right w:val="single" w:color="auto" w:sz="4" w:space="0"/>
            </w:tcBorders>
            <w:vAlign w:val="center"/>
          </w:tcPr>
          <w:p w14:paraId="48006CBD">
            <w:pPr>
              <w:spacing w:line="360" w:lineRule="auto"/>
              <w:ind w:right="21" w:rightChars="10"/>
              <w:jc w:val="center"/>
              <w:rPr>
                <w:rFonts w:cs="Arial" w:asciiTheme="minorEastAsia" w:hAnsiTheme="minorEastAsia" w:eastAsiaTheme="minorEastAsia"/>
                <w:color w:val="000000" w:themeColor="text1"/>
                <w14:textFill>
                  <w14:solidFill>
                    <w14:schemeClr w14:val="tx1"/>
                  </w14:solidFill>
                </w14:textFill>
              </w:rPr>
            </w:pPr>
          </w:p>
        </w:tc>
      </w:tr>
      <w:tr w14:paraId="2C162662">
        <w:tblPrEx>
          <w:tblCellMar>
            <w:top w:w="0" w:type="dxa"/>
            <w:left w:w="108" w:type="dxa"/>
            <w:bottom w:w="0" w:type="dxa"/>
            <w:right w:w="108" w:type="dxa"/>
          </w:tblCellMar>
        </w:tblPrEx>
        <w:trPr>
          <w:trHeight w:val="622" w:hRule="atLeast"/>
        </w:trPr>
        <w:tc>
          <w:tcPr>
            <w:tcW w:w="877" w:type="dxa"/>
            <w:tcBorders>
              <w:top w:val="single" w:color="auto" w:sz="4" w:space="0"/>
              <w:left w:val="single" w:color="auto" w:sz="4" w:space="0"/>
              <w:bottom w:val="single" w:color="auto" w:sz="4" w:space="0"/>
              <w:right w:val="single" w:color="auto" w:sz="4" w:space="0"/>
            </w:tcBorders>
            <w:vAlign w:val="center"/>
          </w:tcPr>
          <w:p w14:paraId="6D894E01">
            <w:pPr>
              <w:spacing w:line="360" w:lineRule="auto"/>
              <w:ind w:right="21" w:rightChars="10"/>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w:t>
            </w:r>
          </w:p>
        </w:tc>
        <w:tc>
          <w:tcPr>
            <w:tcW w:w="2990" w:type="dxa"/>
            <w:tcBorders>
              <w:top w:val="single" w:color="auto" w:sz="4" w:space="0"/>
              <w:left w:val="nil"/>
              <w:bottom w:val="single" w:color="auto" w:sz="4" w:space="0"/>
              <w:right w:val="single" w:color="auto" w:sz="4" w:space="0"/>
            </w:tcBorders>
            <w:vAlign w:val="center"/>
          </w:tcPr>
          <w:p w14:paraId="09C5D9DD">
            <w:pPr>
              <w:spacing w:line="360" w:lineRule="auto"/>
              <w:ind w:right="21" w:rightChars="10"/>
              <w:jc w:val="center"/>
              <w:rPr>
                <w:rFonts w:cs="MingLiU" w:asciiTheme="minorEastAsia" w:hAnsiTheme="minorEastAsia" w:eastAsiaTheme="minorEastAsia"/>
                <w:color w:val="000000" w:themeColor="text1"/>
                <w:kern w:val="0"/>
                <w14:textFill>
                  <w14:solidFill>
                    <w14:schemeClr w14:val="tx1"/>
                  </w14:solidFill>
                </w14:textFill>
              </w:rPr>
            </w:pPr>
            <w:r>
              <w:rPr>
                <w:rFonts w:hint="eastAsia" w:cs="MingLiU" w:asciiTheme="minorEastAsia" w:hAnsiTheme="minorEastAsia" w:eastAsiaTheme="minorEastAsia"/>
                <w:color w:val="000000" w:themeColor="text1"/>
                <w:kern w:val="0"/>
                <w14:textFill>
                  <w14:solidFill>
                    <w14:schemeClr w14:val="tx1"/>
                  </w14:solidFill>
                </w14:textFill>
              </w:rPr>
              <w:t>付款方式</w:t>
            </w:r>
          </w:p>
        </w:tc>
        <w:tc>
          <w:tcPr>
            <w:tcW w:w="3452" w:type="dxa"/>
            <w:tcBorders>
              <w:top w:val="single" w:color="auto" w:sz="4" w:space="0"/>
              <w:left w:val="nil"/>
              <w:bottom w:val="single" w:color="auto" w:sz="4" w:space="0"/>
              <w:right w:val="single" w:color="auto" w:sz="4" w:space="0"/>
            </w:tcBorders>
            <w:vAlign w:val="center"/>
          </w:tcPr>
          <w:p w14:paraId="78DBFE15">
            <w:pPr>
              <w:spacing w:line="360" w:lineRule="auto"/>
              <w:jc w:val="center"/>
              <w:rPr>
                <w:rFonts w:asciiTheme="minorEastAsia" w:hAnsiTheme="minorEastAsia" w:eastAsiaTheme="minorEastAsia"/>
                <w:color w:val="000000" w:themeColor="text1"/>
                <w14:textFill>
                  <w14:solidFill>
                    <w14:schemeClr w14:val="tx1"/>
                  </w14:solidFill>
                </w14:textFill>
              </w:rPr>
            </w:pPr>
          </w:p>
        </w:tc>
        <w:tc>
          <w:tcPr>
            <w:tcW w:w="1294" w:type="dxa"/>
            <w:tcBorders>
              <w:top w:val="single" w:color="auto" w:sz="4" w:space="0"/>
              <w:left w:val="nil"/>
              <w:bottom w:val="single" w:color="auto" w:sz="4" w:space="0"/>
              <w:right w:val="single" w:color="auto" w:sz="4" w:space="0"/>
            </w:tcBorders>
            <w:vAlign w:val="center"/>
          </w:tcPr>
          <w:p w14:paraId="7C111817">
            <w:pPr>
              <w:spacing w:line="360" w:lineRule="auto"/>
              <w:ind w:right="21" w:rightChars="10"/>
              <w:jc w:val="center"/>
              <w:rPr>
                <w:rFonts w:cs="Arial" w:asciiTheme="minorEastAsia" w:hAnsiTheme="minorEastAsia" w:eastAsiaTheme="minorEastAsia"/>
                <w:color w:val="000000" w:themeColor="text1"/>
                <w14:textFill>
                  <w14:solidFill>
                    <w14:schemeClr w14:val="tx1"/>
                  </w14:solidFill>
                </w14:textFill>
              </w:rPr>
            </w:pPr>
          </w:p>
        </w:tc>
      </w:tr>
      <w:tr w14:paraId="761AC8B1">
        <w:tblPrEx>
          <w:tblCellMar>
            <w:top w:w="0" w:type="dxa"/>
            <w:left w:w="108" w:type="dxa"/>
            <w:bottom w:w="0" w:type="dxa"/>
            <w:right w:w="108" w:type="dxa"/>
          </w:tblCellMar>
        </w:tblPrEx>
        <w:trPr>
          <w:trHeight w:val="622" w:hRule="atLeast"/>
        </w:trPr>
        <w:tc>
          <w:tcPr>
            <w:tcW w:w="877" w:type="dxa"/>
            <w:tcBorders>
              <w:top w:val="single" w:color="auto" w:sz="4" w:space="0"/>
              <w:left w:val="single" w:color="auto" w:sz="4" w:space="0"/>
              <w:bottom w:val="single" w:color="auto" w:sz="4" w:space="0"/>
              <w:right w:val="single" w:color="auto" w:sz="4" w:space="0"/>
            </w:tcBorders>
            <w:vAlign w:val="center"/>
          </w:tcPr>
          <w:p w14:paraId="3C8B4333">
            <w:pPr>
              <w:spacing w:line="360" w:lineRule="auto"/>
              <w:ind w:right="21" w:rightChars="10"/>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9</w:t>
            </w:r>
          </w:p>
        </w:tc>
        <w:tc>
          <w:tcPr>
            <w:tcW w:w="2990" w:type="dxa"/>
            <w:tcBorders>
              <w:top w:val="single" w:color="auto" w:sz="4" w:space="0"/>
              <w:left w:val="nil"/>
              <w:bottom w:val="single" w:color="auto" w:sz="4" w:space="0"/>
              <w:right w:val="single" w:color="auto" w:sz="4" w:space="0"/>
            </w:tcBorders>
            <w:vAlign w:val="center"/>
          </w:tcPr>
          <w:p w14:paraId="7B54B02D">
            <w:pPr>
              <w:spacing w:line="360" w:lineRule="auto"/>
              <w:ind w:right="21" w:rightChars="10"/>
              <w:jc w:val="center"/>
              <w:rPr>
                <w:rFonts w:cs="MingLiU" w:asciiTheme="minorEastAsia" w:hAnsiTheme="minorEastAsia" w:eastAsiaTheme="minorEastAsia"/>
                <w:color w:val="000000" w:themeColor="text1"/>
                <w:kern w:val="0"/>
                <w14:textFill>
                  <w14:solidFill>
                    <w14:schemeClr w14:val="tx1"/>
                  </w14:solidFill>
                </w14:textFill>
              </w:rPr>
            </w:pPr>
            <w:r>
              <w:rPr>
                <w:rFonts w:hint="eastAsia" w:cs="MingLiU" w:asciiTheme="minorEastAsia" w:hAnsiTheme="minorEastAsia" w:eastAsiaTheme="minorEastAsia"/>
                <w:color w:val="000000" w:themeColor="text1"/>
                <w:kern w:val="0"/>
                <w14:textFill>
                  <w14:solidFill>
                    <w14:schemeClr w14:val="tx1"/>
                  </w14:solidFill>
                </w14:textFill>
              </w:rPr>
              <w:t>发票要求</w:t>
            </w:r>
          </w:p>
        </w:tc>
        <w:tc>
          <w:tcPr>
            <w:tcW w:w="3452" w:type="dxa"/>
            <w:tcBorders>
              <w:top w:val="single" w:color="auto" w:sz="4" w:space="0"/>
              <w:left w:val="nil"/>
              <w:bottom w:val="single" w:color="auto" w:sz="4" w:space="0"/>
              <w:right w:val="single" w:color="auto" w:sz="4" w:space="0"/>
            </w:tcBorders>
            <w:vAlign w:val="center"/>
          </w:tcPr>
          <w:p w14:paraId="0EA3B8F9">
            <w:pPr>
              <w:spacing w:line="360" w:lineRule="auto"/>
              <w:jc w:val="center"/>
              <w:rPr>
                <w:rFonts w:asciiTheme="minorEastAsia" w:hAnsiTheme="minorEastAsia" w:eastAsiaTheme="minorEastAsia"/>
                <w:color w:val="000000" w:themeColor="text1"/>
                <w14:textFill>
                  <w14:solidFill>
                    <w14:schemeClr w14:val="tx1"/>
                  </w14:solidFill>
                </w14:textFill>
              </w:rPr>
            </w:pPr>
          </w:p>
        </w:tc>
        <w:tc>
          <w:tcPr>
            <w:tcW w:w="1294" w:type="dxa"/>
            <w:tcBorders>
              <w:top w:val="single" w:color="auto" w:sz="4" w:space="0"/>
              <w:left w:val="nil"/>
              <w:bottom w:val="single" w:color="auto" w:sz="4" w:space="0"/>
              <w:right w:val="single" w:color="auto" w:sz="4" w:space="0"/>
            </w:tcBorders>
            <w:vAlign w:val="center"/>
          </w:tcPr>
          <w:p w14:paraId="0B3AFB8B">
            <w:pPr>
              <w:spacing w:line="360" w:lineRule="auto"/>
              <w:ind w:right="21" w:rightChars="10"/>
              <w:jc w:val="center"/>
              <w:rPr>
                <w:rFonts w:cs="Arial" w:asciiTheme="minorEastAsia" w:hAnsiTheme="minorEastAsia" w:eastAsiaTheme="minorEastAsia"/>
                <w:color w:val="000000" w:themeColor="text1"/>
                <w14:textFill>
                  <w14:solidFill>
                    <w14:schemeClr w14:val="tx1"/>
                  </w14:solidFill>
                </w14:textFill>
              </w:rPr>
            </w:pPr>
          </w:p>
        </w:tc>
      </w:tr>
      <w:tr w14:paraId="6C9B8E2D">
        <w:tblPrEx>
          <w:tblCellMar>
            <w:top w:w="0" w:type="dxa"/>
            <w:left w:w="108" w:type="dxa"/>
            <w:bottom w:w="0" w:type="dxa"/>
            <w:right w:w="108" w:type="dxa"/>
          </w:tblCellMar>
        </w:tblPrEx>
        <w:trPr>
          <w:trHeight w:val="622" w:hRule="atLeast"/>
        </w:trPr>
        <w:tc>
          <w:tcPr>
            <w:tcW w:w="877" w:type="dxa"/>
            <w:tcBorders>
              <w:top w:val="single" w:color="auto" w:sz="4" w:space="0"/>
              <w:left w:val="single" w:color="auto" w:sz="4" w:space="0"/>
              <w:bottom w:val="single" w:color="auto" w:sz="4" w:space="0"/>
              <w:right w:val="single" w:color="auto" w:sz="4" w:space="0"/>
            </w:tcBorders>
            <w:vAlign w:val="center"/>
          </w:tcPr>
          <w:p w14:paraId="5574FBBF">
            <w:pPr>
              <w:spacing w:line="360" w:lineRule="auto"/>
              <w:ind w:right="21" w:rightChars="10"/>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r>
              <w:rPr>
                <w:rFonts w:asciiTheme="minorEastAsia" w:hAnsiTheme="minorEastAsia" w:eastAsiaTheme="minorEastAsia"/>
                <w:color w:val="000000" w:themeColor="text1"/>
                <w14:textFill>
                  <w14:solidFill>
                    <w14:schemeClr w14:val="tx1"/>
                  </w14:solidFill>
                </w14:textFill>
              </w:rPr>
              <w:t>0</w:t>
            </w:r>
          </w:p>
        </w:tc>
        <w:tc>
          <w:tcPr>
            <w:tcW w:w="2990" w:type="dxa"/>
            <w:tcBorders>
              <w:top w:val="single" w:color="auto" w:sz="4" w:space="0"/>
              <w:left w:val="nil"/>
              <w:bottom w:val="single" w:color="auto" w:sz="4" w:space="0"/>
              <w:right w:val="single" w:color="auto" w:sz="4" w:space="0"/>
            </w:tcBorders>
            <w:vAlign w:val="center"/>
          </w:tcPr>
          <w:p w14:paraId="5D18155D">
            <w:pPr>
              <w:spacing w:line="360" w:lineRule="auto"/>
              <w:ind w:right="21" w:rightChars="10"/>
              <w:jc w:val="center"/>
              <w:rPr>
                <w:rFonts w:cs="MingLiU" w:asciiTheme="minorEastAsia" w:hAnsiTheme="minorEastAsia" w:eastAsiaTheme="minorEastAsia"/>
                <w:color w:val="000000" w:themeColor="text1"/>
                <w:kern w:val="0"/>
                <w14:textFill>
                  <w14:solidFill>
                    <w14:schemeClr w14:val="tx1"/>
                  </w14:solidFill>
                </w14:textFill>
              </w:rPr>
            </w:pPr>
            <w:r>
              <w:rPr>
                <w:rFonts w:hint="eastAsia" w:cs="MingLiU" w:asciiTheme="minorEastAsia" w:hAnsiTheme="minorEastAsia" w:eastAsiaTheme="minorEastAsia"/>
                <w:color w:val="000000" w:themeColor="text1"/>
                <w:kern w:val="0"/>
                <w14:textFill>
                  <w14:solidFill>
                    <w14:schemeClr w14:val="tx1"/>
                  </w14:solidFill>
                </w14:textFill>
              </w:rPr>
              <w:t>验收</w:t>
            </w:r>
          </w:p>
        </w:tc>
        <w:tc>
          <w:tcPr>
            <w:tcW w:w="3452" w:type="dxa"/>
            <w:tcBorders>
              <w:top w:val="single" w:color="auto" w:sz="4" w:space="0"/>
              <w:left w:val="nil"/>
              <w:bottom w:val="single" w:color="auto" w:sz="4" w:space="0"/>
              <w:right w:val="single" w:color="auto" w:sz="4" w:space="0"/>
            </w:tcBorders>
            <w:vAlign w:val="center"/>
          </w:tcPr>
          <w:p w14:paraId="746E1AD7">
            <w:pPr>
              <w:spacing w:line="360" w:lineRule="auto"/>
              <w:jc w:val="center"/>
              <w:rPr>
                <w:rFonts w:asciiTheme="minorEastAsia" w:hAnsiTheme="minorEastAsia" w:eastAsiaTheme="minorEastAsia"/>
                <w:color w:val="000000" w:themeColor="text1"/>
                <w14:textFill>
                  <w14:solidFill>
                    <w14:schemeClr w14:val="tx1"/>
                  </w14:solidFill>
                </w14:textFill>
              </w:rPr>
            </w:pPr>
          </w:p>
        </w:tc>
        <w:tc>
          <w:tcPr>
            <w:tcW w:w="1294" w:type="dxa"/>
            <w:tcBorders>
              <w:top w:val="single" w:color="auto" w:sz="4" w:space="0"/>
              <w:left w:val="nil"/>
              <w:bottom w:val="single" w:color="auto" w:sz="4" w:space="0"/>
              <w:right w:val="single" w:color="auto" w:sz="4" w:space="0"/>
            </w:tcBorders>
            <w:vAlign w:val="center"/>
          </w:tcPr>
          <w:p w14:paraId="47BA8D26">
            <w:pPr>
              <w:spacing w:line="360" w:lineRule="auto"/>
              <w:ind w:right="21" w:rightChars="10"/>
              <w:jc w:val="center"/>
              <w:rPr>
                <w:rFonts w:cs="Arial" w:asciiTheme="minorEastAsia" w:hAnsiTheme="minorEastAsia" w:eastAsiaTheme="minorEastAsia"/>
                <w:color w:val="000000" w:themeColor="text1"/>
                <w14:textFill>
                  <w14:solidFill>
                    <w14:schemeClr w14:val="tx1"/>
                  </w14:solidFill>
                </w14:textFill>
              </w:rPr>
            </w:pPr>
          </w:p>
        </w:tc>
      </w:tr>
      <w:tr w14:paraId="3B40AE7A">
        <w:tblPrEx>
          <w:tblCellMar>
            <w:top w:w="0" w:type="dxa"/>
            <w:left w:w="108" w:type="dxa"/>
            <w:bottom w:w="0" w:type="dxa"/>
            <w:right w:w="108" w:type="dxa"/>
          </w:tblCellMar>
        </w:tblPrEx>
        <w:trPr>
          <w:trHeight w:val="622" w:hRule="atLeast"/>
        </w:trPr>
        <w:tc>
          <w:tcPr>
            <w:tcW w:w="877" w:type="dxa"/>
            <w:tcBorders>
              <w:top w:val="single" w:color="auto" w:sz="4" w:space="0"/>
              <w:left w:val="single" w:color="auto" w:sz="4" w:space="0"/>
              <w:bottom w:val="single" w:color="auto" w:sz="4" w:space="0"/>
              <w:right w:val="single" w:color="auto" w:sz="4" w:space="0"/>
            </w:tcBorders>
            <w:vAlign w:val="center"/>
          </w:tcPr>
          <w:p w14:paraId="75DB86A9">
            <w:pPr>
              <w:spacing w:line="360" w:lineRule="auto"/>
              <w:ind w:right="21" w:rightChars="10"/>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11</w:t>
            </w:r>
          </w:p>
        </w:tc>
        <w:tc>
          <w:tcPr>
            <w:tcW w:w="2990" w:type="dxa"/>
            <w:tcBorders>
              <w:top w:val="single" w:color="auto" w:sz="4" w:space="0"/>
              <w:left w:val="nil"/>
              <w:bottom w:val="single" w:color="auto" w:sz="4" w:space="0"/>
              <w:right w:val="single" w:color="auto" w:sz="4" w:space="0"/>
            </w:tcBorders>
            <w:shd w:val="clear" w:color="auto" w:fill="auto"/>
            <w:vAlign w:val="center"/>
          </w:tcPr>
          <w:p w14:paraId="3A6C33FE">
            <w:pPr>
              <w:spacing w:line="360" w:lineRule="auto"/>
              <w:jc w:val="cente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工程保修</w:t>
            </w:r>
          </w:p>
        </w:tc>
        <w:tc>
          <w:tcPr>
            <w:tcW w:w="3452" w:type="dxa"/>
            <w:tcBorders>
              <w:top w:val="single" w:color="auto" w:sz="4" w:space="0"/>
              <w:left w:val="nil"/>
              <w:bottom w:val="single" w:color="auto" w:sz="4" w:space="0"/>
              <w:right w:val="single" w:color="auto" w:sz="4" w:space="0"/>
            </w:tcBorders>
            <w:shd w:val="clear" w:color="auto" w:fill="auto"/>
            <w:vAlign w:val="center"/>
          </w:tcPr>
          <w:p w14:paraId="1B17FA57">
            <w:pPr>
              <w:spacing w:line="360" w:lineRule="auto"/>
              <w:jc w:val="both"/>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p>
        </w:tc>
        <w:tc>
          <w:tcPr>
            <w:tcW w:w="1294" w:type="dxa"/>
            <w:tcBorders>
              <w:top w:val="single" w:color="auto" w:sz="4" w:space="0"/>
              <w:left w:val="nil"/>
              <w:bottom w:val="single" w:color="auto" w:sz="4" w:space="0"/>
              <w:right w:val="single" w:color="auto" w:sz="4" w:space="0"/>
            </w:tcBorders>
            <w:vAlign w:val="center"/>
          </w:tcPr>
          <w:p w14:paraId="5AB72C0E">
            <w:pPr>
              <w:spacing w:line="360" w:lineRule="auto"/>
              <w:ind w:right="21" w:rightChars="10"/>
              <w:jc w:val="center"/>
              <w:rPr>
                <w:rFonts w:cs="Arial" w:asciiTheme="minorEastAsia" w:hAnsiTheme="minorEastAsia" w:eastAsiaTheme="minorEastAsia"/>
                <w:color w:val="000000" w:themeColor="text1"/>
                <w14:textFill>
                  <w14:solidFill>
                    <w14:schemeClr w14:val="tx1"/>
                  </w14:solidFill>
                </w14:textFill>
              </w:rPr>
            </w:pPr>
          </w:p>
        </w:tc>
      </w:tr>
      <w:tr w14:paraId="40C48D30">
        <w:tblPrEx>
          <w:tblCellMar>
            <w:top w:w="0" w:type="dxa"/>
            <w:left w:w="108" w:type="dxa"/>
            <w:bottom w:w="0" w:type="dxa"/>
            <w:right w:w="108" w:type="dxa"/>
          </w:tblCellMar>
        </w:tblPrEx>
        <w:trPr>
          <w:trHeight w:val="622" w:hRule="atLeast"/>
        </w:trPr>
        <w:tc>
          <w:tcPr>
            <w:tcW w:w="877" w:type="dxa"/>
            <w:tcBorders>
              <w:top w:val="single" w:color="auto" w:sz="4" w:space="0"/>
              <w:left w:val="single" w:color="auto" w:sz="4" w:space="0"/>
              <w:bottom w:val="single" w:color="auto" w:sz="4" w:space="0"/>
              <w:right w:val="single" w:color="auto" w:sz="4" w:space="0"/>
            </w:tcBorders>
            <w:vAlign w:val="center"/>
          </w:tcPr>
          <w:p w14:paraId="7DC2D64F">
            <w:pPr>
              <w:spacing w:line="360" w:lineRule="auto"/>
              <w:ind w:right="21" w:rightChars="10"/>
              <w:jc w:val="center"/>
              <w:rPr>
                <w:rFonts w:hint="eastAsia" w:asciiTheme="minorEastAsia" w:hAnsiTheme="minorEastAsia" w:eastAsiaTheme="minorEastAsia"/>
                <w:color w:val="000000" w:themeColor="text1"/>
                <w:lang w:val="en-US" w:eastAsia="zh-CN"/>
                <w14:textFill>
                  <w14:solidFill>
                    <w14:schemeClr w14:val="tx1"/>
                  </w14:solidFill>
                </w14:textFill>
              </w:rPr>
            </w:pPr>
          </w:p>
        </w:tc>
        <w:tc>
          <w:tcPr>
            <w:tcW w:w="2990" w:type="dxa"/>
            <w:tcBorders>
              <w:top w:val="single" w:color="auto" w:sz="4" w:space="0"/>
              <w:left w:val="nil"/>
              <w:bottom w:val="single" w:color="auto" w:sz="4" w:space="0"/>
              <w:right w:val="single" w:color="auto" w:sz="4" w:space="0"/>
            </w:tcBorders>
            <w:shd w:val="clear" w:color="auto" w:fill="auto"/>
            <w:vAlign w:val="center"/>
          </w:tcPr>
          <w:p w14:paraId="208D421D">
            <w:pPr>
              <w:spacing w:line="360" w:lineRule="auto"/>
              <w:jc w:val="center"/>
              <w:rPr>
                <w:rFonts w:hint="default"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w:t>
            </w:r>
          </w:p>
        </w:tc>
        <w:tc>
          <w:tcPr>
            <w:tcW w:w="3452" w:type="dxa"/>
            <w:tcBorders>
              <w:top w:val="single" w:color="auto" w:sz="4" w:space="0"/>
              <w:left w:val="nil"/>
              <w:bottom w:val="single" w:color="auto" w:sz="4" w:space="0"/>
              <w:right w:val="single" w:color="auto" w:sz="4" w:space="0"/>
            </w:tcBorders>
            <w:shd w:val="clear" w:color="auto" w:fill="auto"/>
            <w:vAlign w:val="center"/>
          </w:tcPr>
          <w:p w14:paraId="4915B00D">
            <w:pPr>
              <w:spacing w:line="360" w:lineRule="auto"/>
              <w:jc w:val="both"/>
              <w:rPr>
                <w:rFonts w:hint="default"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w:t>
            </w:r>
          </w:p>
        </w:tc>
        <w:tc>
          <w:tcPr>
            <w:tcW w:w="1294" w:type="dxa"/>
            <w:tcBorders>
              <w:top w:val="single" w:color="auto" w:sz="4" w:space="0"/>
              <w:left w:val="nil"/>
              <w:bottom w:val="single" w:color="auto" w:sz="4" w:space="0"/>
              <w:right w:val="single" w:color="auto" w:sz="4" w:space="0"/>
            </w:tcBorders>
            <w:vAlign w:val="center"/>
          </w:tcPr>
          <w:p w14:paraId="25050786">
            <w:pPr>
              <w:spacing w:line="360" w:lineRule="auto"/>
              <w:ind w:right="21" w:rightChars="10"/>
              <w:jc w:val="center"/>
              <w:rPr>
                <w:rFonts w:cs="Arial" w:asciiTheme="minorEastAsia" w:hAnsiTheme="minorEastAsia" w:eastAsiaTheme="minorEastAsia"/>
                <w:color w:val="000000" w:themeColor="text1"/>
                <w14:textFill>
                  <w14:solidFill>
                    <w14:schemeClr w14:val="tx1"/>
                  </w14:solidFill>
                </w14:textFill>
              </w:rPr>
            </w:pPr>
          </w:p>
        </w:tc>
      </w:tr>
      <w:tr w14:paraId="224F208A">
        <w:tblPrEx>
          <w:tblCellMar>
            <w:top w:w="0" w:type="dxa"/>
            <w:left w:w="108" w:type="dxa"/>
            <w:bottom w:w="0" w:type="dxa"/>
            <w:right w:w="108" w:type="dxa"/>
          </w:tblCellMar>
        </w:tblPrEx>
        <w:trPr>
          <w:trHeight w:val="622" w:hRule="atLeast"/>
        </w:trPr>
        <w:tc>
          <w:tcPr>
            <w:tcW w:w="877" w:type="dxa"/>
            <w:tcBorders>
              <w:top w:val="single" w:color="auto" w:sz="4" w:space="0"/>
              <w:left w:val="single" w:color="auto" w:sz="4" w:space="0"/>
              <w:bottom w:val="single" w:color="auto" w:sz="4" w:space="0"/>
              <w:right w:val="single" w:color="auto" w:sz="4" w:space="0"/>
            </w:tcBorders>
            <w:vAlign w:val="center"/>
          </w:tcPr>
          <w:p w14:paraId="203E6000">
            <w:pPr>
              <w:spacing w:line="360" w:lineRule="auto"/>
              <w:ind w:right="21" w:rightChars="10"/>
              <w:jc w:val="center"/>
              <w:rPr>
                <w:rFonts w:hint="eastAsia" w:asciiTheme="minorEastAsia" w:hAnsiTheme="minorEastAsia" w:eastAsiaTheme="minorEastAsia"/>
                <w:color w:val="000000" w:themeColor="text1"/>
                <w:lang w:val="en-US" w:eastAsia="zh-CN"/>
                <w14:textFill>
                  <w14:solidFill>
                    <w14:schemeClr w14:val="tx1"/>
                  </w14:solidFill>
                </w14:textFill>
              </w:rPr>
            </w:pPr>
          </w:p>
        </w:tc>
        <w:tc>
          <w:tcPr>
            <w:tcW w:w="2990" w:type="dxa"/>
            <w:tcBorders>
              <w:top w:val="single" w:color="auto" w:sz="4" w:space="0"/>
              <w:left w:val="nil"/>
              <w:bottom w:val="single" w:color="auto" w:sz="4" w:space="0"/>
              <w:right w:val="single" w:color="auto" w:sz="4" w:space="0"/>
            </w:tcBorders>
            <w:shd w:val="clear" w:color="auto" w:fill="auto"/>
            <w:vAlign w:val="center"/>
          </w:tcPr>
          <w:p w14:paraId="4AAADB09">
            <w:pPr>
              <w:spacing w:line="360" w:lineRule="auto"/>
              <w:jc w:val="center"/>
              <w:rPr>
                <w:rFonts w:hint="default"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w:t>
            </w:r>
          </w:p>
        </w:tc>
        <w:tc>
          <w:tcPr>
            <w:tcW w:w="3452" w:type="dxa"/>
            <w:tcBorders>
              <w:top w:val="single" w:color="auto" w:sz="4" w:space="0"/>
              <w:left w:val="nil"/>
              <w:bottom w:val="single" w:color="auto" w:sz="4" w:space="0"/>
              <w:right w:val="single" w:color="auto" w:sz="4" w:space="0"/>
            </w:tcBorders>
            <w:shd w:val="clear" w:color="auto" w:fill="auto"/>
            <w:vAlign w:val="center"/>
          </w:tcPr>
          <w:p w14:paraId="69848D10">
            <w:pPr>
              <w:spacing w:line="360" w:lineRule="auto"/>
              <w:jc w:val="both"/>
              <w:rPr>
                <w:rFonts w:hint="default"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u w:val="none"/>
                <w:lang w:val="en-US" w:eastAsia="zh-CN" w:bidi="ar-SA"/>
                <w14:textFill>
                  <w14:solidFill>
                    <w14:schemeClr w14:val="tx1"/>
                  </w14:solidFill>
                </w14:textFill>
              </w:rPr>
              <w:t>...</w:t>
            </w:r>
          </w:p>
        </w:tc>
        <w:tc>
          <w:tcPr>
            <w:tcW w:w="1294" w:type="dxa"/>
            <w:tcBorders>
              <w:top w:val="single" w:color="auto" w:sz="4" w:space="0"/>
              <w:left w:val="nil"/>
              <w:bottom w:val="single" w:color="auto" w:sz="4" w:space="0"/>
              <w:right w:val="single" w:color="auto" w:sz="4" w:space="0"/>
            </w:tcBorders>
            <w:vAlign w:val="center"/>
          </w:tcPr>
          <w:p w14:paraId="4A0A4A8F">
            <w:pPr>
              <w:spacing w:line="360" w:lineRule="auto"/>
              <w:ind w:right="21" w:rightChars="10"/>
              <w:jc w:val="center"/>
              <w:rPr>
                <w:rFonts w:cs="Arial" w:asciiTheme="minorEastAsia" w:hAnsiTheme="minorEastAsia" w:eastAsiaTheme="minorEastAsia"/>
                <w:color w:val="000000" w:themeColor="text1"/>
                <w14:textFill>
                  <w14:solidFill>
                    <w14:schemeClr w14:val="tx1"/>
                  </w14:solidFill>
                </w14:textFill>
              </w:rPr>
            </w:pPr>
          </w:p>
        </w:tc>
      </w:tr>
    </w:tbl>
    <w:p w14:paraId="31715A32">
      <w:pPr>
        <w:spacing w:line="360" w:lineRule="auto"/>
        <w:rPr>
          <w:rFonts w:asciiTheme="minorEastAsia" w:hAnsiTheme="minorEastAsia" w:eastAsiaTheme="minorEastAsia"/>
          <w:b/>
          <w:color w:val="000000" w:themeColor="text1"/>
          <w:sz w:val="24"/>
          <w:highlight w:val="none"/>
          <w14:textFill>
            <w14:solidFill>
              <w14:schemeClr w14:val="tx1"/>
            </w14:solidFill>
          </w14:textFill>
        </w:rPr>
      </w:pPr>
    </w:p>
    <w:p w14:paraId="024A82FF">
      <w:pPr>
        <w:spacing w:line="360" w:lineRule="auto"/>
        <w:ind w:firstLine="480" w:firstLineChars="200"/>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注：供应商必须根据磋商文件要求据实逐条填写，不得虚假响应，虚假响应的，其响应文件无效并按规定追究其相关责任。</w:t>
      </w:r>
    </w:p>
    <w:p w14:paraId="181A0871">
      <w:pPr>
        <w:adjustRightInd w:val="0"/>
        <w:spacing w:line="360" w:lineRule="auto"/>
        <w:ind w:firstLine="480" w:firstLineChars="200"/>
        <w:jc w:val="left"/>
        <w:rPr>
          <w:rFonts w:asciiTheme="minorEastAsia" w:hAnsiTheme="minorEastAsia" w:eastAsiaTheme="minorEastAsia"/>
          <w:color w:val="000000" w:themeColor="text1"/>
          <w:sz w:val="24"/>
          <w:highlight w:val="none"/>
          <w14:textFill>
            <w14:solidFill>
              <w14:schemeClr w14:val="tx1"/>
            </w14:solidFill>
          </w14:textFill>
        </w:rPr>
      </w:pPr>
    </w:p>
    <w:p w14:paraId="23FDA881">
      <w:pPr>
        <w:adjustRightInd w:val="0"/>
        <w:spacing w:line="360" w:lineRule="auto"/>
        <w:ind w:firstLine="480" w:firstLineChars="200"/>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供应商名称：</w:t>
      </w:r>
      <w:r>
        <w:rPr>
          <w:rFonts w:asciiTheme="minorEastAsia" w:hAnsiTheme="minorEastAsia" w:eastAsiaTheme="minorEastAsia"/>
          <w:color w:val="000000" w:themeColor="text1"/>
          <w:sz w:val="24"/>
          <w:highlight w:val="none"/>
          <w14:textFill>
            <w14:solidFill>
              <w14:schemeClr w14:val="tx1"/>
            </w14:solidFill>
          </w14:textFill>
        </w:rPr>
        <w:t>XXX</w:t>
      </w:r>
      <w:r>
        <w:rPr>
          <w:rFonts w:hint="eastAsia" w:asciiTheme="minorEastAsia" w:hAnsiTheme="minorEastAsia" w:eastAsiaTheme="minorEastAsia"/>
          <w:color w:val="000000" w:themeColor="text1"/>
          <w:sz w:val="24"/>
          <w:highlight w:val="none"/>
          <w14:textFill>
            <w14:solidFill>
              <w14:schemeClr w14:val="tx1"/>
            </w14:solidFill>
          </w14:textFill>
        </w:rPr>
        <w:t>（盖单位公章）</w:t>
      </w:r>
    </w:p>
    <w:p w14:paraId="3908961E">
      <w:pPr>
        <w:adjustRightInd w:val="0"/>
        <w:spacing w:line="360" w:lineRule="auto"/>
        <w:ind w:firstLine="480" w:firstLineChars="200"/>
        <w:jc w:val="left"/>
        <w:rPr>
          <w:rFonts w:asciiTheme="minorEastAsia" w:hAnsiTheme="minorEastAsia" w:eastAsiaTheme="minorEastAsia"/>
          <w:bCs/>
          <w:color w:val="000000" w:themeColor="text1"/>
          <w:sz w:val="24"/>
          <w:highlight w:val="none"/>
          <w14:textFill>
            <w14:solidFill>
              <w14:schemeClr w14:val="tx1"/>
            </w14:solidFill>
          </w14:textFill>
        </w:rPr>
      </w:pPr>
      <w:r>
        <w:rPr>
          <w:rFonts w:hint="eastAsia" w:asciiTheme="minorEastAsia" w:hAnsiTheme="minorEastAsia" w:eastAsiaTheme="minorEastAsia"/>
          <w:bCs/>
          <w:color w:val="000000" w:themeColor="text1"/>
          <w:sz w:val="24"/>
          <w:highlight w:val="none"/>
          <w14:textFill>
            <w14:solidFill>
              <w14:schemeClr w14:val="tx1"/>
            </w14:solidFill>
          </w14:textFill>
        </w:rPr>
        <w:t>法定代表人</w:t>
      </w:r>
      <w:r>
        <w:rPr>
          <w:rFonts w:asciiTheme="minorEastAsia" w:hAnsiTheme="minorEastAsia" w:eastAsiaTheme="minorEastAsia"/>
          <w:bCs/>
          <w:color w:val="000000" w:themeColor="text1"/>
          <w:sz w:val="24"/>
          <w:highlight w:val="none"/>
          <w14:textFill>
            <w14:solidFill>
              <w14:schemeClr w14:val="tx1"/>
            </w14:solidFill>
          </w14:textFill>
        </w:rPr>
        <w:t>/</w:t>
      </w:r>
      <w:r>
        <w:rPr>
          <w:rFonts w:hint="eastAsia" w:asciiTheme="minorEastAsia" w:hAnsiTheme="minorEastAsia" w:eastAsiaTheme="minorEastAsia"/>
          <w:bCs/>
          <w:color w:val="000000" w:themeColor="text1"/>
          <w:sz w:val="24"/>
          <w:highlight w:val="none"/>
          <w14:textFill>
            <w14:solidFill>
              <w14:schemeClr w14:val="tx1"/>
            </w14:solidFill>
          </w14:textFill>
        </w:rPr>
        <w:t>单位负责人或授权代表</w:t>
      </w:r>
      <w:r>
        <w:rPr>
          <w:rFonts w:hint="eastAsia" w:asciiTheme="minorEastAsia" w:hAnsiTheme="minorEastAsia" w:eastAsiaTheme="minorEastAsia"/>
          <w:color w:val="000000" w:themeColor="text1"/>
          <w:sz w:val="24"/>
          <w:highlight w:val="none"/>
          <w14:textFill>
            <w14:solidFill>
              <w14:schemeClr w14:val="tx1"/>
            </w14:solidFill>
          </w14:textFill>
        </w:rPr>
        <w:t>（签字或加盖个人印章）</w:t>
      </w:r>
      <w:r>
        <w:rPr>
          <w:rFonts w:hint="eastAsia" w:asciiTheme="minorEastAsia" w:hAnsiTheme="minorEastAsia" w:eastAsiaTheme="minorEastAsia"/>
          <w:bCs/>
          <w:color w:val="000000" w:themeColor="text1"/>
          <w:sz w:val="24"/>
          <w:highlight w:val="none"/>
          <w14:textFill>
            <w14:solidFill>
              <w14:schemeClr w14:val="tx1"/>
            </w14:solidFill>
          </w14:textFill>
        </w:rPr>
        <w:t>：</w:t>
      </w:r>
      <w:r>
        <w:rPr>
          <w:rFonts w:asciiTheme="minorEastAsia" w:hAnsiTheme="minorEastAsia" w:eastAsiaTheme="minorEastAsia"/>
          <w:bCs/>
          <w:color w:val="000000" w:themeColor="text1"/>
          <w:sz w:val="24"/>
          <w:highlight w:val="none"/>
          <w14:textFill>
            <w14:solidFill>
              <w14:schemeClr w14:val="tx1"/>
            </w14:solidFill>
          </w14:textFill>
        </w:rPr>
        <w:t>XXX</w:t>
      </w:r>
    </w:p>
    <w:p w14:paraId="394C0B1D">
      <w:pPr>
        <w:adjustRightInd w:val="0"/>
        <w:spacing w:line="360" w:lineRule="auto"/>
        <w:ind w:firstLine="540" w:firstLineChars="225"/>
        <w:jc w:val="left"/>
        <w:rPr>
          <w:rFonts w:asciiTheme="minorEastAsia" w:hAnsiTheme="minorEastAsia" w:eastAsiaTheme="minorEastAsia"/>
          <w:bCs/>
          <w:color w:val="000000" w:themeColor="text1"/>
          <w:sz w:val="24"/>
          <w:highlight w:val="none"/>
          <w14:textFill>
            <w14:solidFill>
              <w14:schemeClr w14:val="tx1"/>
            </w14:solidFill>
          </w14:textFill>
        </w:rPr>
      </w:pPr>
      <w:r>
        <w:rPr>
          <w:rFonts w:hint="eastAsia" w:asciiTheme="minorEastAsia" w:hAnsiTheme="minorEastAsia" w:eastAsiaTheme="minorEastAsia"/>
          <w:bCs/>
          <w:color w:val="000000" w:themeColor="text1"/>
          <w:sz w:val="24"/>
          <w:highlight w:val="none"/>
          <w14:textFill>
            <w14:solidFill>
              <w14:schemeClr w14:val="tx1"/>
            </w14:solidFill>
          </w14:textFill>
        </w:rPr>
        <w:t>日期</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bCs/>
          <w:color w:val="000000" w:themeColor="text1"/>
          <w:sz w:val="24"/>
          <w:highlight w:val="none"/>
          <w14:textFill>
            <w14:solidFill>
              <w14:schemeClr w14:val="tx1"/>
            </w14:solidFill>
          </w14:textFill>
        </w:rPr>
        <w:t>XXX</w:t>
      </w:r>
      <w:r>
        <w:rPr>
          <w:rFonts w:hint="eastAsia" w:asciiTheme="minorEastAsia" w:hAnsiTheme="minorEastAsia" w:eastAsiaTheme="minorEastAsia"/>
          <w:bCs/>
          <w:color w:val="000000" w:themeColor="text1"/>
          <w:sz w:val="24"/>
          <w:highlight w:val="none"/>
          <w14:textFill>
            <w14:solidFill>
              <w14:schemeClr w14:val="tx1"/>
            </w14:solidFill>
          </w14:textFill>
        </w:rPr>
        <w:t>年</w:t>
      </w:r>
      <w:r>
        <w:rPr>
          <w:rFonts w:asciiTheme="minorEastAsia" w:hAnsiTheme="minorEastAsia" w:eastAsiaTheme="minorEastAsia"/>
          <w:bCs/>
          <w:color w:val="000000" w:themeColor="text1"/>
          <w:sz w:val="24"/>
          <w:highlight w:val="none"/>
          <w14:textFill>
            <w14:solidFill>
              <w14:schemeClr w14:val="tx1"/>
            </w14:solidFill>
          </w14:textFill>
        </w:rPr>
        <w:t>XXX</w:t>
      </w:r>
      <w:r>
        <w:rPr>
          <w:rFonts w:hint="eastAsia" w:asciiTheme="minorEastAsia" w:hAnsiTheme="minorEastAsia" w:eastAsiaTheme="minorEastAsia"/>
          <w:bCs/>
          <w:color w:val="000000" w:themeColor="text1"/>
          <w:sz w:val="24"/>
          <w:highlight w:val="none"/>
          <w14:textFill>
            <w14:solidFill>
              <w14:schemeClr w14:val="tx1"/>
            </w14:solidFill>
          </w14:textFill>
        </w:rPr>
        <w:t>月</w:t>
      </w:r>
      <w:r>
        <w:rPr>
          <w:rFonts w:asciiTheme="minorEastAsia" w:hAnsiTheme="minorEastAsia" w:eastAsiaTheme="minorEastAsia"/>
          <w:bCs/>
          <w:color w:val="000000" w:themeColor="text1"/>
          <w:sz w:val="24"/>
          <w:highlight w:val="none"/>
          <w14:textFill>
            <w14:solidFill>
              <w14:schemeClr w14:val="tx1"/>
            </w14:solidFill>
          </w14:textFill>
        </w:rPr>
        <w:t>XXX</w:t>
      </w:r>
      <w:r>
        <w:rPr>
          <w:rFonts w:hint="eastAsia" w:asciiTheme="minorEastAsia" w:hAnsiTheme="minorEastAsia" w:eastAsiaTheme="minorEastAsia"/>
          <w:bCs/>
          <w:color w:val="000000" w:themeColor="text1"/>
          <w:sz w:val="24"/>
          <w:highlight w:val="none"/>
          <w14:textFill>
            <w14:solidFill>
              <w14:schemeClr w14:val="tx1"/>
            </w14:solidFill>
          </w14:textFill>
        </w:rPr>
        <w:t>日</w:t>
      </w:r>
    </w:p>
    <w:p w14:paraId="7A041DD7">
      <w:pPr>
        <w:spacing w:line="360" w:lineRule="auto"/>
        <w:rPr>
          <w:rFonts w:asciiTheme="minorEastAsia" w:hAnsiTheme="minorEastAsia" w:eastAsiaTheme="minorEastAsia"/>
          <w:b/>
          <w:color w:val="000000" w:themeColor="text1"/>
          <w:sz w:val="28"/>
          <w:szCs w:val="28"/>
          <w:highlight w:val="none"/>
          <w14:textFill>
            <w14:solidFill>
              <w14:schemeClr w14:val="tx1"/>
            </w14:solidFill>
          </w14:textFill>
        </w:rPr>
      </w:pPr>
    </w:p>
    <w:p w14:paraId="24DC0677">
      <w:pPr>
        <w:spacing w:line="360" w:lineRule="auto"/>
        <w:rPr>
          <w:rFonts w:asciiTheme="minorEastAsia" w:hAnsiTheme="minorEastAsia" w:eastAsiaTheme="minorEastAsia"/>
          <w:b/>
          <w:color w:val="000000" w:themeColor="text1"/>
          <w:sz w:val="28"/>
          <w:szCs w:val="28"/>
          <w:highlight w:val="none"/>
          <w14:textFill>
            <w14:solidFill>
              <w14:schemeClr w14:val="tx1"/>
            </w14:solidFill>
          </w14:textFill>
        </w:rPr>
        <w:sectPr>
          <w:pgSz w:w="11907" w:h="16840"/>
          <w:pgMar w:top="1134" w:right="1418" w:bottom="1134" w:left="1418" w:header="851" w:footer="992" w:gutter="0"/>
          <w:pgNumType w:fmt="numberInDash"/>
          <w:cols w:space="425" w:num="1"/>
          <w:docGrid w:linePitch="312" w:charSpace="0"/>
        </w:sectPr>
      </w:pPr>
    </w:p>
    <w:p w14:paraId="00D9E463">
      <w:pPr>
        <w:spacing w:line="360" w:lineRule="auto"/>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格式</w:t>
      </w:r>
      <w:r>
        <w:rPr>
          <w:rFonts w:asciiTheme="minorEastAsia" w:hAnsiTheme="minorEastAsia" w:eastAsiaTheme="minorEastAsia"/>
          <w:b/>
          <w:color w:val="000000" w:themeColor="text1"/>
          <w:sz w:val="28"/>
          <w:szCs w:val="28"/>
          <w:highlight w:val="none"/>
          <w14:textFill>
            <w14:solidFill>
              <w14:schemeClr w14:val="tx1"/>
            </w14:solidFill>
          </w14:textFill>
        </w:rPr>
        <w:t>2-7</w:t>
      </w:r>
    </w:p>
    <w:p w14:paraId="6E31838B">
      <w:pPr>
        <w:spacing w:line="360" w:lineRule="auto"/>
        <w:jc w:val="center"/>
        <w:rPr>
          <w:rFonts w:asciiTheme="minorEastAsia" w:hAnsiTheme="minorEastAsia" w:eastAsiaTheme="minorEastAsia"/>
          <w:b/>
          <w:bCs/>
          <w:color w:val="000000" w:themeColor="text1"/>
          <w:sz w:val="32"/>
          <w:szCs w:val="32"/>
          <w:highlight w:val="none"/>
          <w14:textFill>
            <w14:solidFill>
              <w14:schemeClr w14:val="tx1"/>
            </w14:solidFill>
          </w14:textFill>
        </w:rPr>
      </w:pPr>
      <w:r>
        <w:rPr>
          <w:rFonts w:hint="eastAsia" w:asciiTheme="minorEastAsia" w:hAnsiTheme="minorEastAsia" w:eastAsiaTheme="minorEastAsia"/>
          <w:b/>
          <w:bCs/>
          <w:color w:val="000000" w:themeColor="text1"/>
          <w:sz w:val="32"/>
          <w:szCs w:val="32"/>
          <w:highlight w:val="none"/>
          <w14:textFill>
            <w14:solidFill>
              <w14:schemeClr w14:val="tx1"/>
            </w14:solidFill>
          </w14:textFill>
        </w:rPr>
        <w:t>六、供应商类似项目业绩一览表</w:t>
      </w:r>
    </w:p>
    <w:p w14:paraId="551910B0">
      <w:pPr>
        <w:spacing w:line="360" w:lineRule="auto"/>
        <w:rPr>
          <w:rFonts w:cs="Arial" w:asciiTheme="minorEastAsia" w:hAnsiTheme="minorEastAsia" w:eastAsiaTheme="minorEastAsia"/>
          <w:color w:val="000000" w:themeColor="text1"/>
          <w:sz w:val="24"/>
          <w:highlight w:val="none"/>
          <w14:textFill>
            <w14:solidFill>
              <w14:schemeClr w14:val="tx1"/>
            </w14:solidFill>
          </w14:textFill>
        </w:rPr>
      </w:pPr>
    </w:p>
    <w:tbl>
      <w:tblPr>
        <w:tblStyle w:val="18"/>
        <w:tblW w:w="11043" w:type="dxa"/>
        <w:jc w:val="center"/>
        <w:tblLayout w:type="fixed"/>
        <w:tblCellMar>
          <w:top w:w="0" w:type="dxa"/>
          <w:left w:w="108" w:type="dxa"/>
          <w:bottom w:w="0" w:type="dxa"/>
          <w:right w:w="108" w:type="dxa"/>
        </w:tblCellMar>
      </w:tblPr>
      <w:tblGrid>
        <w:gridCol w:w="658"/>
        <w:gridCol w:w="1417"/>
        <w:gridCol w:w="1559"/>
        <w:gridCol w:w="1276"/>
        <w:gridCol w:w="1418"/>
        <w:gridCol w:w="1134"/>
        <w:gridCol w:w="1133"/>
        <w:gridCol w:w="1224"/>
        <w:gridCol w:w="1224"/>
      </w:tblGrid>
      <w:tr w14:paraId="6DB9EA78">
        <w:tblPrEx>
          <w:tblCellMar>
            <w:top w:w="0" w:type="dxa"/>
            <w:left w:w="108" w:type="dxa"/>
            <w:bottom w:w="0" w:type="dxa"/>
            <w:right w:w="108" w:type="dxa"/>
          </w:tblCellMar>
        </w:tblPrEx>
        <w:trPr>
          <w:trHeight w:val="601" w:hRule="atLeast"/>
          <w:jc w:val="center"/>
        </w:trPr>
        <w:tc>
          <w:tcPr>
            <w:tcW w:w="658" w:type="dxa"/>
            <w:tcBorders>
              <w:top w:val="single" w:color="auto" w:sz="4" w:space="0"/>
              <w:left w:val="single" w:color="auto" w:sz="4" w:space="0"/>
              <w:bottom w:val="single" w:color="auto" w:sz="4" w:space="0"/>
              <w:right w:val="single" w:color="auto" w:sz="4" w:space="0"/>
            </w:tcBorders>
            <w:vAlign w:val="center"/>
          </w:tcPr>
          <w:p w14:paraId="7AB93AA8">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r>
              <w:rPr>
                <w:rFonts w:hint="eastAsia" w:asciiTheme="minorEastAsia" w:hAnsiTheme="minorEastAsia" w:eastAsiaTheme="minorEastAsia"/>
                <w:color w:val="000000" w:themeColor="text1"/>
                <w:kern w:val="0"/>
                <w:highlight w:val="none"/>
                <w14:textFill>
                  <w14:solidFill>
                    <w14:schemeClr w14:val="tx1"/>
                  </w14:solidFill>
                </w14:textFill>
              </w:rPr>
              <w:t>序号</w:t>
            </w:r>
          </w:p>
        </w:tc>
        <w:tc>
          <w:tcPr>
            <w:tcW w:w="1417" w:type="dxa"/>
            <w:tcBorders>
              <w:top w:val="single" w:color="auto" w:sz="4" w:space="0"/>
              <w:left w:val="nil"/>
              <w:bottom w:val="single" w:color="auto" w:sz="4" w:space="0"/>
              <w:right w:val="single" w:color="auto" w:sz="4" w:space="0"/>
            </w:tcBorders>
            <w:vAlign w:val="center"/>
          </w:tcPr>
          <w:p w14:paraId="63FF922F">
            <w:pPr>
              <w:widowControl/>
              <w:spacing w:line="360" w:lineRule="auto"/>
              <w:ind w:left="-69" w:leftChars="-33" w:right="-94" w:rightChars="-45"/>
              <w:jc w:val="center"/>
              <w:rPr>
                <w:rFonts w:cs="Arial" w:asciiTheme="minorEastAsia" w:hAnsiTheme="minorEastAsia" w:eastAsiaTheme="minorEastAsia"/>
                <w:color w:val="000000" w:themeColor="text1"/>
                <w:kern w:val="0"/>
                <w:highlight w:val="none"/>
                <w14:textFill>
                  <w14:solidFill>
                    <w14:schemeClr w14:val="tx1"/>
                  </w14:solidFill>
                </w14:textFill>
              </w:rPr>
            </w:pPr>
            <w:r>
              <w:rPr>
                <w:rFonts w:hint="eastAsia" w:asciiTheme="minorEastAsia" w:hAnsiTheme="minorEastAsia" w:eastAsiaTheme="minorEastAsia"/>
                <w:color w:val="000000" w:themeColor="text1"/>
                <w:kern w:val="0"/>
                <w:highlight w:val="none"/>
                <w14:textFill>
                  <w14:solidFill>
                    <w14:schemeClr w14:val="tx1"/>
                  </w14:solidFill>
                </w14:textFill>
              </w:rPr>
              <w:t>项目业主</w:t>
            </w:r>
          </w:p>
        </w:tc>
        <w:tc>
          <w:tcPr>
            <w:tcW w:w="1559" w:type="dxa"/>
            <w:tcBorders>
              <w:top w:val="single" w:color="auto" w:sz="4" w:space="0"/>
              <w:left w:val="nil"/>
              <w:bottom w:val="single" w:color="auto" w:sz="4" w:space="0"/>
              <w:right w:val="single" w:color="auto" w:sz="4" w:space="0"/>
            </w:tcBorders>
            <w:vAlign w:val="center"/>
          </w:tcPr>
          <w:p w14:paraId="3F1A02FC">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r>
              <w:rPr>
                <w:rFonts w:hint="eastAsia" w:asciiTheme="minorEastAsia" w:hAnsiTheme="minorEastAsia" w:eastAsiaTheme="minorEastAsia"/>
                <w:color w:val="000000" w:themeColor="text1"/>
                <w:kern w:val="0"/>
                <w:highlight w:val="none"/>
                <w14:textFill>
                  <w14:solidFill>
                    <w14:schemeClr w14:val="tx1"/>
                  </w14:solidFill>
                </w14:textFill>
              </w:rPr>
              <w:t>项目名称</w:t>
            </w:r>
          </w:p>
        </w:tc>
        <w:tc>
          <w:tcPr>
            <w:tcW w:w="1276" w:type="dxa"/>
            <w:tcBorders>
              <w:top w:val="single" w:color="auto" w:sz="4" w:space="0"/>
              <w:left w:val="nil"/>
              <w:bottom w:val="single" w:color="auto" w:sz="4" w:space="0"/>
              <w:right w:val="single" w:color="auto" w:sz="4" w:space="0"/>
            </w:tcBorders>
            <w:vAlign w:val="center"/>
          </w:tcPr>
          <w:p w14:paraId="343CF6A8">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r>
              <w:rPr>
                <w:rFonts w:hint="eastAsia" w:cs="Arial" w:asciiTheme="minorEastAsia" w:hAnsiTheme="minorEastAsia" w:eastAsiaTheme="minorEastAsia"/>
                <w:color w:val="000000" w:themeColor="text1"/>
                <w:kern w:val="0"/>
                <w:highlight w:val="none"/>
                <w14:textFill>
                  <w14:solidFill>
                    <w14:schemeClr w14:val="tx1"/>
                  </w14:solidFill>
                </w14:textFill>
              </w:rPr>
              <w:t>工程类别</w:t>
            </w:r>
          </w:p>
        </w:tc>
        <w:tc>
          <w:tcPr>
            <w:tcW w:w="1418" w:type="dxa"/>
            <w:tcBorders>
              <w:top w:val="single" w:color="auto" w:sz="4" w:space="0"/>
              <w:left w:val="nil"/>
              <w:bottom w:val="single" w:color="auto" w:sz="4" w:space="0"/>
              <w:right w:val="single" w:color="auto" w:sz="4" w:space="0"/>
            </w:tcBorders>
            <w:vAlign w:val="center"/>
          </w:tcPr>
          <w:p w14:paraId="366FDD48">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r>
              <w:rPr>
                <w:rFonts w:hint="eastAsia" w:asciiTheme="minorEastAsia" w:hAnsiTheme="minorEastAsia" w:eastAsiaTheme="minorEastAsia"/>
                <w:color w:val="000000" w:themeColor="text1"/>
                <w:kern w:val="0"/>
                <w:highlight w:val="none"/>
                <w14:textFill>
                  <w14:solidFill>
                    <w14:schemeClr w14:val="tx1"/>
                  </w14:solidFill>
                </w14:textFill>
              </w:rPr>
              <w:t>开工日期</w:t>
            </w:r>
          </w:p>
        </w:tc>
        <w:tc>
          <w:tcPr>
            <w:tcW w:w="1134" w:type="dxa"/>
            <w:tcBorders>
              <w:top w:val="single" w:color="auto" w:sz="4" w:space="0"/>
              <w:left w:val="nil"/>
              <w:bottom w:val="single" w:color="auto" w:sz="4" w:space="0"/>
              <w:right w:val="single" w:color="auto" w:sz="4" w:space="0"/>
            </w:tcBorders>
            <w:vAlign w:val="center"/>
          </w:tcPr>
          <w:p w14:paraId="0917B832">
            <w:pPr>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r>
              <w:rPr>
                <w:rFonts w:hint="eastAsia" w:asciiTheme="minorEastAsia" w:hAnsiTheme="minorEastAsia" w:eastAsiaTheme="minorEastAsia"/>
                <w:color w:val="000000" w:themeColor="text1"/>
                <w:kern w:val="0"/>
                <w:highlight w:val="none"/>
                <w14:textFill>
                  <w14:solidFill>
                    <w14:schemeClr w14:val="tx1"/>
                  </w14:solidFill>
                </w14:textFill>
              </w:rPr>
              <w:t>竣工日期</w:t>
            </w:r>
          </w:p>
        </w:tc>
        <w:tc>
          <w:tcPr>
            <w:tcW w:w="1133" w:type="dxa"/>
            <w:tcBorders>
              <w:top w:val="single" w:color="auto" w:sz="4" w:space="0"/>
              <w:left w:val="nil"/>
              <w:bottom w:val="single" w:color="auto" w:sz="4" w:space="0"/>
              <w:right w:val="single" w:color="auto" w:sz="4" w:space="0"/>
            </w:tcBorders>
            <w:vAlign w:val="center"/>
          </w:tcPr>
          <w:p w14:paraId="2170CABA">
            <w:pPr>
              <w:widowControl/>
              <w:spacing w:line="360" w:lineRule="auto"/>
              <w:ind w:left="13" w:leftChars="-44" w:right="-94" w:rightChars="-45" w:hanging="105" w:hangingChars="50"/>
              <w:jc w:val="center"/>
              <w:rPr>
                <w:rFonts w:cs="Arial" w:asciiTheme="minorEastAsia" w:hAnsiTheme="minorEastAsia" w:eastAsiaTheme="minorEastAsia"/>
                <w:color w:val="000000" w:themeColor="text1"/>
                <w:kern w:val="0"/>
                <w:highlight w:val="none"/>
                <w14:textFill>
                  <w14:solidFill>
                    <w14:schemeClr w14:val="tx1"/>
                  </w14:solidFill>
                </w14:textFill>
              </w:rPr>
            </w:pPr>
            <w:r>
              <w:rPr>
                <w:rFonts w:hint="eastAsia" w:asciiTheme="minorEastAsia" w:hAnsiTheme="minorEastAsia" w:eastAsiaTheme="minorEastAsia"/>
                <w:color w:val="000000" w:themeColor="text1"/>
                <w:kern w:val="0"/>
                <w:highlight w:val="none"/>
                <w14:textFill>
                  <w14:solidFill>
                    <w14:schemeClr w14:val="tx1"/>
                  </w14:solidFill>
                </w14:textFill>
              </w:rPr>
              <w:t>建设规模</w:t>
            </w:r>
          </w:p>
        </w:tc>
        <w:tc>
          <w:tcPr>
            <w:tcW w:w="1224" w:type="dxa"/>
            <w:tcBorders>
              <w:top w:val="single" w:color="auto" w:sz="4" w:space="0"/>
              <w:left w:val="nil"/>
              <w:bottom w:val="single" w:color="auto" w:sz="4" w:space="0"/>
              <w:right w:val="single" w:color="auto" w:sz="4" w:space="0"/>
            </w:tcBorders>
            <w:vAlign w:val="center"/>
          </w:tcPr>
          <w:p w14:paraId="2137E2AC">
            <w:pPr>
              <w:widowControl/>
              <w:spacing w:line="360" w:lineRule="auto"/>
              <w:ind w:right="-94" w:rightChars="-45"/>
              <w:jc w:val="center"/>
              <w:rPr>
                <w:rFonts w:cs="Arial" w:asciiTheme="minorEastAsia" w:hAnsiTheme="minorEastAsia" w:eastAsiaTheme="minorEastAsia"/>
                <w:color w:val="000000" w:themeColor="text1"/>
                <w:kern w:val="0"/>
                <w:highlight w:val="none"/>
                <w14:textFill>
                  <w14:solidFill>
                    <w14:schemeClr w14:val="tx1"/>
                  </w14:solidFill>
                </w14:textFill>
              </w:rPr>
            </w:pPr>
            <w:r>
              <w:rPr>
                <w:rFonts w:hint="eastAsia" w:asciiTheme="minorEastAsia" w:hAnsiTheme="minorEastAsia" w:eastAsiaTheme="minorEastAsia"/>
                <w:color w:val="000000" w:themeColor="text1"/>
                <w:kern w:val="0"/>
                <w:highlight w:val="none"/>
                <w14:textFill>
                  <w14:solidFill>
                    <w14:schemeClr w14:val="tx1"/>
                  </w14:solidFill>
                </w14:textFill>
              </w:rPr>
              <w:t>合同价格（元）</w:t>
            </w:r>
          </w:p>
        </w:tc>
        <w:tc>
          <w:tcPr>
            <w:tcW w:w="1224" w:type="dxa"/>
            <w:tcBorders>
              <w:top w:val="single" w:color="auto" w:sz="4" w:space="0"/>
              <w:left w:val="nil"/>
              <w:bottom w:val="single" w:color="auto" w:sz="4" w:space="0"/>
              <w:right w:val="single" w:color="auto" w:sz="4" w:space="0"/>
            </w:tcBorders>
            <w:vAlign w:val="center"/>
          </w:tcPr>
          <w:p w14:paraId="0BB2FC0D">
            <w:pPr>
              <w:widowControl/>
              <w:spacing w:line="360" w:lineRule="auto"/>
              <w:ind w:right="-94" w:rightChars="-45"/>
              <w:jc w:val="center"/>
              <w:rPr>
                <w:rFonts w:asciiTheme="minorEastAsia" w:hAnsiTheme="minorEastAsia" w:eastAsiaTheme="minorEastAsia"/>
                <w:color w:val="000000" w:themeColor="text1"/>
                <w:kern w:val="0"/>
                <w:highlight w:val="none"/>
                <w14:textFill>
                  <w14:solidFill>
                    <w14:schemeClr w14:val="tx1"/>
                  </w14:solidFill>
                </w14:textFill>
              </w:rPr>
            </w:pPr>
            <w:r>
              <w:rPr>
                <w:rFonts w:hint="eastAsia" w:asciiTheme="minorEastAsia" w:hAnsiTheme="minorEastAsia" w:eastAsiaTheme="minorEastAsia"/>
                <w:color w:val="000000" w:themeColor="text1"/>
                <w:kern w:val="0"/>
                <w:highlight w:val="none"/>
                <w14:textFill>
                  <w14:solidFill>
                    <w14:schemeClr w14:val="tx1"/>
                  </w14:solidFill>
                </w14:textFill>
              </w:rPr>
              <w:t>备注</w:t>
            </w:r>
          </w:p>
        </w:tc>
      </w:tr>
      <w:tr w14:paraId="6F1532C2">
        <w:tblPrEx>
          <w:tblCellMar>
            <w:top w:w="0" w:type="dxa"/>
            <w:left w:w="108" w:type="dxa"/>
            <w:bottom w:w="0" w:type="dxa"/>
            <w:right w:w="108" w:type="dxa"/>
          </w:tblCellMar>
        </w:tblPrEx>
        <w:trPr>
          <w:trHeight w:val="601" w:hRule="atLeast"/>
          <w:jc w:val="center"/>
        </w:trPr>
        <w:tc>
          <w:tcPr>
            <w:tcW w:w="658" w:type="dxa"/>
            <w:tcBorders>
              <w:top w:val="single" w:color="auto" w:sz="4" w:space="0"/>
              <w:left w:val="single" w:color="auto" w:sz="4" w:space="0"/>
              <w:bottom w:val="single" w:color="auto" w:sz="4" w:space="0"/>
              <w:right w:val="single" w:color="auto" w:sz="4" w:space="0"/>
            </w:tcBorders>
            <w:vAlign w:val="center"/>
          </w:tcPr>
          <w:p w14:paraId="1C9C4385">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r>
              <w:rPr>
                <w:rFonts w:asciiTheme="minorEastAsia" w:hAnsiTheme="minorEastAsia" w:eastAsiaTheme="minorEastAsia"/>
                <w:color w:val="000000" w:themeColor="text1"/>
                <w:kern w:val="0"/>
                <w:highlight w:val="none"/>
                <w14:textFill>
                  <w14:solidFill>
                    <w14:schemeClr w14:val="tx1"/>
                  </w14:solidFill>
                </w14:textFill>
              </w:rPr>
              <w:t>1</w:t>
            </w:r>
          </w:p>
        </w:tc>
        <w:tc>
          <w:tcPr>
            <w:tcW w:w="1417" w:type="dxa"/>
            <w:tcBorders>
              <w:top w:val="single" w:color="auto" w:sz="4" w:space="0"/>
              <w:left w:val="nil"/>
              <w:bottom w:val="single" w:color="auto" w:sz="4" w:space="0"/>
              <w:right w:val="single" w:color="auto" w:sz="4" w:space="0"/>
            </w:tcBorders>
            <w:vAlign w:val="center"/>
          </w:tcPr>
          <w:p w14:paraId="3BAC20DE">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p>
        </w:tc>
        <w:tc>
          <w:tcPr>
            <w:tcW w:w="1559" w:type="dxa"/>
            <w:tcBorders>
              <w:top w:val="single" w:color="auto" w:sz="4" w:space="0"/>
              <w:left w:val="nil"/>
              <w:bottom w:val="single" w:color="auto" w:sz="4" w:space="0"/>
              <w:right w:val="single" w:color="auto" w:sz="4" w:space="0"/>
            </w:tcBorders>
            <w:vAlign w:val="center"/>
          </w:tcPr>
          <w:p w14:paraId="147CCD80">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p>
        </w:tc>
        <w:tc>
          <w:tcPr>
            <w:tcW w:w="1276" w:type="dxa"/>
            <w:tcBorders>
              <w:top w:val="single" w:color="auto" w:sz="4" w:space="0"/>
              <w:left w:val="nil"/>
              <w:bottom w:val="single" w:color="auto" w:sz="4" w:space="0"/>
              <w:right w:val="single" w:color="auto" w:sz="4" w:space="0"/>
            </w:tcBorders>
            <w:vAlign w:val="center"/>
          </w:tcPr>
          <w:p w14:paraId="0A58F7D5">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p>
        </w:tc>
        <w:tc>
          <w:tcPr>
            <w:tcW w:w="1418" w:type="dxa"/>
            <w:tcBorders>
              <w:top w:val="single" w:color="auto" w:sz="4" w:space="0"/>
              <w:left w:val="nil"/>
              <w:bottom w:val="single" w:color="auto" w:sz="4" w:space="0"/>
              <w:right w:val="single" w:color="auto" w:sz="4" w:space="0"/>
            </w:tcBorders>
            <w:vAlign w:val="center"/>
          </w:tcPr>
          <w:p w14:paraId="330AF28E">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p>
        </w:tc>
        <w:tc>
          <w:tcPr>
            <w:tcW w:w="1134" w:type="dxa"/>
            <w:tcBorders>
              <w:top w:val="single" w:color="auto" w:sz="4" w:space="0"/>
              <w:left w:val="nil"/>
              <w:bottom w:val="single" w:color="auto" w:sz="4" w:space="0"/>
              <w:right w:val="single" w:color="auto" w:sz="4" w:space="0"/>
            </w:tcBorders>
            <w:vAlign w:val="center"/>
          </w:tcPr>
          <w:p w14:paraId="50D028AC">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p>
        </w:tc>
        <w:tc>
          <w:tcPr>
            <w:tcW w:w="1133" w:type="dxa"/>
            <w:tcBorders>
              <w:top w:val="single" w:color="auto" w:sz="4" w:space="0"/>
              <w:left w:val="nil"/>
              <w:bottom w:val="single" w:color="auto" w:sz="4" w:space="0"/>
              <w:right w:val="single" w:color="auto" w:sz="4" w:space="0"/>
            </w:tcBorders>
            <w:vAlign w:val="center"/>
          </w:tcPr>
          <w:p w14:paraId="035E7208">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p>
        </w:tc>
        <w:tc>
          <w:tcPr>
            <w:tcW w:w="1224" w:type="dxa"/>
            <w:tcBorders>
              <w:top w:val="single" w:color="auto" w:sz="4" w:space="0"/>
              <w:left w:val="nil"/>
              <w:bottom w:val="single" w:color="auto" w:sz="4" w:space="0"/>
              <w:right w:val="single" w:color="auto" w:sz="4" w:space="0"/>
            </w:tcBorders>
            <w:vAlign w:val="center"/>
          </w:tcPr>
          <w:p w14:paraId="06CBE8A1">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p>
        </w:tc>
        <w:tc>
          <w:tcPr>
            <w:tcW w:w="1224" w:type="dxa"/>
            <w:tcBorders>
              <w:top w:val="single" w:color="auto" w:sz="4" w:space="0"/>
              <w:left w:val="nil"/>
              <w:bottom w:val="single" w:color="auto" w:sz="4" w:space="0"/>
              <w:right w:val="single" w:color="auto" w:sz="4" w:space="0"/>
            </w:tcBorders>
          </w:tcPr>
          <w:p w14:paraId="5353896A">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p>
        </w:tc>
      </w:tr>
      <w:tr w14:paraId="3E30AB4F">
        <w:tblPrEx>
          <w:tblCellMar>
            <w:top w:w="0" w:type="dxa"/>
            <w:left w:w="108" w:type="dxa"/>
            <w:bottom w:w="0" w:type="dxa"/>
            <w:right w:w="108" w:type="dxa"/>
          </w:tblCellMar>
        </w:tblPrEx>
        <w:trPr>
          <w:trHeight w:val="537" w:hRule="atLeast"/>
          <w:jc w:val="center"/>
        </w:trPr>
        <w:tc>
          <w:tcPr>
            <w:tcW w:w="658" w:type="dxa"/>
            <w:tcBorders>
              <w:top w:val="single" w:color="auto" w:sz="4" w:space="0"/>
              <w:left w:val="single" w:color="auto" w:sz="4" w:space="0"/>
              <w:bottom w:val="single" w:color="auto" w:sz="4" w:space="0"/>
              <w:right w:val="single" w:color="auto" w:sz="4" w:space="0"/>
            </w:tcBorders>
            <w:vAlign w:val="center"/>
          </w:tcPr>
          <w:p w14:paraId="2B57B5F6">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r>
              <w:rPr>
                <w:rFonts w:asciiTheme="minorEastAsia" w:hAnsiTheme="minorEastAsia" w:eastAsiaTheme="minorEastAsia"/>
                <w:color w:val="000000" w:themeColor="text1"/>
                <w:kern w:val="0"/>
                <w:highlight w:val="none"/>
                <w14:textFill>
                  <w14:solidFill>
                    <w14:schemeClr w14:val="tx1"/>
                  </w14:solidFill>
                </w14:textFill>
              </w:rPr>
              <w:t>2</w:t>
            </w:r>
          </w:p>
        </w:tc>
        <w:tc>
          <w:tcPr>
            <w:tcW w:w="1417" w:type="dxa"/>
            <w:tcBorders>
              <w:top w:val="single" w:color="auto" w:sz="4" w:space="0"/>
              <w:left w:val="nil"/>
              <w:bottom w:val="single" w:color="auto" w:sz="4" w:space="0"/>
              <w:right w:val="single" w:color="auto" w:sz="4" w:space="0"/>
            </w:tcBorders>
            <w:vAlign w:val="center"/>
          </w:tcPr>
          <w:p w14:paraId="02F921C9">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p>
        </w:tc>
        <w:tc>
          <w:tcPr>
            <w:tcW w:w="1559" w:type="dxa"/>
            <w:tcBorders>
              <w:top w:val="single" w:color="auto" w:sz="4" w:space="0"/>
              <w:left w:val="nil"/>
              <w:bottom w:val="single" w:color="auto" w:sz="4" w:space="0"/>
              <w:right w:val="single" w:color="auto" w:sz="4" w:space="0"/>
            </w:tcBorders>
            <w:vAlign w:val="center"/>
          </w:tcPr>
          <w:p w14:paraId="1DB6F736">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p>
        </w:tc>
        <w:tc>
          <w:tcPr>
            <w:tcW w:w="1276" w:type="dxa"/>
            <w:tcBorders>
              <w:top w:val="single" w:color="auto" w:sz="4" w:space="0"/>
              <w:left w:val="nil"/>
              <w:bottom w:val="single" w:color="auto" w:sz="4" w:space="0"/>
              <w:right w:val="single" w:color="auto" w:sz="4" w:space="0"/>
            </w:tcBorders>
            <w:vAlign w:val="center"/>
          </w:tcPr>
          <w:p w14:paraId="0DB8B7EC">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p>
        </w:tc>
        <w:tc>
          <w:tcPr>
            <w:tcW w:w="1418" w:type="dxa"/>
            <w:tcBorders>
              <w:top w:val="single" w:color="auto" w:sz="4" w:space="0"/>
              <w:left w:val="nil"/>
              <w:bottom w:val="single" w:color="auto" w:sz="4" w:space="0"/>
              <w:right w:val="single" w:color="auto" w:sz="4" w:space="0"/>
            </w:tcBorders>
            <w:vAlign w:val="center"/>
          </w:tcPr>
          <w:p w14:paraId="4D057CB1">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p>
        </w:tc>
        <w:tc>
          <w:tcPr>
            <w:tcW w:w="1134" w:type="dxa"/>
            <w:tcBorders>
              <w:top w:val="single" w:color="auto" w:sz="4" w:space="0"/>
              <w:left w:val="nil"/>
              <w:bottom w:val="single" w:color="auto" w:sz="4" w:space="0"/>
              <w:right w:val="single" w:color="auto" w:sz="4" w:space="0"/>
            </w:tcBorders>
            <w:vAlign w:val="center"/>
          </w:tcPr>
          <w:p w14:paraId="1A50D146">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p>
        </w:tc>
        <w:tc>
          <w:tcPr>
            <w:tcW w:w="1133" w:type="dxa"/>
            <w:tcBorders>
              <w:top w:val="single" w:color="auto" w:sz="4" w:space="0"/>
              <w:left w:val="nil"/>
              <w:bottom w:val="single" w:color="auto" w:sz="4" w:space="0"/>
              <w:right w:val="single" w:color="auto" w:sz="4" w:space="0"/>
            </w:tcBorders>
            <w:vAlign w:val="center"/>
          </w:tcPr>
          <w:p w14:paraId="4401CAD3">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p>
        </w:tc>
        <w:tc>
          <w:tcPr>
            <w:tcW w:w="1224" w:type="dxa"/>
            <w:tcBorders>
              <w:top w:val="single" w:color="auto" w:sz="4" w:space="0"/>
              <w:left w:val="nil"/>
              <w:bottom w:val="single" w:color="auto" w:sz="4" w:space="0"/>
              <w:right w:val="single" w:color="auto" w:sz="4" w:space="0"/>
            </w:tcBorders>
            <w:vAlign w:val="center"/>
          </w:tcPr>
          <w:p w14:paraId="1967C035">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p>
        </w:tc>
        <w:tc>
          <w:tcPr>
            <w:tcW w:w="1224" w:type="dxa"/>
            <w:tcBorders>
              <w:top w:val="single" w:color="auto" w:sz="4" w:space="0"/>
              <w:left w:val="nil"/>
              <w:bottom w:val="single" w:color="auto" w:sz="4" w:space="0"/>
              <w:right w:val="single" w:color="auto" w:sz="4" w:space="0"/>
            </w:tcBorders>
          </w:tcPr>
          <w:p w14:paraId="6D2850EA">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p>
        </w:tc>
      </w:tr>
      <w:tr w14:paraId="5B212C86">
        <w:tblPrEx>
          <w:tblCellMar>
            <w:top w:w="0" w:type="dxa"/>
            <w:left w:w="108" w:type="dxa"/>
            <w:bottom w:w="0" w:type="dxa"/>
            <w:right w:w="108" w:type="dxa"/>
          </w:tblCellMar>
        </w:tblPrEx>
        <w:trPr>
          <w:trHeight w:val="537" w:hRule="atLeast"/>
          <w:jc w:val="center"/>
        </w:trPr>
        <w:tc>
          <w:tcPr>
            <w:tcW w:w="658" w:type="dxa"/>
            <w:tcBorders>
              <w:top w:val="single" w:color="auto" w:sz="4" w:space="0"/>
              <w:left w:val="single" w:color="auto" w:sz="4" w:space="0"/>
              <w:bottom w:val="single" w:color="auto" w:sz="4" w:space="0"/>
              <w:right w:val="single" w:color="auto" w:sz="4" w:space="0"/>
            </w:tcBorders>
            <w:vAlign w:val="center"/>
          </w:tcPr>
          <w:p w14:paraId="2882F7C2">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r>
              <w:rPr>
                <w:rFonts w:asciiTheme="minorEastAsia" w:hAnsiTheme="minorEastAsia" w:eastAsiaTheme="minorEastAsia"/>
                <w:color w:val="000000" w:themeColor="text1"/>
                <w:kern w:val="0"/>
                <w:highlight w:val="none"/>
                <w14:textFill>
                  <w14:solidFill>
                    <w14:schemeClr w14:val="tx1"/>
                  </w14:solidFill>
                </w14:textFill>
              </w:rPr>
              <w:t>3</w:t>
            </w:r>
          </w:p>
        </w:tc>
        <w:tc>
          <w:tcPr>
            <w:tcW w:w="1417" w:type="dxa"/>
            <w:tcBorders>
              <w:top w:val="single" w:color="auto" w:sz="4" w:space="0"/>
              <w:left w:val="nil"/>
              <w:bottom w:val="single" w:color="auto" w:sz="4" w:space="0"/>
              <w:right w:val="single" w:color="auto" w:sz="4" w:space="0"/>
            </w:tcBorders>
            <w:vAlign w:val="center"/>
          </w:tcPr>
          <w:p w14:paraId="05B96A46">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p>
        </w:tc>
        <w:tc>
          <w:tcPr>
            <w:tcW w:w="1559" w:type="dxa"/>
            <w:tcBorders>
              <w:top w:val="single" w:color="auto" w:sz="4" w:space="0"/>
              <w:left w:val="nil"/>
              <w:bottom w:val="single" w:color="auto" w:sz="4" w:space="0"/>
              <w:right w:val="single" w:color="auto" w:sz="4" w:space="0"/>
            </w:tcBorders>
            <w:vAlign w:val="center"/>
          </w:tcPr>
          <w:p w14:paraId="1BF846FC">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p>
        </w:tc>
        <w:tc>
          <w:tcPr>
            <w:tcW w:w="1276" w:type="dxa"/>
            <w:tcBorders>
              <w:top w:val="single" w:color="auto" w:sz="4" w:space="0"/>
              <w:left w:val="nil"/>
              <w:bottom w:val="single" w:color="auto" w:sz="4" w:space="0"/>
              <w:right w:val="single" w:color="auto" w:sz="4" w:space="0"/>
            </w:tcBorders>
            <w:vAlign w:val="center"/>
          </w:tcPr>
          <w:p w14:paraId="378E0457">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p>
        </w:tc>
        <w:tc>
          <w:tcPr>
            <w:tcW w:w="1418" w:type="dxa"/>
            <w:tcBorders>
              <w:top w:val="single" w:color="auto" w:sz="4" w:space="0"/>
              <w:left w:val="nil"/>
              <w:bottom w:val="single" w:color="auto" w:sz="4" w:space="0"/>
              <w:right w:val="single" w:color="auto" w:sz="4" w:space="0"/>
            </w:tcBorders>
            <w:vAlign w:val="center"/>
          </w:tcPr>
          <w:p w14:paraId="2B0001D1">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p>
        </w:tc>
        <w:tc>
          <w:tcPr>
            <w:tcW w:w="1134" w:type="dxa"/>
            <w:tcBorders>
              <w:top w:val="single" w:color="auto" w:sz="4" w:space="0"/>
              <w:left w:val="nil"/>
              <w:bottom w:val="single" w:color="auto" w:sz="4" w:space="0"/>
              <w:right w:val="single" w:color="auto" w:sz="4" w:space="0"/>
            </w:tcBorders>
            <w:vAlign w:val="center"/>
          </w:tcPr>
          <w:p w14:paraId="6A968E56">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p>
        </w:tc>
        <w:tc>
          <w:tcPr>
            <w:tcW w:w="1133" w:type="dxa"/>
            <w:tcBorders>
              <w:top w:val="single" w:color="auto" w:sz="4" w:space="0"/>
              <w:left w:val="nil"/>
              <w:bottom w:val="single" w:color="auto" w:sz="4" w:space="0"/>
              <w:right w:val="single" w:color="auto" w:sz="4" w:space="0"/>
            </w:tcBorders>
            <w:vAlign w:val="center"/>
          </w:tcPr>
          <w:p w14:paraId="2F8BDE29">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p>
        </w:tc>
        <w:tc>
          <w:tcPr>
            <w:tcW w:w="1224" w:type="dxa"/>
            <w:tcBorders>
              <w:top w:val="single" w:color="auto" w:sz="4" w:space="0"/>
              <w:left w:val="nil"/>
              <w:bottom w:val="single" w:color="auto" w:sz="4" w:space="0"/>
              <w:right w:val="single" w:color="auto" w:sz="4" w:space="0"/>
            </w:tcBorders>
            <w:vAlign w:val="center"/>
          </w:tcPr>
          <w:p w14:paraId="6E7A3D50">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p>
        </w:tc>
        <w:tc>
          <w:tcPr>
            <w:tcW w:w="1224" w:type="dxa"/>
            <w:tcBorders>
              <w:top w:val="single" w:color="auto" w:sz="4" w:space="0"/>
              <w:left w:val="nil"/>
              <w:bottom w:val="single" w:color="auto" w:sz="4" w:space="0"/>
              <w:right w:val="single" w:color="auto" w:sz="4" w:space="0"/>
            </w:tcBorders>
          </w:tcPr>
          <w:p w14:paraId="365E1A41">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p>
        </w:tc>
      </w:tr>
      <w:tr w14:paraId="16389DFA">
        <w:tblPrEx>
          <w:tblCellMar>
            <w:top w:w="0" w:type="dxa"/>
            <w:left w:w="108" w:type="dxa"/>
            <w:bottom w:w="0" w:type="dxa"/>
            <w:right w:w="108" w:type="dxa"/>
          </w:tblCellMar>
        </w:tblPrEx>
        <w:trPr>
          <w:trHeight w:val="537" w:hRule="atLeast"/>
          <w:jc w:val="center"/>
        </w:trPr>
        <w:tc>
          <w:tcPr>
            <w:tcW w:w="658" w:type="dxa"/>
            <w:tcBorders>
              <w:top w:val="single" w:color="auto" w:sz="4" w:space="0"/>
              <w:left w:val="single" w:color="auto" w:sz="4" w:space="0"/>
              <w:bottom w:val="single" w:color="auto" w:sz="4" w:space="0"/>
              <w:right w:val="single" w:color="auto" w:sz="4" w:space="0"/>
            </w:tcBorders>
            <w:vAlign w:val="center"/>
          </w:tcPr>
          <w:p w14:paraId="4197601B">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r>
              <w:rPr>
                <w:rFonts w:hint="eastAsia" w:asciiTheme="minorEastAsia" w:hAnsiTheme="minorEastAsia" w:eastAsiaTheme="minorEastAsia"/>
                <w:color w:val="000000" w:themeColor="text1"/>
                <w:kern w:val="0"/>
                <w:highlight w:val="none"/>
                <w14:textFill>
                  <w14:solidFill>
                    <w14:schemeClr w14:val="tx1"/>
                  </w14:solidFill>
                </w14:textFill>
              </w:rPr>
              <w:t>…</w:t>
            </w:r>
          </w:p>
        </w:tc>
        <w:tc>
          <w:tcPr>
            <w:tcW w:w="1417" w:type="dxa"/>
            <w:tcBorders>
              <w:top w:val="single" w:color="auto" w:sz="4" w:space="0"/>
              <w:left w:val="nil"/>
              <w:bottom w:val="single" w:color="auto" w:sz="4" w:space="0"/>
              <w:right w:val="single" w:color="auto" w:sz="4" w:space="0"/>
            </w:tcBorders>
            <w:vAlign w:val="center"/>
          </w:tcPr>
          <w:p w14:paraId="04D4EC94">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p>
        </w:tc>
        <w:tc>
          <w:tcPr>
            <w:tcW w:w="1559" w:type="dxa"/>
            <w:tcBorders>
              <w:top w:val="single" w:color="auto" w:sz="4" w:space="0"/>
              <w:left w:val="nil"/>
              <w:bottom w:val="single" w:color="auto" w:sz="4" w:space="0"/>
              <w:right w:val="single" w:color="auto" w:sz="4" w:space="0"/>
            </w:tcBorders>
            <w:vAlign w:val="center"/>
          </w:tcPr>
          <w:p w14:paraId="52B360FF">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p>
        </w:tc>
        <w:tc>
          <w:tcPr>
            <w:tcW w:w="1276" w:type="dxa"/>
            <w:tcBorders>
              <w:top w:val="single" w:color="auto" w:sz="4" w:space="0"/>
              <w:left w:val="nil"/>
              <w:bottom w:val="single" w:color="auto" w:sz="4" w:space="0"/>
              <w:right w:val="single" w:color="auto" w:sz="4" w:space="0"/>
            </w:tcBorders>
            <w:vAlign w:val="center"/>
          </w:tcPr>
          <w:p w14:paraId="7C0A508E">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p>
        </w:tc>
        <w:tc>
          <w:tcPr>
            <w:tcW w:w="1418" w:type="dxa"/>
            <w:tcBorders>
              <w:top w:val="single" w:color="auto" w:sz="4" w:space="0"/>
              <w:left w:val="nil"/>
              <w:bottom w:val="single" w:color="auto" w:sz="4" w:space="0"/>
              <w:right w:val="single" w:color="auto" w:sz="4" w:space="0"/>
            </w:tcBorders>
            <w:vAlign w:val="center"/>
          </w:tcPr>
          <w:p w14:paraId="46E32E50">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p>
        </w:tc>
        <w:tc>
          <w:tcPr>
            <w:tcW w:w="1134" w:type="dxa"/>
            <w:tcBorders>
              <w:top w:val="single" w:color="auto" w:sz="4" w:space="0"/>
              <w:left w:val="nil"/>
              <w:bottom w:val="single" w:color="auto" w:sz="4" w:space="0"/>
              <w:right w:val="single" w:color="auto" w:sz="4" w:space="0"/>
            </w:tcBorders>
            <w:vAlign w:val="center"/>
          </w:tcPr>
          <w:p w14:paraId="10781A07">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p>
        </w:tc>
        <w:tc>
          <w:tcPr>
            <w:tcW w:w="1133" w:type="dxa"/>
            <w:tcBorders>
              <w:top w:val="single" w:color="auto" w:sz="4" w:space="0"/>
              <w:left w:val="nil"/>
              <w:bottom w:val="single" w:color="auto" w:sz="4" w:space="0"/>
              <w:right w:val="single" w:color="auto" w:sz="4" w:space="0"/>
            </w:tcBorders>
            <w:vAlign w:val="center"/>
          </w:tcPr>
          <w:p w14:paraId="52CA82F7">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p>
        </w:tc>
        <w:tc>
          <w:tcPr>
            <w:tcW w:w="1224" w:type="dxa"/>
            <w:tcBorders>
              <w:top w:val="single" w:color="auto" w:sz="4" w:space="0"/>
              <w:left w:val="nil"/>
              <w:bottom w:val="single" w:color="auto" w:sz="4" w:space="0"/>
              <w:right w:val="single" w:color="auto" w:sz="4" w:space="0"/>
            </w:tcBorders>
            <w:vAlign w:val="center"/>
          </w:tcPr>
          <w:p w14:paraId="7C7DA002">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p>
        </w:tc>
        <w:tc>
          <w:tcPr>
            <w:tcW w:w="1224" w:type="dxa"/>
            <w:tcBorders>
              <w:top w:val="single" w:color="auto" w:sz="4" w:space="0"/>
              <w:left w:val="nil"/>
              <w:bottom w:val="single" w:color="auto" w:sz="4" w:space="0"/>
              <w:right w:val="single" w:color="auto" w:sz="4" w:space="0"/>
            </w:tcBorders>
          </w:tcPr>
          <w:p w14:paraId="23B413E0">
            <w:pPr>
              <w:widowControl/>
              <w:spacing w:line="360" w:lineRule="auto"/>
              <w:jc w:val="center"/>
              <w:rPr>
                <w:rFonts w:cs="Arial" w:asciiTheme="minorEastAsia" w:hAnsiTheme="minorEastAsia" w:eastAsiaTheme="minorEastAsia"/>
                <w:color w:val="000000" w:themeColor="text1"/>
                <w:kern w:val="0"/>
                <w:highlight w:val="none"/>
                <w14:textFill>
                  <w14:solidFill>
                    <w14:schemeClr w14:val="tx1"/>
                  </w14:solidFill>
                </w14:textFill>
              </w:rPr>
            </w:pPr>
          </w:p>
        </w:tc>
      </w:tr>
    </w:tbl>
    <w:p w14:paraId="1704E534">
      <w:pPr>
        <w:spacing w:line="360" w:lineRule="auto"/>
        <w:rPr>
          <w:rFonts w:cs="Arial" w:asciiTheme="minorEastAsia" w:hAnsiTheme="minorEastAsia" w:eastAsiaTheme="minorEastAsia"/>
          <w:color w:val="000000" w:themeColor="text1"/>
          <w:sz w:val="24"/>
          <w:highlight w:val="none"/>
          <w14:textFill>
            <w14:solidFill>
              <w14:schemeClr w14:val="tx1"/>
            </w14:solidFill>
          </w14:textFill>
        </w:rPr>
      </w:pPr>
    </w:p>
    <w:p w14:paraId="0EB1DB0D">
      <w:pPr>
        <w:spacing w:line="360" w:lineRule="auto"/>
        <w:rPr>
          <w:rFonts w:cs="Arial" w:asciiTheme="minorEastAsia" w:hAnsiTheme="minorEastAsia" w:eastAsiaTheme="minorEastAsia"/>
          <w:color w:val="000000" w:themeColor="text1"/>
          <w:sz w:val="24"/>
          <w:highlight w:val="none"/>
          <w14:textFill>
            <w14:solidFill>
              <w14:schemeClr w14:val="tx1"/>
            </w14:solidFill>
          </w14:textFill>
        </w:rPr>
      </w:pPr>
      <w:r>
        <w:rPr>
          <w:rFonts w:cs="Arial" w:asciiTheme="minorEastAsia" w:hAnsiTheme="minorEastAsia" w:eastAsiaTheme="minorEastAsia"/>
          <w:color w:val="000000" w:themeColor="text1"/>
          <w:sz w:val="24"/>
          <w:highlight w:val="none"/>
          <w14:textFill>
            <w14:solidFill>
              <w14:schemeClr w14:val="tx1"/>
            </w14:solidFill>
          </w14:textFill>
        </w:rPr>
        <w:t>注：</w:t>
      </w:r>
      <w:r>
        <w:rPr>
          <w:rFonts w:hint="eastAsia" w:cs="Arial" w:asciiTheme="minorEastAsia" w:hAnsiTheme="minorEastAsia" w:eastAsiaTheme="minorEastAsia"/>
          <w:color w:val="000000" w:themeColor="text1"/>
          <w:sz w:val="24"/>
          <w:highlight w:val="none"/>
          <w14:textFill>
            <w14:solidFill>
              <w14:schemeClr w14:val="tx1"/>
            </w14:solidFill>
          </w14:textFill>
        </w:rPr>
        <w:t>提供合同或中标（成交）通知书复印件</w:t>
      </w:r>
      <w:r>
        <w:rPr>
          <w:rFonts w:cs="Arial" w:asciiTheme="minorEastAsia" w:hAnsiTheme="minorEastAsia" w:eastAsiaTheme="minorEastAsia"/>
          <w:color w:val="000000" w:themeColor="text1"/>
          <w:sz w:val="24"/>
          <w:highlight w:val="none"/>
          <w14:textFill>
            <w14:solidFill>
              <w14:schemeClr w14:val="tx1"/>
            </w14:solidFill>
          </w14:textFill>
        </w:rPr>
        <w:t>。</w:t>
      </w:r>
    </w:p>
    <w:p w14:paraId="2047978C">
      <w:pPr>
        <w:spacing w:line="360" w:lineRule="auto"/>
        <w:rPr>
          <w:rFonts w:cs="Arial" w:asciiTheme="minorEastAsia" w:hAnsiTheme="minorEastAsia" w:eastAsiaTheme="minorEastAsia"/>
          <w:color w:val="000000" w:themeColor="text1"/>
          <w:sz w:val="24"/>
          <w:highlight w:val="none"/>
          <w14:textFill>
            <w14:solidFill>
              <w14:schemeClr w14:val="tx1"/>
            </w14:solidFill>
          </w14:textFill>
        </w:rPr>
      </w:pPr>
    </w:p>
    <w:p w14:paraId="31B0154A">
      <w:pPr>
        <w:spacing w:line="360" w:lineRule="auto"/>
        <w:rPr>
          <w:rFonts w:cs="Arial" w:asciiTheme="minorEastAsia" w:hAnsiTheme="minorEastAsia" w:eastAsiaTheme="minorEastAsia"/>
          <w:color w:val="000000" w:themeColor="text1"/>
          <w:sz w:val="24"/>
          <w:highlight w:val="none"/>
          <w14:textFill>
            <w14:solidFill>
              <w14:schemeClr w14:val="tx1"/>
            </w14:solidFill>
          </w14:textFill>
        </w:rPr>
      </w:pPr>
    </w:p>
    <w:p w14:paraId="79AB8986">
      <w:pPr>
        <w:tabs>
          <w:tab w:val="left" w:pos="555"/>
          <w:tab w:val="left" w:pos="2214"/>
          <w:tab w:val="left" w:pos="3774"/>
          <w:tab w:val="left" w:pos="4854"/>
          <w:tab w:val="left" w:pos="5934"/>
          <w:tab w:val="left" w:pos="7014"/>
          <w:tab w:val="left" w:pos="8214"/>
          <w:tab w:val="left" w:pos="10134"/>
          <w:tab w:val="left" w:pos="11124"/>
        </w:tabs>
        <w:spacing w:line="360" w:lineRule="auto"/>
        <w:ind w:firstLine="480" w:firstLineChars="200"/>
        <w:rPr>
          <w:rFonts w:cs="Arial" w:asciiTheme="minorEastAsia" w:hAnsiTheme="minorEastAsia" w:eastAsiaTheme="minorEastAsia"/>
          <w:color w:val="000000" w:themeColor="text1"/>
          <w:sz w:val="24"/>
          <w:highlight w:val="none"/>
          <w14:textFill>
            <w14:solidFill>
              <w14:schemeClr w14:val="tx1"/>
            </w14:solidFill>
          </w14:textFill>
        </w:rPr>
      </w:pPr>
    </w:p>
    <w:p w14:paraId="7960BCC5">
      <w:pPr>
        <w:spacing w:line="360" w:lineRule="auto"/>
        <w:ind w:left="360"/>
        <w:jc w:val="center"/>
        <w:rPr>
          <w:rFonts w:cs="Arial" w:asciiTheme="minorEastAsia" w:hAnsiTheme="minorEastAsia" w:eastAsiaTheme="minorEastAsia"/>
          <w:color w:val="000000" w:themeColor="text1"/>
          <w:sz w:val="24"/>
          <w:highlight w:val="none"/>
          <w14:textFill>
            <w14:solidFill>
              <w14:schemeClr w14:val="tx1"/>
            </w14:solidFill>
          </w14:textFill>
        </w:rPr>
      </w:pPr>
    </w:p>
    <w:p w14:paraId="240FA191">
      <w:pPr>
        <w:spacing w:line="360" w:lineRule="auto"/>
        <w:jc w:val="left"/>
        <w:rPr>
          <w:rFonts w:cs="Arial" w:asciiTheme="minorEastAsia" w:hAnsiTheme="minorEastAsia" w:eastAsiaTheme="minorEastAsia"/>
          <w:color w:val="000000" w:themeColor="text1"/>
          <w:highlight w:val="none"/>
          <w14:textFill>
            <w14:solidFill>
              <w14:schemeClr w14:val="tx1"/>
            </w14:solidFill>
          </w14:textFill>
        </w:rPr>
      </w:pPr>
    </w:p>
    <w:p w14:paraId="5486CFAD">
      <w:pPr>
        <w:spacing w:line="360" w:lineRule="auto"/>
        <w:ind w:firstLine="480" w:firstLineChars="200"/>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供应商名称：</w:t>
      </w:r>
      <w:r>
        <w:rPr>
          <w:rFonts w:asciiTheme="minorEastAsia" w:hAnsiTheme="minorEastAsia" w:eastAsiaTheme="minorEastAsia"/>
          <w:color w:val="000000" w:themeColor="text1"/>
          <w:sz w:val="24"/>
          <w:highlight w:val="none"/>
          <w14:textFill>
            <w14:solidFill>
              <w14:schemeClr w14:val="tx1"/>
            </w14:solidFill>
          </w14:textFill>
        </w:rPr>
        <w:t>XXXX</w:t>
      </w:r>
      <w:r>
        <w:rPr>
          <w:rFonts w:hint="eastAsia" w:asciiTheme="minorEastAsia" w:hAnsiTheme="minorEastAsia" w:eastAsiaTheme="minorEastAsia"/>
          <w:color w:val="000000" w:themeColor="text1"/>
          <w:sz w:val="24"/>
          <w:highlight w:val="none"/>
          <w14:textFill>
            <w14:solidFill>
              <w14:schemeClr w14:val="tx1"/>
            </w14:solidFill>
          </w14:textFill>
        </w:rPr>
        <w:t>（盖单位公章）</w:t>
      </w:r>
    </w:p>
    <w:p w14:paraId="29D195B7">
      <w:pPr>
        <w:spacing w:line="360" w:lineRule="auto"/>
        <w:ind w:firstLine="480" w:firstLineChars="200"/>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法定代表人</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单位负责人或授权代表（签字或加盖个人印章）：</w:t>
      </w:r>
      <w:r>
        <w:rPr>
          <w:rFonts w:asciiTheme="minorEastAsia" w:hAnsiTheme="minorEastAsia" w:eastAsiaTheme="minorEastAsia"/>
          <w:color w:val="000000" w:themeColor="text1"/>
          <w:sz w:val="24"/>
          <w:highlight w:val="none"/>
          <w14:textFill>
            <w14:solidFill>
              <w14:schemeClr w14:val="tx1"/>
            </w14:solidFill>
          </w14:textFill>
        </w:rPr>
        <w:t>XXXX</w:t>
      </w:r>
    </w:p>
    <w:p w14:paraId="64C82C4C">
      <w:pPr>
        <w:spacing w:line="360" w:lineRule="auto"/>
        <w:ind w:firstLine="480" w:firstLineChars="200"/>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日期</w:t>
      </w:r>
      <w:r>
        <w:rPr>
          <w:rFonts w:asciiTheme="minorEastAsia" w:hAnsiTheme="minorEastAsia" w:eastAsiaTheme="minorEastAsia"/>
          <w:color w:val="000000" w:themeColor="text1"/>
          <w:sz w:val="24"/>
          <w:highlight w:val="none"/>
          <w14:textFill>
            <w14:solidFill>
              <w14:schemeClr w14:val="tx1"/>
            </w14:solidFill>
          </w14:textFill>
        </w:rPr>
        <w:t>: XXXX</w:t>
      </w:r>
    </w:p>
    <w:p w14:paraId="4D4E5DAF">
      <w:pPr>
        <w:widowControl/>
        <w:jc w:val="left"/>
        <w:rPr>
          <w:rFonts w:asciiTheme="minorEastAsia" w:hAnsiTheme="minorEastAsia" w:eastAsiaTheme="minorEastAsia"/>
          <w:b/>
          <w:color w:val="000000" w:themeColor="text1"/>
          <w:sz w:val="32"/>
          <w:szCs w:val="32"/>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br w:type="page"/>
      </w:r>
    </w:p>
    <w:p w14:paraId="68FF5D18">
      <w:pPr>
        <w:spacing w:line="360" w:lineRule="auto"/>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格式</w:t>
      </w:r>
      <w:r>
        <w:rPr>
          <w:rFonts w:asciiTheme="minorEastAsia" w:hAnsiTheme="minorEastAsia" w:eastAsiaTheme="minorEastAsia"/>
          <w:b/>
          <w:color w:val="000000" w:themeColor="text1"/>
          <w:sz w:val="28"/>
          <w:szCs w:val="28"/>
          <w:highlight w:val="none"/>
          <w14:textFill>
            <w14:solidFill>
              <w14:schemeClr w14:val="tx1"/>
            </w14:solidFill>
          </w14:textFill>
        </w:rPr>
        <w:t>2-8</w:t>
      </w:r>
    </w:p>
    <w:p w14:paraId="6738F502">
      <w:pPr>
        <w:spacing w:line="360" w:lineRule="auto"/>
        <w:jc w:val="center"/>
        <w:rPr>
          <w:rFonts w:asciiTheme="minorEastAsia" w:hAnsiTheme="minorEastAsia" w:eastAsiaTheme="minorEastAsia"/>
          <w:b/>
          <w:color w:val="000000" w:themeColor="text1"/>
          <w:sz w:val="32"/>
          <w:szCs w:val="32"/>
          <w:highlight w:val="none"/>
          <w14:textFill>
            <w14:solidFill>
              <w14:schemeClr w14:val="tx1"/>
            </w14:solidFill>
          </w14:textFill>
        </w:rPr>
      </w:pPr>
      <w:r>
        <w:rPr>
          <w:rFonts w:hint="eastAsia" w:asciiTheme="minorEastAsia" w:hAnsiTheme="minorEastAsia" w:eastAsiaTheme="minorEastAsia"/>
          <w:b/>
          <w:color w:val="000000" w:themeColor="text1"/>
          <w:sz w:val="32"/>
          <w:szCs w:val="32"/>
          <w:highlight w:val="none"/>
          <w14:textFill>
            <w14:solidFill>
              <w14:schemeClr w14:val="tx1"/>
            </w14:solidFill>
          </w14:textFill>
        </w:rPr>
        <w:t>七、项目管理机构</w:t>
      </w:r>
    </w:p>
    <w:p w14:paraId="6A0844E1">
      <w:pPr>
        <w:spacing w:line="360" w:lineRule="auto"/>
        <w:rPr>
          <w:rFonts w:asciiTheme="minorEastAsia" w:hAnsiTheme="minorEastAsia" w:eastAsiaTheme="minorEastAsia"/>
          <w:color w:val="000000" w:themeColor="text1"/>
          <w:sz w:val="32"/>
          <w:szCs w:val="32"/>
          <w:highlight w:val="none"/>
          <w14:textFill>
            <w14:solidFill>
              <w14:schemeClr w14:val="tx1"/>
            </w14:solidFill>
          </w14:textFill>
        </w:rPr>
      </w:pPr>
    </w:p>
    <w:p w14:paraId="356F28AF">
      <w:pPr>
        <w:spacing w:line="360" w:lineRule="auto"/>
        <w:jc w:val="center"/>
        <w:rPr>
          <w:rFonts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highlight w:val="none"/>
          <w14:textFill>
            <w14:solidFill>
              <w14:schemeClr w14:val="tx1"/>
            </w14:solidFill>
          </w14:textFill>
        </w:rPr>
        <w:t>项目管理机构组成表</w:t>
      </w:r>
    </w:p>
    <w:p w14:paraId="47E22319">
      <w:pPr>
        <w:autoSpaceDE w:val="0"/>
        <w:autoSpaceDN w:val="0"/>
        <w:adjustRightInd w:val="0"/>
        <w:spacing w:line="360" w:lineRule="auto"/>
        <w:ind w:left="220" w:right="-20"/>
        <w:jc w:val="center"/>
        <w:rPr>
          <w:rFonts w:asciiTheme="minorEastAsia" w:hAnsiTheme="minorEastAsia" w:eastAsiaTheme="minorEastAsia"/>
          <w:b/>
          <w:bCs/>
          <w:color w:val="000000" w:themeColor="text1"/>
          <w:highlight w:val="none"/>
          <w14:textFill>
            <w14:solidFill>
              <w14:schemeClr w14:val="tx1"/>
            </w14:solidFill>
          </w14:textFill>
        </w:rPr>
      </w:pPr>
    </w:p>
    <w:tbl>
      <w:tblPr>
        <w:tblStyle w:val="18"/>
        <w:tblW w:w="9366" w:type="dxa"/>
        <w:jc w:val="center"/>
        <w:tblLayout w:type="fixed"/>
        <w:tblCellMar>
          <w:top w:w="0" w:type="dxa"/>
          <w:left w:w="0" w:type="dxa"/>
          <w:bottom w:w="0" w:type="dxa"/>
          <w:right w:w="0" w:type="dxa"/>
        </w:tblCellMar>
      </w:tblPr>
      <w:tblGrid>
        <w:gridCol w:w="857"/>
        <w:gridCol w:w="1695"/>
        <w:gridCol w:w="1423"/>
        <w:gridCol w:w="1276"/>
        <w:gridCol w:w="1301"/>
        <w:gridCol w:w="1134"/>
        <w:gridCol w:w="1680"/>
      </w:tblGrid>
      <w:tr w14:paraId="73A06AA8">
        <w:tblPrEx>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14:paraId="2E31DFFA">
            <w:pPr>
              <w:spacing w:line="360" w:lineRule="auto"/>
              <w:jc w:val="center"/>
              <w:rPr>
                <w:rFonts w:cs="Arial"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序号</w:t>
            </w:r>
          </w:p>
        </w:tc>
        <w:tc>
          <w:tcPr>
            <w:tcW w:w="1695" w:type="dxa"/>
            <w:vMerge w:val="restart"/>
            <w:tcBorders>
              <w:top w:val="single" w:color="auto" w:sz="4" w:space="0"/>
              <w:left w:val="nil"/>
              <w:right w:val="single" w:color="auto" w:sz="4" w:space="0"/>
            </w:tcBorders>
            <w:vAlign w:val="center"/>
          </w:tcPr>
          <w:p w14:paraId="520E0A0D">
            <w:pPr>
              <w:spacing w:line="360" w:lineRule="auto"/>
              <w:jc w:val="center"/>
              <w:rPr>
                <w:rFonts w:cs="Arial"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职务</w:t>
            </w:r>
          </w:p>
        </w:tc>
        <w:tc>
          <w:tcPr>
            <w:tcW w:w="1423" w:type="dxa"/>
            <w:vMerge w:val="restart"/>
            <w:tcBorders>
              <w:top w:val="single" w:color="auto" w:sz="4" w:space="0"/>
              <w:left w:val="nil"/>
              <w:right w:val="single" w:color="auto" w:sz="4" w:space="0"/>
            </w:tcBorders>
            <w:vAlign w:val="center"/>
          </w:tcPr>
          <w:p w14:paraId="63B84D58">
            <w:pPr>
              <w:spacing w:line="360" w:lineRule="auto"/>
              <w:jc w:val="center"/>
              <w:rPr>
                <w:rFonts w:cs="Arial"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姓名</w:t>
            </w:r>
          </w:p>
        </w:tc>
        <w:tc>
          <w:tcPr>
            <w:tcW w:w="2577" w:type="dxa"/>
            <w:gridSpan w:val="2"/>
            <w:tcBorders>
              <w:top w:val="single" w:color="auto" w:sz="4" w:space="0"/>
              <w:left w:val="nil"/>
              <w:bottom w:val="single" w:color="auto" w:sz="4" w:space="0"/>
              <w:right w:val="single" w:color="auto" w:sz="4" w:space="0"/>
            </w:tcBorders>
            <w:vAlign w:val="center"/>
          </w:tcPr>
          <w:p w14:paraId="2247D92E">
            <w:pPr>
              <w:spacing w:line="360" w:lineRule="auto"/>
              <w:jc w:val="center"/>
              <w:rPr>
                <w:rFonts w:cs="Arial"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执业或职业资格</w:t>
            </w:r>
          </w:p>
        </w:tc>
        <w:tc>
          <w:tcPr>
            <w:tcW w:w="2814" w:type="dxa"/>
            <w:gridSpan w:val="2"/>
            <w:tcBorders>
              <w:top w:val="single" w:color="auto" w:sz="4" w:space="0"/>
              <w:left w:val="nil"/>
              <w:bottom w:val="single" w:color="auto" w:sz="4" w:space="0"/>
              <w:right w:val="single" w:color="auto" w:sz="4" w:space="0"/>
            </w:tcBorders>
            <w:vAlign w:val="center"/>
          </w:tcPr>
          <w:p w14:paraId="4463578D">
            <w:pPr>
              <w:spacing w:line="360" w:lineRule="auto"/>
              <w:jc w:val="center"/>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职称</w:t>
            </w:r>
          </w:p>
        </w:tc>
      </w:tr>
      <w:tr w14:paraId="37F31A60">
        <w:tblPrEx>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14:paraId="125C2B64">
            <w:pPr>
              <w:spacing w:line="360" w:lineRule="auto"/>
              <w:jc w:val="center"/>
              <w:rPr>
                <w:rFonts w:asciiTheme="minorEastAsia" w:hAnsiTheme="minorEastAsia" w:eastAsiaTheme="minorEastAsia"/>
                <w:color w:val="000000" w:themeColor="text1"/>
                <w:highlight w:val="none"/>
                <w14:textFill>
                  <w14:solidFill>
                    <w14:schemeClr w14:val="tx1"/>
                  </w14:solidFill>
                </w14:textFill>
              </w:rPr>
            </w:pPr>
          </w:p>
        </w:tc>
        <w:tc>
          <w:tcPr>
            <w:tcW w:w="1695" w:type="dxa"/>
            <w:vMerge w:val="continue"/>
            <w:tcBorders>
              <w:left w:val="nil"/>
              <w:bottom w:val="single" w:color="auto" w:sz="4" w:space="0"/>
              <w:right w:val="single" w:color="auto" w:sz="4" w:space="0"/>
            </w:tcBorders>
            <w:vAlign w:val="center"/>
          </w:tcPr>
          <w:p w14:paraId="1BA22195">
            <w:pPr>
              <w:spacing w:line="360" w:lineRule="auto"/>
              <w:jc w:val="center"/>
              <w:rPr>
                <w:rFonts w:asciiTheme="minorEastAsia" w:hAnsiTheme="minorEastAsia" w:eastAsiaTheme="minorEastAsia"/>
                <w:color w:val="000000" w:themeColor="text1"/>
                <w:highlight w:val="none"/>
                <w14:textFill>
                  <w14:solidFill>
                    <w14:schemeClr w14:val="tx1"/>
                  </w14:solidFill>
                </w14:textFill>
              </w:rPr>
            </w:pPr>
          </w:p>
        </w:tc>
        <w:tc>
          <w:tcPr>
            <w:tcW w:w="1423" w:type="dxa"/>
            <w:vMerge w:val="continue"/>
            <w:tcBorders>
              <w:left w:val="nil"/>
              <w:bottom w:val="single" w:color="auto" w:sz="4" w:space="0"/>
              <w:right w:val="single" w:color="auto" w:sz="4" w:space="0"/>
            </w:tcBorders>
            <w:vAlign w:val="center"/>
          </w:tcPr>
          <w:p w14:paraId="6F0A70C5">
            <w:pPr>
              <w:spacing w:line="360" w:lineRule="auto"/>
              <w:jc w:val="center"/>
              <w:rPr>
                <w:rFonts w:asciiTheme="minorEastAsia" w:hAnsiTheme="minorEastAsia" w:eastAsiaTheme="minorEastAsia"/>
                <w:color w:val="000000" w:themeColor="text1"/>
                <w:highlight w:val="none"/>
                <w14:textFill>
                  <w14:solidFill>
                    <w14:schemeClr w14:val="tx1"/>
                  </w14:solidFill>
                </w14:textFill>
              </w:rPr>
            </w:pPr>
          </w:p>
        </w:tc>
        <w:tc>
          <w:tcPr>
            <w:tcW w:w="1276" w:type="dxa"/>
            <w:tcBorders>
              <w:top w:val="single" w:color="auto" w:sz="4" w:space="0"/>
              <w:left w:val="nil"/>
              <w:bottom w:val="single" w:color="auto" w:sz="4" w:space="0"/>
              <w:right w:val="single" w:color="auto" w:sz="4" w:space="0"/>
            </w:tcBorders>
            <w:vAlign w:val="center"/>
          </w:tcPr>
          <w:p w14:paraId="3A9B8D73">
            <w:pPr>
              <w:spacing w:line="360" w:lineRule="auto"/>
              <w:jc w:val="center"/>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证书名称</w:t>
            </w:r>
          </w:p>
        </w:tc>
        <w:tc>
          <w:tcPr>
            <w:tcW w:w="1301" w:type="dxa"/>
            <w:tcBorders>
              <w:top w:val="single" w:color="auto" w:sz="4" w:space="0"/>
              <w:left w:val="nil"/>
              <w:bottom w:val="single" w:color="auto" w:sz="4" w:space="0"/>
              <w:right w:val="single" w:color="auto" w:sz="4" w:space="0"/>
            </w:tcBorders>
            <w:vAlign w:val="center"/>
          </w:tcPr>
          <w:p w14:paraId="16A11E0E">
            <w:pPr>
              <w:spacing w:line="360" w:lineRule="auto"/>
              <w:jc w:val="center"/>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证书编号</w:t>
            </w:r>
          </w:p>
        </w:tc>
        <w:tc>
          <w:tcPr>
            <w:tcW w:w="1134" w:type="dxa"/>
            <w:tcBorders>
              <w:top w:val="single" w:color="auto" w:sz="4" w:space="0"/>
              <w:left w:val="nil"/>
              <w:bottom w:val="single" w:color="auto" w:sz="4" w:space="0"/>
              <w:right w:val="single" w:color="auto" w:sz="4" w:space="0"/>
            </w:tcBorders>
            <w:vAlign w:val="center"/>
          </w:tcPr>
          <w:p w14:paraId="095944DB">
            <w:pPr>
              <w:spacing w:line="360" w:lineRule="auto"/>
              <w:jc w:val="center"/>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职称专业</w:t>
            </w:r>
          </w:p>
        </w:tc>
        <w:tc>
          <w:tcPr>
            <w:tcW w:w="1680" w:type="dxa"/>
            <w:tcBorders>
              <w:top w:val="single" w:color="auto" w:sz="4" w:space="0"/>
              <w:left w:val="nil"/>
              <w:bottom w:val="single" w:color="auto" w:sz="4" w:space="0"/>
              <w:right w:val="single" w:color="auto" w:sz="4" w:space="0"/>
            </w:tcBorders>
            <w:vAlign w:val="center"/>
          </w:tcPr>
          <w:p w14:paraId="74F75DE5">
            <w:pPr>
              <w:spacing w:line="360" w:lineRule="auto"/>
              <w:jc w:val="center"/>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级别</w:t>
            </w:r>
          </w:p>
        </w:tc>
      </w:tr>
      <w:tr w14:paraId="63B41EE7">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46E2E274">
            <w:pPr>
              <w:spacing w:line="360" w:lineRule="auto"/>
              <w:jc w:val="center"/>
              <w:rPr>
                <w:rFonts w:cs="Arial"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1.1</w:t>
            </w:r>
          </w:p>
        </w:tc>
        <w:tc>
          <w:tcPr>
            <w:tcW w:w="1695" w:type="dxa"/>
            <w:tcBorders>
              <w:top w:val="single" w:color="auto" w:sz="4" w:space="0"/>
              <w:left w:val="nil"/>
              <w:bottom w:val="single" w:color="auto" w:sz="4" w:space="0"/>
              <w:right w:val="single" w:color="auto" w:sz="4" w:space="0"/>
            </w:tcBorders>
            <w:vAlign w:val="center"/>
          </w:tcPr>
          <w:p w14:paraId="5B65F41D">
            <w:pPr>
              <w:spacing w:line="360" w:lineRule="auto"/>
              <w:jc w:val="center"/>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项目负责人（项目经理）</w:t>
            </w:r>
          </w:p>
        </w:tc>
        <w:tc>
          <w:tcPr>
            <w:tcW w:w="1423" w:type="dxa"/>
            <w:tcBorders>
              <w:top w:val="single" w:color="auto" w:sz="4" w:space="0"/>
              <w:left w:val="nil"/>
              <w:bottom w:val="single" w:color="auto" w:sz="4" w:space="0"/>
              <w:right w:val="single" w:color="auto" w:sz="4" w:space="0"/>
            </w:tcBorders>
            <w:vAlign w:val="center"/>
          </w:tcPr>
          <w:p w14:paraId="1F81AAD8">
            <w:pPr>
              <w:spacing w:line="360" w:lineRule="auto"/>
              <w:jc w:val="center"/>
              <w:rPr>
                <w:rFonts w:cs="Arial" w:asciiTheme="minorEastAsia" w:hAnsiTheme="minorEastAsia" w:eastAsiaTheme="minorEastAsia"/>
                <w:color w:val="000000" w:themeColor="text1"/>
                <w:highlight w:val="none"/>
                <w14:textFill>
                  <w14:solidFill>
                    <w14:schemeClr w14:val="tx1"/>
                  </w14:solidFill>
                </w14:textFill>
              </w:rPr>
            </w:pPr>
          </w:p>
        </w:tc>
        <w:tc>
          <w:tcPr>
            <w:tcW w:w="1276" w:type="dxa"/>
            <w:tcBorders>
              <w:top w:val="single" w:color="auto" w:sz="4" w:space="0"/>
              <w:left w:val="nil"/>
              <w:bottom w:val="single" w:color="auto" w:sz="4" w:space="0"/>
              <w:right w:val="single" w:color="auto" w:sz="4" w:space="0"/>
            </w:tcBorders>
            <w:vAlign w:val="center"/>
          </w:tcPr>
          <w:p w14:paraId="404A4AC6">
            <w:pPr>
              <w:spacing w:line="360" w:lineRule="auto"/>
              <w:jc w:val="center"/>
              <w:rPr>
                <w:rFonts w:cs="Arial" w:asciiTheme="minorEastAsia" w:hAnsiTheme="minorEastAsia" w:eastAsiaTheme="minorEastAsia"/>
                <w:color w:val="000000" w:themeColor="text1"/>
                <w:highlight w:val="none"/>
                <w14:textFill>
                  <w14:solidFill>
                    <w14:schemeClr w14:val="tx1"/>
                  </w14:solidFill>
                </w14:textFill>
              </w:rPr>
            </w:pPr>
          </w:p>
        </w:tc>
        <w:tc>
          <w:tcPr>
            <w:tcW w:w="1301" w:type="dxa"/>
            <w:tcBorders>
              <w:top w:val="single" w:color="auto" w:sz="4" w:space="0"/>
              <w:left w:val="nil"/>
              <w:bottom w:val="single" w:color="auto" w:sz="4" w:space="0"/>
              <w:right w:val="single" w:color="auto" w:sz="4" w:space="0"/>
            </w:tcBorders>
            <w:vAlign w:val="center"/>
          </w:tcPr>
          <w:p w14:paraId="2AF16608">
            <w:pPr>
              <w:spacing w:line="360" w:lineRule="auto"/>
              <w:jc w:val="center"/>
              <w:rPr>
                <w:rFonts w:cs="Arial" w:asciiTheme="minorEastAsia" w:hAnsiTheme="minorEastAsia" w:eastAsiaTheme="minorEastAsia"/>
                <w:color w:val="000000" w:themeColor="text1"/>
                <w:highlight w:val="none"/>
                <w14:textFill>
                  <w14:solidFill>
                    <w14:schemeClr w14:val="tx1"/>
                  </w14:solidFill>
                </w14:textFill>
              </w:rPr>
            </w:pPr>
          </w:p>
        </w:tc>
        <w:tc>
          <w:tcPr>
            <w:tcW w:w="1134" w:type="dxa"/>
            <w:tcBorders>
              <w:top w:val="single" w:color="auto" w:sz="4" w:space="0"/>
              <w:left w:val="nil"/>
              <w:bottom w:val="single" w:color="auto" w:sz="4" w:space="0"/>
              <w:right w:val="single" w:color="auto" w:sz="4" w:space="0"/>
            </w:tcBorders>
            <w:vAlign w:val="center"/>
          </w:tcPr>
          <w:p w14:paraId="12D4AC77">
            <w:pPr>
              <w:spacing w:line="360" w:lineRule="auto"/>
              <w:jc w:val="center"/>
              <w:rPr>
                <w:rFonts w:cs="Arial" w:asciiTheme="minorEastAsia" w:hAnsiTheme="minorEastAsia" w:eastAsiaTheme="minorEastAsia"/>
                <w:color w:val="000000" w:themeColor="text1"/>
                <w:highlight w:val="none"/>
                <w14:textFill>
                  <w14:solidFill>
                    <w14:schemeClr w14:val="tx1"/>
                  </w14:solidFill>
                </w14:textFill>
              </w:rPr>
            </w:pPr>
          </w:p>
        </w:tc>
        <w:tc>
          <w:tcPr>
            <w:tcW w:w="1680" w:type="dxa"/>
            <w:tcBorders>
              <w:top w:val="single" w:color="auto" w:sz="4" w:space="0"/>
              <w:left w:val="nil"/>
              <w:bottom w:val="single" w:color="auto" w:sz="4" w:space="0"/>
              <w:right w:val="single" w:color="auto" w:sz="4" w:space="0"/>
            </w:tcBorders>
          </w:tcPr>
          <w:p w14:paraId="0F253086">
            <w:pPr>
              <w:spacing w:line="360" w:lineRule="auto"/>
              <w:jc w:val="center"/>
              <w:rPr>
                <w:rFonts w:cs="Arial" w:asciiTheme="minorEastAsia" w:hAnsiTheme="minorEastAsia" w:eastAsiaTheme="minorEastAsia"/>
                <w:color w:val="000000" w:themeColor="text1"/>
                <w:highlight w:val="none"/>
                <w14:textFill>
                  <w14:solidFill>
                    <w14:schemeClr w14:val="tx1"/>
                  </w14:solidFill>
                </w14:textFill>
              </w:rPr>
            </w:pPr>
          </w:p>
        </w:tc>
      </w:tr>
      <w:tr w14:paraId="69842FCF">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7221E1AA">
            <w:pPr>
              <w:spacing w:line="360" w:lineRule="auto"/>
              <w:jc w:val="center"/>
              <w:rPr>
                <w:rFonts w:cs="Arial" w:asciiTheme="minorEastAsia" w:hAnsiTheme="minorEastAsia" w:eastAsiaTheme="minorEastAsia"/>
                <w:color w:val="000000" w:themeColor="text1"/>
                <w:highlight w:val="none"/>
                <w14:textFill>
                  <w14:solidFill>
                    <w14:schemeClr w14:val="tx1"/>
                  </w14:solidFill>
                </w14:textFill>
              </w:rPr>
            </w:pPr>
            <w:r>
              <w:rPr>
                <w:rFonts w:cs="Arial" w:asciiTheme="minorEastAsia" w:hAnsiTheme="minorEastAsia" w:eastAsiaTheme="minorEastAsia"/>
                <w:color w:val="000000" w:themeColor="text1"/>
                <w:highlight w:val="none"/>
                <w14:textFill>
                  <w14:solidFill>
                    <w14:schemeClr w14:val="tx1"/>
                  </w14:solidFill>
                </w14:textFill>
              </w:rPr>
              <w:t>1.2</w:t>
            </w:r>
          </w:p>
        </w:tc>
        <w:tc>
          <w:tcPr>
            <w:tcW w:w="1695" w:type="dxa"/>
            <w:tcBorders>
              <w:top w:val="single" w:color="auto" w:sz="4" w:space="0"/>
              <w:left w:val="nil"/>
              <w:bottom w:val="single" w:color="auto" w:sz="4" w:space="0"/>
              <w:right w:val="single" w:color="auto" w:sz="4" w:space="0"/>
            </w:tcBorders>
            <w:vAlign w:val="center"/>
          </w:tcPr>
          <w:p w14:paraId="49137DEA">
            <w:pPr>
              <w:spacing w:line="360" w:lineRule="auto"/>
              <w:jc w:val="center"/>
              <w:rPr>
                <w:rFonts w:cs="Arial"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w:t>
            </w:r>
          </w:p>
        </w:tc>
        <w:tc>
          <w:tcPr>
            <w:tcW w:w="1423" w:type="dxa"/>
            <w:tcBorders>
              <w:top w:val="single" w:color="auto" w:sz="4" w:space="0"/>
              <w:left w:val="nil"/>
              <w:bottom w:val="single" w:color="auto" w:sz="4" w:space="0"/>
              <w:right w:val="single" w:color="auto" w:sz="4" w:space="0"/>
            </w:tcBorders>
            <w:vAlign w:val="center"/>
          </w:tcPr>
          <w:p w14:paraId="2EB8EB48">
            <w:pPr>
              <w:spacing w:line="360" w:lineRule="auto"/>
              <w:jc w:val="center"/>
              <w:rPr>
                <w:rFonts w:cs="Arial" w:asciiTheme="minorEastAsia" w:hAnsiTheme="minorEastAsia" w:eastAsiaTheme="minorEastAsia"/>
                <w:color w:val="000000" w:themeColor="text1"/>
                <w:highlight w:val="none"/>
                <w14:textFill>
                  <w14:solidFill>
                    <w14:schemeClr w14:val="tx1"/>
                  </w14:solidFill>
                </w14:textFill>
              </w:rPr>
            </w:pPr>
          </w:p>
        </w:tc>
        <w:tc>
          <w:tcPr>
            <w:tcW w:w="1276" w:type="dxa"/>
            <w:tcBorders>
              <w:top w:val="single" w:color="auto" w:sz="4" w:space="0"/>
              <w:left w:val="nil"/>
              <w:bottom w:val="single" w:color="auto" w:sz="4" w:space="0"/>
              <w:right w:val="single" w:color="auto" w:sz="4" w:space="0"/>
            </w:tcBorders>
            <w:vAlign w:val="center"/>
          </w:tcPr>
          <w:p w14:paraId="7E368EE5">
            <w:pPr>
              <w:spacing w:line="360" w:lineRule="auto"/>
              <w:jc w:val="center"/>
              <w:rPr>
                <w:rFonts w:cs="Arial" w:asciiTheme="minorEastAsia" w:hAnsiTheme="minorEastAsia" w:eastAsiaTheme="minorEastAsia"/>
                <w:color w:val="000000" w:themeColor="text1"/>
                <w:highlight w:val="none"/>
                <w14:textFill>
                  <w14:solidFill>
                    <w14:schemeClr w14:val="tx1"/>
                  </w14:solidFill>
                </w14:textFill>
              </w:rPr>
            </w:pPr>
          </w:p>
        </w:tc>
        <w:tc>
          <w:tcPr>
            <w:tcW w:w="1301" w:type="dxa"/>
            <w:tcBorders>
              <w:top w:val="single" w:color="auto" w:sz="4" w:space="0"/>
              <w:left w:val="nil"/>
              <w:bottom w:val="single" w:color="auto" w:sz="4" w:space="0"/>
              <w:right w:val="single" w:color="auto" w:sz="4" w:space="0"/>
            </w:tcBorders>
            <w:vAlign w:val="center"/>
          </w:tcPr>
          <w:p w14:paraId="70388819">
            <w:pPr>
              <w:spacing w:line="360" w:lineRule="auto"/>
              <w:jc w:val="center"/>
              <w:rPr>
                <w:rFonts w:cs="Arial" w:asciiTheme="minorEastAsia" w:hAnsiTheme="minorEastAsia" w:eastAsiaTheme="minorEastAsia"/>
                <w:color w:val="000000" w:themeColor="text1"/>
                <w:highlight w:val="none"/>
                <w14:textFill>
                  <w14:solidFill>
                    <w14:schemeClr w14:val="tx1"/>
                  </w14:solidFill>
                </w14:textFill>
              </w:rPr>
            </w:pPr>
          </w:p>
        </w:tc>
        <w:tc>
          <w:tcPr>
            <w:tcW w:w="1134" w:type="dxa"/>
            <w:tcBorders>
              <w:top w:val="single" w:color="auto" w:sz="4" w:space="0"/>
              <w:left w:val="nil"/>
              <w:bottom w:val="single" w:color="auto" w:sz="4" w:space="0"/>
              <w:right w:val="single" w:color="auto" w:sz="4" w:space="0"/>
            </w:tcBorders>
            <w:vAlign w:val="center"/>
          </w:tcPr>
          <w:p w14:paraId="1B732E87">
            <w:pPr>
              <w:spacing w:line="360" w:lineRule="auto"/>
              <w:jc w:val="center"/>
              <w:rPr>
                <w:rFonts w:cs="Arial" w:asciiTheme="minorEastAsia" w:hAnsiTheme="minorEastAsia" w:eastAsiaTheme="minorEastAsia"/>
                <w:color w:val="000000" w:themeColor="text1"/>
                <w:highlight w:val="none"/>
                <w14:textFill>
                  <w14:solidFill>
                    <w14:schemeClr w14:val="tx1"/>
                  </w14:solidFill>
                </w14:textFill>
              </w:rPr>
            </w:pPr>
          </w:p>
        </w:tc>
        <w:tc>
          <w:tcPr>
            <w:tcW w:w="1680" w:type="dxa"/>
            <w:tcBorders>
              <w:top w:val="single" w:color="auto" w:sz="4" w:space="0"/>
              <w:left w:val="nil"/>
              <w:bottom w:val="single" w:color="auto" w:sz="4" w:space="0"/>
              <w:right w:val="single" w:color="auto" w:sz="4" w:space="0"/>
            </w:tcBorders>
          </w:tcPr>
          <w:p w14:paraId="13315E5B">
            <w:pPr>
              <w:spacing w:line="360" w:lineRule="auto"/>
              <w:jc w:val="center"/>
              <w:rPr>
                <w:rFonts w:cs="Arial" w:asciiTheme="minorEastAsia" w:hAnsiTheme="minorEastAsia" w:eastAsiaTheme="minorEastAsia"/>
                <w:color w:val="000000" w:themeColor="text1"/>
                <w:highlight w:val="none"/>
                <w14:textFill>
                  <w14:solidFill>
                    <w14:schemeClr w14:val="tx1"/>
                  </w14:solidFill>
                </w14:textFill>
              </w:rPr>
            </w:pPr>
          </w:p>
        </w:tc>
      </w:tr>
      <w:tr w14:paraId="7C774651">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0381512A">
            <w:pPr>
              <w:spacing w:line="360" w:lineRule="auto"/>
              <w:jc w:val="center"/>
              <w:rPr>
                <w:rFonts w:cs="Arial" w:asciiTheme="minorEastAsia" w:hAnsiTheme="minorEastAsia" w:eastAsiaTheme="minorEastAsia"/>
                <w:color w:val="000000" w:themeColor="text1"/>
                <w:highlight w:val="none"/>
                <w14:textFill>
                  <w14:solidFill>
                    <w14:schemeClr w14:val="tx1"/>
                  </w14:solidFill>
                </w14:textFill>
              </w:rPr>
            </w:pPr>
          </w:p>
        </w:tc>
        <w:tc>
          <w:tcPr>
            <w:tcW w:w="1695" w:type="dxa"/>
            <w:tcBorders>
              <w:top w:val="single" w:color="auto" w:sz="4" w:space="0"/>
              <w:left w:val="nil"/>
              <w:bottom w:val="single" w:color="auto" w:sz="4" w:space="0"/>
              <w:right w:val="single" w:color="auto" w:sz="4" w:space="0"/>
            </w:tcBorders>
            <w:vAlign w:val="center"/>
          </w:tcPr>
          <w:p w14:paraId="17C4150C">
            <w:pPr>
              <w:spacing w:line="360" w:lineRule="auto"/>
              <w:jc w:val="center"/>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w:t>
            </w:r>
          </w:p>
        </w:tc>
        <w:tc>
          <w:tcPr>
            <w:tcW w:w="1423" w:type="dxa"/>
            <w:tcBorders>
              <w:top w:val="single" w:color="auto" w:sz="4" w:space="0"/>
              <w:left w:val="nil"/>
              <w:bottom w:val="single" w:color="auto" w:sz="4" w:space="0"/>
              <w:right w:val="single" w:color="auto" w:sz="4" w:space="0"/>
            </w:tcBorders>
            <w:vAlign w:val="center"/>
          </w:tcPr>
          <w:p w14:paraId="4F9FCE39">
            <w:pPr>
              <w:spacing w:line="360" w:lineRule="auto"/>
              <w:jc w:val="center"/>
              <w:rPr>
                <w:rFonts w:cs="Arial" w:asciiTheme="minorEastAsia" w:hAnsiTheme="minorEastAsia" w:eastAsiaTheme="minorEastAsia"/>
                <w:color w:val="000000" w:themeColor="text1"/>
                <w:highlight w:val="none"/>
                <w14:textFill>
                  <w14:solidFill>
                    <w14:schemeClr w14:val="tx1"/>
                  </w14:solidFill>
                </w14:textFill>
              </w:rPr>
            </w:pPr>
          </w:p>
        </w:tc>
        <w:tc>
          <w:tcPr>
            <w:tcW w:w="1276" w:type="dxa"/>
            <w:tcBorders>
              <w:top w:val="single" w:color="auto" w:sz="4" w:space="0"/>
              <w:left w:val="nil"/>
              <w:bottom w:val="single" w:color="auto" w:sz="4" w:space="0"/>
              <w:right w:val="single" w:color="auto" w:sz="4" w:space="0"/>
            </w:tcBorders>
            <w:vAlign w:val="center"/>
          </w:tcPr>
          <w:p w14:paraId="0E8B77A5">
            <w:pPr>
              <w:spacing w:line="360" w:lineRule="auto"/>
              <w:jc w:val="center"/>
              <w:rPr>
                <w:rFonts w:cs="Arial" w:asciiTheme="minorEastAsia" w:hAnsiTheme="minorEastAsia" w:eastAsiaTheme="minorEastAsia"/>
                <w:color w:val="000000" w:themeColor="text1"/>
                <w:highlight w:val="none"/>
                <w14:textFill>
                  <w14:solidFill>
                    <w14:schemeClr w14:val="tx1"/>
                  </w14:solidFill>
                </w14:textFill>
              </w:rPr>
            </w:pPr>
          </w:p>
        </w:tc>
        <w:tc>
          <w:tcPr>
            <w:tcW w:w="1301" w:type="dxa"/>
            <w:tcBorders>
              <w:top w:val="single" w:color="auto" w:sz="4" w:space="0"/>
              <w:left w:val="nil"/>
              <w:bottom w:val="single" w:color="auto" w:sz="4" w:space="0"/>
              <w:right w:val="single" w:color="auto" w:sz="4" w:space="0"/>
            </w:tcBorders>
            <w:vAlign w:val="center"/>
          </w:tcPr>
          <w:p w14:paraId="385E3C1A">
            <w:pPr>
              <w:spacing w:line="360" w:lineRule="auto"/>
              <w:jc w:val="center"/>
              <w:rPr>
                <w:rFonts w:cs="Arial" w:asciiTheme="minorEastAsia" w:hAnsiTheme="minorEastAsia" w:eastAsiaTheme="minorEastAsia"/>
                <w:color w:val="000000" w:themeColor="text1"/>
                <w:highlight w:val="none"/>
                <w14:textFill>
                  <w14:solidFill>
                    <w14:schemeClr w14:val="tx1"/>
                  </w14:solidFill>
                </w14:textFill>
              </w:rPr>
            </w:pPr>
          </w:p>
        </w:tc>
        <w:tc>
          <w:tcPr>
            <w:tcW w:w="1134" w:type="dxa"/>
            <w:tcBorders>
              <w:top w:val="single" w:color="auto" w:sz="4" w:space="0"/>
              <w:left w:val="nil"/>
              <w:bottom w:val="single" w:color="auto" w:sz="4" w:space="0"/>
              <w:right w:val="single" w:color="auto" w:sz="4" w:space="0"/>
            </w:tcBorders>
            <w:vAlign w:val="center"/>
          </w:tcPr>
          <w:p w14:paraId="56463B41">
            <w:pPr>
              <w:spacing w:line="360" w:lineRule="auto"/>
              <w:jc w:val="center"/>
              <w:rPr>
                <w:rFonts w:cs="Arial" w:asciiTheme="minorEastAsia" w:hAnsiTheme="minorEastAsia" w:eastAsiaTheme="minorEastAsia"/>
                <w:color w:val="000000" w:themeColor="text1"/>
                <w:highlight w:val="none"/>
                <w14:textFill>
                  <w14:solidFill>
                    <w14:schemeClr w14:val="tx1"/>
                  </w14:solidFill>
                </w14:textFill>
              </w:rPr>
            </w:pPr>
          </w:p>
        </w:tc>
        <w:tc>
          <w:tcPr>
            <w:tcW w:w="1680" w:type="dxa"/>
            <w:tcBorders>
              <w:top w:val="single" w:color="auto" w:sz="4" w:space="0"/>
              <w:left w:val="nil"/>
              <w:bottom w:val="single" w:color="auto" w:sz="4" w:space="0"/>
              <w:right w:val="single" w:color="auto" w:sz="4" w:space="0"/>
            </w:tcBorders>
          </w:tcPr>
          <w:p w14:paraId="3CEAF903">
            <w:pPr>
              <w:spacing w:line="360" w:lineRule="auto"/>
              <w:jc w:val="center"/>
              <w:rPr>
                <w:rFonts w:cs="Arial" w:asciiTheme="minorEastAsia" w:hAnsiTheme="minorEastAsia" w:eastAsiaTheme="minorEastAsia"/>
                <w:color w:val="000000" w:themeColor="text1"/>
                <w:highlight w:val="none"/>
                <w14:textFill>
                  <w14:solidFill>
                    <w14:schemeClr w14:val="tx1"/>
                  </w14:solidFill>
                </w14:textFill>
              </w:rPr>
            </w:pPr>
          </w:p>
        </w:tc>
      </w:tr>
    </w:tbl>
    <w:p w14:paraId="5E58A7B5">
      <w:pPr>
        <w:spacing w:line="360" w:lineRule="auto"/>
        <w:ind w:left="359" w:leftChars="171"/>
        <w:rPr>
          <w:rFonts w:asciiTheme="minorEastAsia" w:hAnsiTheme="minorEastAsia" w:eastAsiaTheme="minorEastAsia"/>
          <w:color w:val="000000" w:themeColor="text1"/>
          <w:highlight w:val="none"/>
          <w14:textFill>
            <w14:solidFill>
              <w14:schemeClr w14:val="tx1"/>
            </w14:solidFill>
          </w14:textFill>
        </w:rPr>
      </w:pPr>
    </w:p>
    <w:p w14:paraId="17E875BD">
      <w:pPr>
        <w:spacing w:line="360" w:lineRule="auto"/>
        <w:ind w:left="105" w:hanging="105" w:hangingChars="5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注：</w:t>
      </w:r>
    </w:p>
    <w:p w14:paraId="396CE3A1">
      <w:pPr>
        <w:spacing w:line="360" w:lineRule="auto"/>
        <w:ind w:left="105" w:hanging="105" w:hangingChars="50"/>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1</w:t>
      </w:r>
      <w:r>
        <w:rPr>
          <w:rFonts w:hint="eastAsia" w:asciiTheme="minorEastAsia" w:hAnsiTheme="minorEastAsia" w:eastAsiaTheme="minorEastAsia"/>
          <w:color w:val="000000" w:themeColor="text1"/>
          <w:highlight w:val="none"/>
          <w14:textFill>
            <w14:solidFill>
              <w14:schemeClr w14:val="tx1"/>
            </w14:solidFill>
          </w14:textFill>
        </w:rPr>
        <w:t>、人员应附身份证。</w:t>
      </w:r>
    </w:p>
    <w:p w14:paraId="760B1BBE">
      <w:pPr>
        <w:spacing w:line="360" w:lineRule="auto"/>
        <w:ind w:left="105" w:hanging="105" w:hangingChars="50"/>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2</w:t>
      </w:r>
      <w:r>
        <w:rPr>
          <w:rFonts w:hint="eastAsia" w:asciiTheme="minorEastAsia" w:hAnsiTheme="minorEastAsia" w:eastAsiaTheme="minorEastAsia"/>
          <w:color w:val="000000" w:themeColor="text1"/>
          <w:highlight w:val="none"/>
          <w14:textFill>
            <w14:solidFill>
              <w14:schemeClr w14:val="tx1"/>
            </w14:solidFill>
          </w14:textFill>
        </w:rPr>
        <w:t>、人员应附执业或职业资格或上岗证或职称证。</w:t>
      </w:r>
    </w:p>
    <w:p w14:paraId="635CBECD">
      <w:pPr>
        <w:spacing w:line="360" w:lineRule="auto"/>
        <w:ind w:left="359" w:leftChars="171"/>
        <w:rPr>
          <w:rFonts w:asciiTheme="minorEastAsia" w:hAnsiTheme="minorEastAsia" w:eastAsiaTheme="minorEastAsia"/>
          <w:color w:val="000000" w:themeColor="text1"/>
          <w:highlight w:val="none"/>
          <w14:textFill>
            <w14:solidFill>
              <w14:schemeClr w14:val="tx1"/>
            </w14:solidFill>
          </w14:textFill>
        </w:rPr>
      </w:pPr>
    </w:p>
    <w:p w14:paraId="4BDADA1D">
      <w:pPr>
        <w:spacing w:line="360" w:lineRule="auto"/>
        <w:ind w:left="359" w:leftChars="171"/>
        <w:rPr>
          <w:rFonts w:cs="Arial" w:asciiTheme="minorEastAsia" w:hAnsiTheme="minorEastAsia" w:eastAsiaTheme="minorEastAsia"/>
          <w:color w:val="000000" w:themeColor="text1"/>
          <w:highlight w:val="none"/>
          <w14:textFill>
            <w14:solidFill>
              <w14:schemeClr w14:val="tx1"/>
            </w14:solidFill>
          </w14:textFill>
        </w:rPr>
      </w:pPr>
    </w:p>
    <w:p w14:paraId="4C4A4DB5">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供应商名称：</w:t>
      </w:r>
      <w:r>
        <w:rPr>
          <w:rFonts w:asciiTheme="minorEastAsia" w:hAnsiTheme="minorEastAsia" w:eastAsiaTheme="minorEastAsia"/>
          <w:color w:val="000000" w:themeColor="text1"/>
          <w:sz w:val="24"/>
          <w:highlight w:val="none"/>
          <w14:textFill>
            <w14:solidFill>
              <w14:schemeClr w14:val="tx1"/>
            </w14:solidFill>
          </w14:textFill>
        </w:rPr>
        <w:t>XXX</w:t>
      </w:r>
      <w:r>
        <w:rPr>
          <w:rFonts w:hint="eastAsia" w:asciiTheme="minorEastAsia" w:hAnsiTheme="minorEastAsia" w:eastAsiaTheme="minorEastAsia"/>
          <w:color w:val="000000" w:themeColor="text1"/>
          <w:sz w:val="24"/>
          <w:highlight w:val="none"/>
          <w14:textFill>
            <w14:solidFill>
              <w14:schemeClr w14:val="tx1"/>
            </w14:solidFill>
          </w14:textFill>
        </w:rPr>
        <w:t>（盖单位公章）</w:t>
      </w:r>
    </w:p>
    <w:p w14:paraId="60D3A324">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法定代表人</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单位负责人或授权代表（签字或加盖个人印章）：</w:t>
      </w:r>
      <w:r>
        <w:rPr>
          <w:rFonts w:asciiTheme="minorEastAsia" w:hAnsiTheme="minorEastAsia" w:eastAsiaTheme="minorEastAsia"/>
          <w:color w:val="000000" w:themeColor="text1"/>
          <w:sz w:val="24"/>
          <w:highlight w:val="none"/>
          <w14:textFill>
            <w14:solidFill>
              <w14:schemeClr w14:val="tx1"/>
            </w14:solidFill>
          </w14:textFill>
        </w:rPr>
        <w:t>XXX</w:t>
      </w:r>
    </w:p>
    <w:p w14:paraId="7963B79A">
      <w:pPr>
        <w:spacing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日期：</w:t>
      </w:r>
      <w:r>
        <w:rPr>
          <w:rFonts w:asciiTheme="minorEastAsia" w:hAnsiTheme="minorEastAsia" w:eastAsiaTheme="minorEastAsia"/>
          <w:color w:val="000000" w:themeColor="text1"/>
          <w:sz w:val="24"/>
          <w:highlight w:val="none"/>
          <w14:textFill>
            <w14:solidFill>
              <w14:schemeClr w14:val="tx1"/>
            </w14:solidFill>
          </w14:textFill>
        </w:rPr>
        <w:t>XXX</w:t>
      </w:r>
    </w:p>
    <w:p w14:paraId="07ABB4FC">
      <w:pPr>
        <w:spacing w:line="360" w:lineRule="auto"/>
        <w:jc w:val="both"/>
        <w:rPr>
          <w:rFonts w:asciiTheme="minorEastAsia" w:hAnsiTheme="minorEastAsia" w:eastAsiaTheme="minorEastAsia"/>
          <w:color w:val="000000" w:themeColor="text1"/>
          <w:highlight w:val="none"/>
          <w14:textFill>
            <w14:solidFill>
              <w14:schemeClr w14:val="tx1"/>
            </w14:solidFill>
          </w14:textFill>
        </w:rPr>
      </w:pPr>
    </w:p>
    <w:p w14:paraId="14EC5051">
      <w:pPr>
        <w:spacing w:line="360" w:lineRule="auto"/>
        <w:jc w:val="both"/>
        <w:rPr>
          <w:rFonts w:asciiTheme="minorEastAsia" w:hAnsiTheme="minorEastAsia" w:eastAsiaTheme="minorEastAsia"/>
          <w:color w:val="000000" w:themeColor="text1"/>
          <w:highlight w:val="none"/>
          <w14:textFill>
            <w14:solidFill>
              <w14:schemeClr w14:val="tx1"/>
            </w14:solidFill>
          </w14:textFill>
        </w:rPr>
      </w:pPr>
    </w:p>
    <w:p w14:paraId="0DB5CDA7">
      <w:pPr>
        <w:spacing w:line="360" w:lineRule="auto"/>
        <w:jc w:val="both"/>
        <w:rPr>
          <w:rFonts w:asciiTheme="minorEastAsia" w:hAnsiTheme="minorEastAsia" w:eastAsiaTheme="minorEastAsia"/>
          <w:color w:val="000000" w:themeColor="text1"/>
          <w:highlight w:val="none"/>
          <w14:textFill>
            <w14:solidFill>
              <w14:schemeClr w14:val="tx1"/>
            </w14:solidFill>
          </w14:textFill>
        </w:rPr>
      </w:pPr>
    </w:p>
    <w:p w14:paraId="23D0CAED">
      <w:pPr>
        <w:spacing w:line="360" w:lineRule="auto"/>
        <w:jc w:val="both"/>
        <w:rPr>
          <w:rFonts w:asciiTheme="minorEastAsia" w:hAnsiTheme="minorEastAsia" w:eastAsiaTheme="minorEastAsia"/>
          <w:color w:val="000000" w:themeColor="text1"/>
          <w:highlight w:val="none"/>
          <w14:textFill>
            <w14:solidFill>
              <w14:schemeClr w14:val="tx1"/>
            </w14:solidFill>
          </w14:textFill>
        </w:rPr>
      </w:pPr>
    </w:p>
    <w:p w14:paraId="2296C0F7">
      <w:pPr>
        <w:spacing w:line="360" w:lineRule="auto"/>
        <w:jc w:val="both"/>
        <w:rPr>
          <w:rFonts w:asciiTheme="minorEastAsia" w:hAnsiTheme="minorEastAsia" w:eastAsiaTheme="minorEastAsia"/>
          <w:color w:val="000000" w:themeColor="text1"/>
          <w:highlight w:val="none"/>
          <w14:textFill>
            <w14:solidFill>
              <w14:schemeClr w14:val="tx1"/>
            </w14:solidFill>
          </w14:textFill>
        </w:rPr>
      </w:pPr>
    </w:p>
    <w:p w14:paraId="7CC6E42B">
      <w:pPr>
        <w:spacing w:line="360" w:lineRule="auto"/>
        <w:jc w:val="both"/>
        <w:rPr>
          <w:rFonts w:asciiTheme="minorEastAsia" w:hAnsiTheme="minorEastAsia" w:eastAsiaTheme="minorEastAsia"/>
          <w:color w:val="000000" w:themeColor="text1"/>
          <w:highlight w:val="none"/>
          <w14:textFill>
            <w14:solidFill>
              <w14:schemeClr w14:val="tx1"/>
            </w14:solidFill>
          </w14:textFill>
        </w:rPr>
      </w:pPr>
    </w:p>
    <w:p w14:paraId="0A62F9FD">
      <w:pPr>
        <w:spacing w:line="360" w:lineRule="auto"/>
        <w:jc w:val="both"/>
        <w:rPr>
          <w:rFonts w:asciiTheme="minorEastAsia" w:hAnsiTheme="minorEastAsia" w:eastAsiaTheme="minorEastAsia"/>
          <w:color w:val="000000" w:themeColor="text1"/>
          <w:highlight w:val="none"/>
          <w14:textFill>
            <w14:solidFill>
              <w14:schemeClr w14:val="tx1"/>
            </w14:solidFill>
          </w14:textFill>
        </w:rPr>
      </w:pPr>
    </w:p>
    <w:p w14:paraId="59234C0A">
      <w:pPr>
        <w:spacing w:line="360" w:lineRule="auto"/>
        <w:jc w:val="both"/>
        <w:rPr>
          <w:rFonts w:asciiTheme="minorEastAsia" w:hAnsiTheme="minorEastAsia" w:eastAsiaTheme="minorEastAsia"/>
          <w:color w:val="000000" w:themeColor="text1"/>
          <w:highlight w:val="none"/>
          <w14:textFill>
            <w14:solidFill>
              <w14:schemeClr w14:val="tx1"/>
            </w14:solidFill>
          </w14:textFill>
        </w:rPr>
      </w:pPr>
    </w:p>
    <w:p w14:paraId="7A975E8D">
      <w:pPr>
        <w:spacing w:line="360" w:lineRule="auto"/>
        <w:rPr>
          <w:rFonts w:hint="eastAsia" w:ascii="宋体" w:hAnsi="宋体" w:eastAsia="宋体" w:cs="宋体"/>
          <w:b/>
          <w:color w:val="000000" w:themeColor="text1"/>
          <w:sz w:val="28"/>
          <w:szCs w:val="28"/>
          <w:highlight w:val="none"/>
          <w:lang w:val="en-US" w:eastAsia="zh-CN"/>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格式2-</w:t>
      </w:r>
      <w:r>
        <w:rPr>
          <w:rFonts w:hint="eastAsia" w:ascii="宋体" w:hAnsi="宋体" w:eastAsia="宋体" w:cs="宋体"/>
          <w:b/>
          <w:color w:val="000000" w:themeColor="text1"/>
          <w:sz w:val="28"/>
          <w:szCs w:val="28"/>
          <w:highlight w:val="none"/>
          <w:lang w:val="en-US" w:eastAsia="zh-CN"/>
          <w14:textFill>
            <w14:solidFill>
              <w14:schemeClr w14:val="tx1"/>
            </w14:solidFill>
          </w14:textFill>
        </w:rPr>
        <w:t>9</w:t>
      </w:r>
    </w:p>
    <w:p w14:paraId="335F7F41">
      <w:pPr>
        <w:pStyle w:val="30"/>
        <w:jc w:val="center"/>
        <w:rPr>
          <w:rFonts w:hint="eastAsia" w:ascii="宋体" w:hAnsi="宋体" w:cs="宋体"/>
          <w:b/>
          <w:i w:val="0"/>
          <w:iCs w:val="0"/>
          <w:color w:val="000000" w:themeColor="text1"/>
          <w:sz w:val="28"/>
          <w:szCs w:val="28"/>
          <w:highlight w:val="none"/>
          <w:lang w:val="en-US" w:eastAsia="zh-CN"/>
          <w14:textFill>
            <w14:solidFill>
              <w14:schemeClr w14:val="tx1"/>
            </w14:solidFill>
          </w14:textFill>
        </w:rPr>
      </w:pPr>
      <w:r>
        <w:rPr>
          <w:rFonts w:hint="eastAsia" w:ascii="宋体" w:hAnsi="宋体" w:cs="宋体"/>
          <w:b/>
          <w:i w:val="0"/>
          <w:iCs w:val="0"/>
          <w:color w:val="000000" w:themeColor="text1"/>
          <w:sz w:val="28"/>
          <w:szCs w:val="28"/>
          <w:highlight w:val="none"/>
          <w:lang w:val="en-US" w:eastAsia="zh-CN"/>
          <w14:textFill>
            <w14:solidFill>
              <w14:schemeClr w14:val="tx1"/>
            </w14:solidFill>
          </w14:textFill>
        </w:rPr>
        <w:t>现场报价表</w:t>
      </w:r>
    </w:p>
    <w:tbl>
      <w:tblPr>
        <w:tblStyle w:val="19"/>
        <w:tblW w:w="504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3801"/>
        <w:gridCol w:w="3431"/>
        <w:gridCol w:w="1507"/>
      </w:tblGrid>
      <w:tr w14:paraId="2D00F9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397" w:type="pct"/>
            <w:tcBorders>
              <w:tl2br w:val="nil"/>
              <w:tr2bl w:val="nil"/>
            </w:tcBorders>
            <w:vAlign w:val="center"/>
          </w:tcPr>
          <w:p w14:paraId="5FB87297">
            <w:pPr>
              <w:jc w:val="center"/>
              <w:rPr>
                <w:rFonts w:hint="eastAsia"/>
                <w:color w:val="000000" w:themeColor="text1"/>
                <w:sz w:val="24"/>
                <w:szCs w:val="24"/>
                <w:highlight w:val="none"/>
                <w:vertAlign w:val="baseline"/>
                <w:lang w:val="en-US" w:eastAsia="zh-CN"/>
                <w14:textFill>
                  <w14:solidFill>
                    <w14:schemeClr w14:val="tx1"/>
                  </w14:solidFill>
                </w14:textFill>
              </w:rPr>
            </w:pPr>
            <w:r>
              <w:rPr>
                <w:rFonts w:hint="eastAsia"/>
                <w:color w:val="000000" w:themeColor="text1"/>
                <w:sz w:val="24"/>
                <w:szCs w:val="24"/>
                <w:highlight w:val="none"/>
                <w:vertAlign w:val="baseline"/>
                <w:lang w:val="en-US" w:eastAsia="zh-CN"/>
                <w14:textFill>
                  <w14:solidFill>
                    <w14:schemeClr w14:val="tx1"/>
                  </w14:solidFill>
                </w14:textFill>
              </w:rPr>
              <w:t>序号</w:t>
            </w:r>
          </w:p>
        </w:tc>
        <w:tc>
          <w:tcPr>
            <w:tcW w:w="2002" w:type="pct"/>
            <w:tcBorders>
              <w:tl2br w:val="nil"/>
              <w:tr2bl w:val="nil"/>
            </w:tcBorders>
            <w:vAlign w:val="center"/>
          </w:tcPr>
          <w:p w14:paraId="5459B19B">
            <w:pPr>
              <w:jc w:val="center"/>
              <w:rPr>
                <w:rFonts w:hint="eastAsia"/>
                <w:color w:val="000000" w:themeColor="text1"/>
                <w:sz w:val="24"/>
                <w:szCs w:val="24"/>
                <w:highlight w:val="none"/>
                <w:vertAlign w:val="baseline"/>
                <w:lang w:val="en-US" w:eastAsia="zh-CN"/>
                <w14:textFill>
                  <w14:solidFill>
                    <w14:schemeClr w14:val="tx1"/>
                  </w14:solidFill>
                </w14:textFill>
              </w:rPr>
            </w:pPr>
            <w:r>
              <w:rPr>
                <w:rFonts w:hint="eastAsia"/>
                <w:color w:val="000000" w:themeColor="text1"/>
                <w:sz w:val="24"/>
                <w:szCs w:val="24"/>
                <w:highlight w:val="none"/>
                <w:vertAlign w:val="baseline"/>
                <w:lang w:val="en-US" w:eastAsia="zh-CN"/>
                <w14:textFill>
                  <w14:solidFill>
                    <w14:schemeClr w14:val="tx1"/>
                  </w14:solidFill>
                </w14:textFill>
              </w:rPr>
              <w:t>项目名称</w:t>
            </w:r>
          </w:p>
        </w:tc>
        <w:tc>
          <w:tcPr>
            <w:tcW w:w="1807" w:type="pct"/>
            <w:tcBorders>
              <w:tl2br w:val="nil"/>
              <w:tr2bl w:val="nil"/>
            </w:tcBorders>
            <w:vAlign w:val="center"/>
          </w:tcPr>
          <w:p w14:paraId="56A9F383">
            <w:pPr>
              <w:jc w:val="center"/>
              <w:rPr>
                <w:rFonts w:hint="default"/>
                <w:color w:val="000000" w:themeColor="text1"/>
                <w:sz w:val="24"/>
                <w:szCs w:val="24"/>
                <w:highlight w:val="none"/>
                <w:vertAlign w:val="baseline"/>
                <w:lang w:val="en-US" w:eastAsia="zh-CN"/>
                <w14:textFill>
                  <w14:solidFill>
                    <w14:schemeClr w14:val="tx1"/>
                  </w14:solidFill>
                </w14:textFill>
              </w:rPr>
            </w:pPr>
            <w:r>
              <w:rPr>
                <w:rFonts w:hint="eastAsia"/>
                <w:color w:val="000000" w:themeColor="text1"/>
                <w:sz w:val="24"/>
                <w:szCs w:val="24"/>
                <w:highlight w:val="none"/>
                <w:vertAlign w:val="baseline"/>
                <w:lang w:val="en-US" w:eastAsia="zh-CN"/>
                <w14:textFill>
                  <w14:solidFill>
                    <w14:schemeClr w14:val="tx1"/>
                  </w14:solidFill>
                </w14:textFill>
              </w:rPr>
              <w:t>报价（元）</w:t>
            </w:r>
          </w:p>
        </w:tc>
        <w:tc>
          <w:tcPr>
            <w:tcW w:w="792" w:type="pct"/>
            <w:tcBorders>
              <w:tl2br w:val="nil"/>
              <w:tr2bl w:val="nil"/>
            </w:tcBorders>
            <w:vAlign w:val="center"/>
          </w:tcPr>
          <w:p w14:paraId="7484B951">
            <w:pPr>
              <w:jc w:val="center"/>
              <w:rPr>
                <w:rFonts w:hint="eastAsia"/>
                <w:color w:val="000000" w:themeColor="text1"/>
                <w:sz w:val="24"/>
                <w:szCs w:val="24"/>
                <w:highlight w:val="none"/>
                <w:vertAlign w:val="baseline"/>
                <w:lang w:val="en-US" w:eastAsia="zh-CN"/>
                <w14:textFill>
                  <w14:solidFill>
                    <w14:schemeClr w14:val="tx1"/>
                  </w14:solidFill>
                </w14:textFill>
              </w:rPr>
            </w:pPr>
            <w:r>
              <w:rPr>
                <w:rFonts w:hint="eastAsia"/>
                <w:color w:val="000000" w:themeColor="text1"/>
                <w:sz w:val="24"/>
                <w:szCs w:val="24"/>
                <w:highlight w:val="none"/>
                <w:vertAlign w:val="baseline"/>
                <w:lang w:val="en-US" w:eastAsia="zh-CN"/>
                <w14:textFill>
                  <w14:solidFill>
                    <w14:schemeClr w14:val="tx1"/>
                  </w14:solidFill>
                </w14:textFill>
              </w:rPr>
              <w:t>备注</w:t>
            </w:r>
          </w:p>
        </w:tc>
      </w:tr>
      <w:tr w14:paraId="4E5731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397" w:type="pct"/>
            <w:tcBorders>
              <w:tl2br w:val="nil"/>
              <w:tr2bl w:val="nil"/>
            </w:tcBorders>
            <w:vAlign w:val="center"/>
          </w:tcPr>
          <w:p w14:paraId="00C0E79C">
            <w:pPr>
              <w:jc w:val="center"/>
              <w:rPr>
                <w:rFonts w:hint="default"/>
                <w:color w:val="000000" w:themeColor="text1"/>
                <w:sz w:val="24"/>
                <w:szCs w:val="24"/>
                <w:highlight w:val="none"/>
                <w:vertAlign w:val="baseline"/>
                <w:lang w:val="en-US" w:eastAsia="zh-CN"/>
                <w14:textFill>
                  <w14:solidFill>
                    <w14:schemeClr w14:val="tx1"/>
                  </w14:solidFill>
                </w14:textFill>
              </w:rPr>
            </w:pPr>
            <w:r>
              <w:rPr>
                <w:rFonts w:hint="eastAsia"/>
                <w:color w:val="000000" w:themeColor="text1"/>
                <w:sz w:val="24"/>
                <w:szCs w:val="24"/>
                <w:highlight w:val="none"/>
                <w:vertAlign w:val="baseline"/>
                <w:lang w:val="en-US" w:eastAsia="zh-CN"/>
                <w14:textFill>
                  <w14:solidFill>
                    <w14:schemeClr w14:val="tx1"/>
                  </w14:solidFill>
                </w14:textFill>
              </w:rPr>
              <w:t>1</w:t>
            </w:r>
          </w:p>
        </w:tc>
        <w:tc>
          <w:tcPr>
            <w:tcW w:w="2002" w:type="pct"/>
            <w:tcBorders>
              <w:tl2br w:val="nil"/>
              <w:tr2bl w:val="nil"/>
            </w:tcBorders>
            <w:vAlign w:val="center"/>
          </w:tcPr>
          <w:p w14:paraId="0E899A53">
            <w:pPr>
              <w:jc w:val="center"/>
              <w:rPr>
                <w:rFonts w:hint="eastAsia"/>
                <w:color w:val="000000" w:themeColor="text1"/>
                <w:sz w:val="24"/>
                <w:szCs w:val="24"/>
                <w:highlight w:val="none"/>
                <w:vertAlign w:val="baseline"/>
                <w:lang w:val="en-US" w:eastAsia="zh-CN"/>
                <w14:textFill>
                  <w14:solidFill>
                    <w14:schemeClr w14:val="tx1"/>
                  </w14:solidFill>
                </w14:textFill>
              </w:rPr>
            </w:pPr>
            <w:r>
              <w:rPr>
                <w:rFonts w:hint="eastAsia"/>
                <w:color w:val="000000" w:themeColor="text1"/>
                <w:sz w:val="24"/>
                <w:szCs w:val="24"/>
                <w:highlight w:val="none"/>
                <w:vertAlign w:val="baseline"/>
                <w:lang w:val="en-US" w:eastAsia="zh-CN"/>
                <w14:textFill>
                  <w14:solidFill>
                    <w14:schemeClr w14:val="tx1"/>
                  </w14:solidFill>
                </w14:textFill>
              </w:rPr>
              <w:t>金堂县第</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一人民医院老旧院落装修工程采购项目</w:t>
            </w:r>
          </w:p>
        </w:tc>
        <w:tc>
          <w:tcPr>
            <w:tcW w:w="1807" w:type="pct"/>
            <w:tcBorders>
              <w:tl2br w:val="nil"/>
              <w:tr2bl w:val="nil"/>
            </w:tcBorders>
            <w:vAlign w:val="center"/>
          </w:tcPr>
          <w:p w14:paraId="79A7DE69">
            <w:pPr>
              <w:jc w:val="center"/>
              <w:rPr>
                <w:rFonts w:hint="default"/>
                <w:color w:val="000000" w:themeColor="text1"/>
                <w:sz w:val="24"/>
                <w:szCs w:val="24"/>
                <w:highlight w:val="none"/>
                <w:u w:val="single"/>
                <w:vertAlign w:val="baseline"/>
                <w:lang w:val="en-US" w:eastAsia="zh-CN"/>
                <w14:textFill>
                  <w14:solidFill>
                    <w14:schemeClr w14:val="tx1"/>
                  </w14:solidFill>
                </w14:textFill>
              </w:rPr>
            </w:pPr>
          </w:p>
        </w:tc>
        <w:tc>
          <w:tcPr>
            <w:tcW w:w="792" w:type="pct"/>
            <w:tcBorders>
              <w:tl2br w:val="nil"/>
              <w:tr2bl w:val="nil"/>
            </w:tcBorders>
            <w:vAlign w:val="center"/>
          </w:tcPr>
          <w:p w14:paraId="72B85F5D">
            <w:pPr>
              <w:jc w:val="center"/>
              <w:rPr>
                <w:rFonts w:hint="eastAsia"/>
                <w:color w:val="000000" w:themeColor="text1"/>
                <w:sz w:val="24"/>
                <w:szCs w:val="24"/>
                <w:highlight w:val="none"/>
                <w:vertAlign w:val="baseline"/>
                <w:lang w:val="en-US" w:eastAsia="zh-CN"/>
                <w14:textFill>
                  <w14:solidFill>
                    <w14:schemeClr w14:val="tx1"/>
                  </w14:solidFill>
                </w14:textFill>
              </w:rPr>
            </w:pPr>
          </w:p>
        </w:tc>
      </w:tr>
      <w:tr w14:paraId="332643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9" w:hRule="atLeast"/>
        </w:trPr>
        <w:tc>
          <w:tcPr>
            <w:tcW w:w="5000" w:type="pct"/>
            <w:gridSpan w:val="4"/>
            <w:tcBorders>
              <w:tl2br w:val="nil"/>
              <w:tr2bl w:val="nil"/>
            </w:tcBorders>
            <w:vAlign w:val="center"/>
          </w:tcPr>
          <w:p w14:paraId="30859596">
            <w:pPr>
              <w:jc w:val="both"/>
              <w:rPr>
                <w:rFonts w:hint="eastAsia"/>
                <w:b/>
                <w:bCs/>
                <w:color w:val="000000" w:themeColor="text1"/>
                <w:sz w:val="24"/>
                <w:szCs w:val="24"/>
                <w:highlight w:val="none"/>
                <w:vertAlign w:val="baseline"/>
                <w:lang w:val="en-US" w:eastAsia="zh-CN"/>
                <w14:textFill>
                  <w14:solidFill>
                    <w14:schemeClr w14:val="tx1"/>
                  </w14:solidFill>
                </w14:textFill>
              </w:rPr>
            </w:pPr>
            <w:r>
              <w:rPr>
                <w:rFonts w:hint="eastAsia"/>
                <w:b/>
                <w:bCs/>
                <w:color w:val="000000" w:themeColor="text1"/>
                <w:sz w:val="24"/>
                <w:szCs w:val="24"/>
                <w:highlight w:val="none"/>
                <w:vertAlign w:val="baseline"/>
                <w:lang w:val="en-US" w:eastAsia="zh-CN"/>
                <w14:textFill>
                  <w14:solidFill>
                    <w14:schemeClr w14:val="tx1"/>
                  </w14:solidFill>
                </w14:textFill>
              </w:rPr>
              <w:t>报价：</w:t>
            </w:r>
          </w:p>
          <w:p w14:paraId="2AEAB45F">
            <w:pPr>
              <w:pStyle w:val="9"/>
              <w:ind w:firstLine="480" w:firstLineChars="200"/>
              <w:rPr>
                <w:rFonts w:hint="eastAsia"/>
                <w:color w:val="000000" w:themeColor="text1"/>
                <w:sz w:val="24"/>
                <w:szCs w:val="24"/>
                <w:highlight w:val="none"/>
                <w:u w:val="single"/>
                <w:vertAlign w:val="baseline"/>
                <w:lang w:val="en-US" w:eastAsia="zh-CN"/>
                <w14:textFill>
                  <w14:solidFill>
                    <w14:schemeClr w14:val="tx1"/>
                  </w14:solidFill>
                </w14:textFill>
              </w:rPr>
            </w:pPr>
            <w:r>
              <w:rPr>
                <w:rFonts w:hint="eastAsia"/>
                <w:color w:val="000000" w:themeColor="text1"/>
                <w:sz w:val="24"/>
                <w:szCs w:val="24"/>
                <w:highlight w:val="none"/>
                <w:vertAlign w:val="baseline"/>
                <w:lang w:val="en-US" w:eastAsia="zh-CN"/>
                <w14:textFill>
                  <w14:solidFill>
                    <w14:schemeClr w14:val="tx1"/>
                  </w14:solidFill>
                </w14:textFill>
              </w:rPr>
              <w:t>小写：</w:t>
            </w:r>
            <w:r>
              <w:rPr>
                <w:rFonts w:hint="eastAsia"/>
                <w:color w:val="000000" w:themeColor="text1"/>
                <w:sz w:val="24"/>
                <w:szCs w:val="24"/>
                <w:highlight w:val="none"/>
                <w:u w:val="single"/>
                <w:vertAlign w:val="baseline"/>
                <w:lang w:val="en-US" w:eastAsia="zh-CN"/>
                <w14:textFill>
                  <w14:solidFill>
                    <w14:schemeClr w14:val="tx1"/>
                  </w14:solidFill>
                </w14:textFill>
              </w:rPr>
              <w:t xml:space="preserve">            </w:t>
            </w:r>
          </w:p>
          <w:p w14:paraId="2E43A1A0">
            <w:pPr>
              <w:pStyle w:val="9"/>
              <w:ind w:firstLine="480" w:firstLineChars="200"/>
              <w:rPr>
                <w:rFonts w:hint="default"/>
                <w:color w:val="000000" w:themeColor="text1"/>
                <w:sz w:val="24"/>
                <w:szCs w:val="24"/>
                <w:highlight w:val="none"/>
                <w:u w:val="single"/>
                <w:lang w:val="en-US" w:eastAsia="zh-CN"/>
                <w14:textFill>
                  <w14:solidFill>
                    <w14:schemeClr w14:val="tx1"/>
                  </w14:solidFill>
                </w14:textFill>
              </w:rPr>
            </w:pPr>
            <w:r>
              <w:rPr>
                <w:rFonts w:hint="eastAsia" w:ascii="Times New Roman" w:hAnsi="Times New Roman" w:eastAsia="宋体" w:cs="Times New Roman"/>
                <w:i w:val="0"/>
                <w:color w:val="000000" w:themeColor="text1"/>
                <w:kern w:val="2"/>
                <w:sz w:val="24"/>
                <w:szCs w:val="24"/>
                <w:highlight w:val="none"/>
                <w:vertAlign w:val="baseline"/>
                <w:lang w:val="en-US" w:eastAsia="zh-CN" w:bidi="ar-SA"/>
                <w14:textFill>
                  <w14:solidFill>
                    <w14:schemeClr w14:val="tx1"/>
                  </w14:solidFill>
                </w14:textFill>
              </w:rPr>
              <w:t>大写：</w:t>
            </w:r>
            <w:r>
              <w:rPr>
                <w:rFonts w:hint="eastAsia" w:ascii="Times New Roman" w:hAnsi="Times New Roman" w:cs="Times New Roman"/>
                <w:i w:val="0"/>
                <w:color w:val="000000" w:themeColor="text1"/>
                <w:kern w:val="2"/>
                <w:sz w:val="24"/>
                <w:szCs w:val="24"/>
                <w:highlight w:val="none"/>
                <w:u w:val="single"/>
                <w:vertAlign w:val="baseline"/>
                <w:lang w:val="en-US" w:eastAsia="zh-CN" w:bidi="ar-SA"/>
                <w14:textFill>
                  <w14:solidFill>
                    <w14:schemeClr w14:val="tx1"/>
                  </w14:solidFill>
                </w14:textFill>
              </w:rPr>
              <w:t xml:space="preserve">            </w:t>
            </w:r>
          </w:p>
        </w:tc>
      </w:tr>
    </w:tbl>
    <w:p w14:paraId="5CBF518B">
      <w:pPr>
        <w:pStyle w:val="9"/>
        <w:ind w:firstLine="480" w:firstLineChars="200"/>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其他承诺：</w:t>
      </w:r>
    </w:p>
    <w:p w14:paraId="1A51E44C">
      <w:pPr>
        <w:pStyle w:val="30"/>
        <w:rPr>
          <w:rFonts w:hint="eastAsia"/>
          <w:color w:val="000000" w:themeColor="text1"/>
          <w:highlight w:val="none"/>
          <w14:textFill>
            <w14:solidFill>
              <w14:schemeClr w14:val="tx1"/>
            </w14:solidFill>
          </w14:textFill>
        </w:rPr>
      </w:pPr>
    </w:p>
    <w:p w14:paraId="47936ADC">
      <w:pPr>
        <w:spacing w:line="240" w:lineRule="auto"/>
        <w:rPr>
          <w:rFonts w:hint="eastAsia" w:ascii="宋体" w:hAnsi="宋体" w:eastAsia="宋体" w:cs="宋体"/>
          <w:b/>
          <w:bCs/>
          <w:color w:val="000000" w:themeColor="text1"/>
          <w:sz w:val="24"/>
          <w:highlight w:val="none"/>
          <w14:textFill>
            <w14:solidFill>
              <w14:schemeClr w14:val="tx1"/>
            </w14:solidFill>
          </w14:textFill>
        </w:rPr>
      </w:pPr>
    </w:p>
    <w:p w14:paraId="0E476866">
      <w:pPr>
        <w:spacing w:line="240" w:lineRule="auto"/>
        <w:rPr>
          <w:rFonts w:hint="eastAsia" w:ascii="宋体" w:hAnsi="宋体" w:eastAsia="宋体" w:cs="宋体"/>
          <w:b/>
          <w:bCs/>
          <w:color w:val="000000" w:themeColor="text1"/>
          <w:sz w:val="24"/>
          <w:highlight w:val="none"/>
          <w14:textFill>
            <w14:solidFill>
              <w14:schemeClr w14:val="tx1"/>
            </w14:solidFill>
          </w14:textFill>
        </w:rPr>
      </w:pPr>
    </w:p>
    <w:p w14:paraId="6267CD80">
      <w:pPr>
        <w:spacing w:line="360" w:lineRule="auto"/>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供应商名称：XXX（盖单位公章）</w:t>
      </w:r>
    </w:p>
    <w:p w14:paraId="6AAAA884">
      <w:pPr>
        <w:spacing w:line="360" w:lineRule="auto"/>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法定代表人/单位负责人或授权代表（签字或加盖个人印章）：XXX</w:t>
      </w:r>
    </w:p>
    <w:p w14:paraId="231478B0">
      <w:pPr>
        <w:pStyle w:val="9"/>
        <w:spacing w:after="0" w:line="360" w:lineRule="auto"/>
        <w:rPr>
          <w:rFonts w:hint="default" w:eastAsia="宋体"/>
          <w:color w:val="000000" w:themeColor="text1"/>
          <w:highlight w:val="none"/>
          <w:lang w:val="en-US" w:eastAsia="zh-CN"/>
          <w14:textFill>
            <w14:solidFill>
              <w14:schemeClr w14:val="tx1"/>
            </w14:solidFill>
          </w14:textFill>
        </w:rPr>
      </w:pPr>
      <w:r>
        <w:rPr>
          <w:rFonts w:hint="eastAsia" w:ascii="宋体" w:hAnsi="宋体" w:cs="宋体"/>
          <w:b/>
          <w:bCs/>
          <w:color w:val="000000" w:themeColor="text1"/>
          <w:sz w:val="24"/>
          <w:highlight w:val="none"/>
          <w:lang w:eastAsia="zh-CN"/>
          <w14:textFill>
            <w14:solidFill>
              <w14:schemeClr w14:val="tx1"/>
            </w14:solidFill>
          </w14:textFill>
        </w:rPr>
        <w:t>日期：</w:t>
      </w:r>
      <w:r>
        <w:rPr>
          <w:rFonts w:hint="eastAsia" w:ascii="宋体" w:hAnsi="宋体" w:cs="宋体"/>
          <w:b/>
          <w:bCs/>
          <w:color w:val="000000" w:themeColor="text1"/>
          <w:sz w:val="24"/>
          <w:highlight w:val="none"/>
          <w:lang w:val="en-US" w:eastAsia="zh-CN"/>
          <w14:textFill>
            <w14:solidFill>
              <w14:schemeClr w14:val="tx1"/>
            </w14:solidFill>
          </w14:textFill>
        </w:rPr>
        <w:t>XXX年XXX月XXX日</w:t>
      </w:r>
    </w:p>
    <w:p w14:paraId="21F8EFD7">
      <w:pPr>
        <w:spacing w:line="360" w:lineRule="auto"/>
        <w:rPr>
          <w:rFonts w:hint="eastAsia" w:ascii="宋体" w:hAnsi="宋体" w:eastAsia="宋体" w:cs="宋体"/>
          <w:b/>
          <w:bCs/>
          <w:color w:val="000000" w:themeColor="text1"/>
          <w:sz w:val="24"/>
          <w:highlight w:val="none"/>
          <w14:textFill>
            <w14:solidFill>
              <w14:schemeClr w14:val="tx1"/>
            </w14:solidFill>
          </w14:textFill>
        </w:rPr>
      </w:pPr>
    </w:p>
    <w:p w14:paraId="2FC3480D">
      <w:pPr>
        <w:spacing w:line="360" w:lineRule="auto"/>
        <w:jc w:val="both"/>
        <w:rPr>
          <w:rFonts w:asciiTheme="minorEastAsia" w:hAnsiTheme="minorEastAsia" w:eastAsiaTheme="minorEastAsia"/>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24"/>
          <w:highlight w:val="none"/>
          <w:lang w:eastAsia="zh-CN"/>
          <w14:textFill>
            <w14:solidFill>
              <w14:schemeClr w14:val="tx1"/>
            </w14:solidFill>
          </w14:textFill>
        </w:rPr>
        <w:t>注：供应商可自备。</w:t>
      </w:r>
      <w:r>
        <w:rPr>
          <w:rFonts w:hint="eastAsia" w:ascii="宋体" w:hAnsi="宋体" w:eastAsia="宋体" w:cs="宋体"/>
          <w:b/>
          <w:bCs/>
          <w:color w:val="000000" w:themeColor="text1"/>
          <w:sz w:val="24"/>
          <w:highlight w:val="none"/>
          <w14:textFill>
            <w14:solidFill>
              <w14:schemeClr w14:val="tx1"/>
            </w14:solidFill>
          </w14:textFill>
        </w:rPr>
        <w:br w:type="page"/>
      </w:r>
    </w:p>
    <w:bookmarkEnd w:id="94"/>
    <w:p w14:paraId="0999EACB">
      <w:pPr>
        <w:pStyle w:val="17"/>
        <w:rPr>
          <w:rFonts w:asciiTheme="minorEastAsia" w:hAnsiTheme="minorEastAsia" w:eastAsiaTheme="minorEastAsia"/>
          <w:color w:val="000000" w:themeColor="text1"/>
          <w:highlight w:val="none"/>
          <w14:textFill>
            <w14:solidFill>
              <w14:schemeClr w14:val="tx1"/>
            </w14:solidFill>
          </w14:textFill>
        </w:rPr>
      </w:pPr>
      <w:bookmarkStart w:id="95" w:name="_Toc531596553"/>
      <w:bookmarkStart w:id="96" w:name="_Toc509579147"/>
      <w:r>
        <w:rPr>
          <w:rFonts w:hint="eastAsia" w:asciiTheme="minorEastAsia" w:hAnsiTheme="minorEastAsia" w:eastAsiaTheme="minorEastAsia"/>
          <w:color w:val="000000" w:themeColor="text1"/>
          <w:highlight w:val="none"/>
          <w14:textFill>
            <w14:solidFill>
              <w14:schemeClr w14:val="tx1"/>
            </w14:solidFill>
          </w14:textFill>
        </w:rPr>
        <w:t>第八章评审方法</w:t>
      </w:r>
      <w:bookmarkEnd w:id="95"/>
      <w:bookmarkEnd w:id="96"/>
      <w:bookmarkStart w:id="97" w:name="_Toc209847065"/>
      <w:bookmarkStart w:id="98" w:name="_Toc101250640"/>
      <w:bookmarkStart w:id="99" w:name="_Toc101174146"/>
      <w:bookmarkStart w:id="100" w:name="_Toc101338358"/>
      <w:bookmarkStart w:id="101" w:name="_Toc430773924"/>
    </w:p>
    <w:p w14:paraId="4BCA8CD2">
      <w:pPr>
        <w:rPr>
          <w:color w:val="000000" w:themeColor="text1"/>
          <w:highlight w:val="none"/>
          <w14:textFill>
            <w14:solidFill>
              <w14:schemeClr w14:val="tx1"/>
            </w14:solidFill>
          </w14:textFill>
        </w:rPr>
      </w:pPr>
    </w:p>
    <w:p w14:paraId="7382E317">
      <w:pPr>
        <w:pStyle w:val="3"/>
        <w:keepNext w:val="0"/>
        <w:keepLines w:val="0"/>
        <w:spacing w:before="0" w:after="0" w:line="360" w:lineRule="auto"/>
        <w:ind w:firstLine="472" w:firstLineChars="196"/>
        <w:rPr>
          <w:rFonts w:asciiTheme="minorEastAsia" w:hAnsiTheme="minorEastAsia" w:eastAsiaTheme="minorEastAsia"/>
          <w:color w:val="000000" w:themeColor="text1"/>
          <w:sz w:val="24"/>
          <w:szCs w:val="24"/>
          <w:highlight w:val="none"/>
          <w14:textFill>
            <w14:solidFill>
              <w14:schemeClr w14:val="tx1"/>
            </w14:solidFill>
          </w14:textFill>
        </w:rPr>
      </w:pPr>
      <w:r>
        <w:rPr>
          <w:rFonts w:asciiTheme="minorEastAsia" w:hAnsiTheme="minorEastAsia" w:eastAsiaTheme="minorEastAsia"/>
          <w:color w:val="000000" w:themeColor="text1"/>
          <w:sz w:val="24"/>
          <w:szCs w:val="24"/>
          <w:highlight w:val="none"/>
          <w14:textFill>
            <w14:solidFill>
              <w14:schemeClr w14:val="tx1"/>
            </w14:solidFill>
          </w14:textFill>
        </w:rPr>
        <w:t>1.</w:t>
      </w:r>
      <w:r>
        <w:rPr>
          <w:rFonts w:hint="eastAsia" w:asciiTheme="minorEastAsia" w:hAnsiTheme="minorEastAsia" w:eastAsiaTheme="minorEastAsia"/>
          <w:color w:val="000000" w:themeColor="text1"/>
          <w:sz w:val="24"/>
          <w:szCs w:val="24"/>
          <w:highlight w:val="none"/>
          <w14:textFill>
            <w14:solidFill>
              <w14:schemeClr w14:val="tx1"/>
            </w14:solidFill>
          </w14:textFill>
        </w:rPr>
        <w:t>总则</w:t>
      </w:r>
    </w:p>
    <w:p w14:paraId="4BF3853B">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asciiTheme="minorEastAsia" w:hAnsiTheme="minorEastAsia" w:eastAsiaTheme="minorEastAsia"/>
          <w:b w:val="0"/>
          <w:color w:val="000000" w:themeColor="text1"/>
          <w:sz w:val="24"/>
          <w:szCs w:val="24"/>
          <w:highlight w:val="none"/>
          <w14:textFill>
            <w14:solidFill>
              <w14:schemeClr w14:val="tx1"/>
            </w14:solidFill>
          </w14:textFill>
        </w:rPr>
        <w:t xml:space="preserve">1.1 </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参照《中华人民共和国政府采购法》、《中华人民共和国政府采购法实施条例》、《政府采购竞争性磋商采购方式管理暂行办法》等法律制度，结合本采购项目特点制定本磋商方法。</w:t>
      </w:r>
    </w:p>
    <w:p w14:paraId="3FC4168B">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asciiTheme="minorEastAsia" w:hAnsiTheme="minorEastAsia" w:eastAsiaTheme="minorEastAsia"/>
          <w:b w:val="0"/>
          <w:color w:val="000000" w:themeColor="text1"/>
          <w:sz w:val="24"/>
          <w:szCs w:val="24"/>
          <w:highlight w:val="none"/>
          <w14:textFill>
            <w14:solidFill>
              <w14:schemeClr w14:val="tx1"/>
            </w14:solidFill>
          </w14:textFill>
        </w:rPr>
        <w:t xml:space="preserve">1.2 </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磋商工作由</w:t>
      </w:r>
      <w:r>
        <w:rPr>
          <w:rFonts w:hint="eastAsia" w:asciiTheme="minorEastAsia" w:hAnsiTheme="minorEastAsia" w:eastAsiaTheme="minorEastAsia"/>
          <w:b w:val="0"/>
          <w:color w:val="000000" w:themeColor="text1"/>
          <w:sz w:val="24"/>
          <w:szCs w:val="24"/>
          <w:highlight w:val="none"/>
          <w:lang w:val="en-US" w:eastAsia="zh-CN"/>
          <w14:textFill>
            <w14:solidFill>
              <w14:schemeClr w14:val="tx1"/>
            </w14:solidFill>
          </w14:textFill>
        </w:rPr>
        <w:t>采购人</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负责组织，具体磋商由</w:t>
      </w:r>
      <w:r>
        <w:rPr>
          <w:rFonts w:hint="eastAsia" w:asciiTheme="minorEastAsia" w:hAnsiTheme="minorEastAsia" w:eastAsiaTheme="minorEastAsia"/>
          <w:b w:val="0"/>
          <w:color w:val="000000" w:themeColor="text1"/>
          <w:sz w:val="24"/>
          <w:szCs w:val="24"/>
          <w:highlight w:val="none"/>
          <w:lang w:val="en-US" w:eastAsia="zh-CN"/>
          <w14:textFill>
            <w14:solidFill>
              <w14:schemeClr w14:val="tx1"/>
            </w14:solidFill>
          </w14:textFill>
        </w:rPr>
        <w:t>采购人</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依法组建的磋商小组负责。</w:t>
      </w:r>
    </w:p>
    <w:p w14:paraId="6BFB6913">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asciiTheme="minorEastAsia" w:hAnsiTheme="minorEastAsia" w:eastAsiaTheme="minorEastAsia"/>
          <w:b w:val="0"/>
          <w:color w:val="000000" w:themeColor="text1"/>
          <w:sz w:val="24"/>
          <w:szCs w:val="24"/>
          <w:highlight w:val="none"/>
          <w14:textFill>
            <w14:solidFill>
              <w14:schemeClr w14:val="tx1"/>
            </w14:solidFill>
          </w14:textFill>
        </w:rPr>
        <w:t xml:space="preserve">1.3 </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磋商工作应遵循公平、公正、科学及择优的原则，并以相同的磋商程序和标准对待所有的供应商。</w:t>
      </w:r>
    </w:p>
    <w:p w14:paraId="49E86000">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asciiTheme="minorEastAsia" w:hAnsiTheme="minorEastAsia" w:eastAsiaTheme="minorEastAsia"/>
          <w:b w:val="0"/>
          <w:color w:val="000000" w:themeColor="text1"/>
          <w:sz w:val="24"/>
          <w:szCs w:val="24"/>
          <w:highlight w:val="none"/>
          <w14:textFill>
            <w14:solidFill>
              <w14:schemeClr w14:val="tx1"/>
            </w14:solidFill>
          </w14:textFill>
        </w:rPr>
        <w:t xml:space="preserve">1.4 </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磋商小组按照磋商文件规定的磋商程序、评分方法和标准进行评审，并独立履行下列职责：</w:t>
      </w:r>
    </w:p>
    <w:p w14:paraId="7D608BFC">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color w:val="000000" w:themeColor="text1"/>
          <w:sz w:val="24"/>
          <w:szCs w:val="24"/>
          <w:highlight w:val="none"/>
          <w14:textFill>
            <w14:solidFill>
              <w14:schemeClr w14:val="tx1"/>
            </w14:solidFill>
          </w14:textFill>
        </w:rPr>
        <w:t>（一）熟悉和理解磋商文件，确定磋商文件内容是否违反国家有关强制性规定或者磋商文件存在歧义、重大缺陷，根据需要书面要求采购人对磋商文件作出解释；</w:t>
      </w:r>
    </w:p>
    <w:p w14:paraId="7F84B3F8">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color w:val="000000" w:themeColor="text1"/>
          <w:sz w:val="24"/>
          <w:szCs w:val="24"/>
          <w:highlight w:val="none"/>
          <w14:textFill>
            <w14:solidFill>
              <w14:schemeClr w14:val="tx1"/>
            </w14:solidFill>
          </w14:textFill>
        </w:rPr>
        <w:t>（二）审查供应商响应文件是否满足磋商文件要求，并作出公正评价；</w:t>
      </w:r>
    </w:p>
    <w:p w14:paraId="7B464EFC">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color w:val="000000" w:themeColor="text1"/>
          <w:sz w:val="24"/>
          <w:szCs w:val="24"/>
          <w:highlight w:val="none"/>
          <w14:textFill>
            <w14:solidFill>
              <w14:schemeClr w14:val="tx1"/>
            </w14:solidFill>
          </w14:textFill>
        </w:rPr>
        <w:t>（三）根据需要要求供应商对响应文件中含义不明确、同类问题表述不一致或者有明显文字和计算错误的内容等作出必要的澄清、说明或者更正；</w:t>
      </w:r>
    </w:p>
    <w:p w14:paraId="70513625">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color w:val="000000" w:themeColor="text1"/>
          <w:sz w:val="24"/>
          <w:szCs w:val="24"/>
          <w:highlight w:val="none"/>
          <w14:textFill>
            <w14:solidFill>
              <w14:schemeClr w14:val="tx1"/>
            </w14:solidFill>
          </w14:textFill>
        </w:rPr>
        <w:t>（四）推荐成交供应商，或者受采购人委托确定成交供应商；</w:t>
      </w:r>
    </w:p>
    <w:p w14:paraId="44D221AE">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color w:val="000000" w:themeColor="text1"/>
          <w:sz w:val="24"/>
          <w:szCs w:val="24"/>
          <w:highlight w:val="none"/>
          <w14:textFill>
            <w14:solidFill>
              <w14:schemeClr w14:val="tx1"/>
            </w14:solidFill>
          </w14:textFill>
        </w:rPr>
        <w:t>（五）起草评审报告并进行签署；</w:t>
      </w:r>
    </w:p>
    <w:p w14:paraId="4D4EDD8F">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color w:val="000000" w:themeColor="text1"/>
          <w:sz w:val="24"/>
          <w:szCs w:val="24"/>
          <w:highlight w:val="none"/>
          <w14:textFill>
            <w14:solidFill>
              <w14:schemeClr w14:val="tx1"/>
            </w14:solidFill>
          </w14:textFill>
        </w:rPr>
        <w:t>（六）向采购人或者其他监督部门报告非法干预评审工作的行为；</w:t>
      </w:r>
    </w:p>
    <w:p w14:paraId="170C0CBE">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color w:val="000000" w:themeColor="text1"/>
          <w:sz w:val="24"/>
          <w:szCs w:val="24"/>
          <w:highlight w:val="none"/>
          <w14:textFill>
            <w14:solidFill>
              <w14:schemeClr w14:val="tx1"/>
            </w14:solidFill>
          </w14:textFill>
        </w:rPr>
        <w:t>（七）法律、法规和规章规定的其他职责。</w:t>
      </w:r>
    </w:p>
    <w:p w14:paraId="0CDD6DA2">
      <w:pPr>
        <w:pStyle w:val="3"/>
        <w:keepNext w:val="0"/>
        <w:keepLines w:val="0"/>
        <w:spacing w:before="0" w:after="0" w:line="360" w:lineRule="auto"/>
        <w:ind w:firstLine="470" w:firstLineChars="196"/>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b w:val="0"/>
          <w:color w:val="000000" w:themeColor="text1"/>
          <w:sz w:val="24"/>
          <w:szCs w:val="24"/>
          <w:highlight w:val="none"/>
          <w14:textFill>
            <w14:solidFill>
              <w14:schemeClr w14:val="tx1"/>
            </w14:solidFill>
          </w14:textFill>
        </w:rPr>
        <w:t>1.5</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磋商过程独立、保密。供应商非法干预磋商过程的，其响应文件作无效处理。</w:t>
      </w:r>
    </w:p>
    <w:p w14:paraId="53070A07">
      <w:pPr>
        <w:pStyle w:val="3"/>
        <w:keepNext w:val="0"/>
        <w:keepLines w:val="0"/>
        <w:spacing w:before="0" w:after="0" w:line="360" w:lineRule="auto"/>
        <w:ind w:firstLine="472" w:firstLineChars="196"/>
        <w:rPr>
          <w:rFonts w:asciiTheme="minorEastAsia" w:hAnsiTheme="minorEastAsia" w:eastAsiaTheme="minorEastAsia"/>
          <w:color w:val="000000" w:themeColor="text1"/>
          <w:sz w:val="24"/>
          <w:szCs w:val="24"/>
          <w:highlight w:val="none"/>
          <w14:textFill>
            <w14:solidFill>
              <w14:schemeClr w14:val="tx1"/>
            </w14:solidFill>
          </w14:textFill>
        </w:rPr>
      </w:pPr>
      <w:r>
        <w:rPr>
          <w:rFonts w:asciiTheme="minorEastAsia" w:hAnsiTheme="minorEastAsia" w:eastAsiaTheme="minorEastAsia"/>
          <w:color w:val="000000" w:themeColor="text1"/>
          <w:sz w:val="24"/>
          <w:szCs w:val="24"/>
          <w:highlight w:val="none"/>
          <w14:textFill>
            <w14:solidFill>
              <w14:schemeClr w14:val="tx1"/>
            </w14:solidFill>
          </w14:textFill>
        </w:rPr>
        <w:t>2.</w:t>
      </w:r>
      <w:r>
        <w:rPr>
          <w:rFonts w:hint="eastAsia" w:asciiTheme="minorEastAsia" w:hAnsiTheme="minorEastAsia" w:eastAsiaTheme="minorEastAsia"/>
          <w:color w:val="000000" w:themeColor="text1"/>
          <w:sz w:val="24"/>
          <w:szCs w:val="24"/>
          <w:highlight w:val="none"/>
          <w14:textFill>
            <w14:solidFill>
              <w14:schemeClr w14:val="tx1"/>
            </w14:solidFill>
          </w14:textFill>
        </w:rPr>
        <w:t>磋商程序</w:t>
      </w:r>
    </w:p>
    <w:p w14:paraId="30F78D1C">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asciiTheme="minorEastAsia" w:hAnsiTheme="minorEastAsia" w:eastAsiaTheme="minorEastAsia"/>
          <w:b w:val="0"/>
          <w:color w:val="000000" w:themeColor="text1"/>
          <w:sz w:val="24"/>
          <w:szCs w:val="24"/>
          <w:highlight w:val="none"/>
          <w14:textFill>
            <w14:solidFill>
              <w14:schemeClr w14:val="tx1"/>
            </w14:solidFill>
          </w14:textFill>
        </w:rPr>
        <w:t>2.1</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审查磋商文件和停止评审。</w:t>
      </w:r>
    </w:p>
    <w:p w14:paraId="43AE996A">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asciiTheme="minorEastAsia" w:hAnsiTheme="minorEastAsia" w:eastAsiaTheme="minorEastAsia"/>
          <w:b w:val="0"/>
          <w:color w:val="000000" w:themeColor="text1"/>
          <w:sz w:val="24"/>
          <w:szCs w:val="24"/>
          <w:highlight w:val="none"/>
          <w14:textFill>
            <w14:solidFill>
              <w14:schemeClr w14:val="tx1"/>
            </w14:solidFill>
          </w14:textFill>
        </w:rPr>
        <w:t xml:space="preserve">2.1.1 </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磋商小组正式评审前，应当对磋商文件进行熟悉和理解，内容主要包括磋商文件中供应商资格条件要求、采购项目技术、服务和商务要求、磋商办法和标准、采购政策要求以及采购合同主要条款等。</w:t>
      </w:r>
    </w:p>
    <w:p w14:paraId="4D13D3A9">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asciiTheme="minorEastAsia" w:hAnsiTheme="minorEastAsia" w:eastAsiaTheme="minorEastAsia"/>
          <w:b w:val="0"/>
          <w:color w:val="000000" w:themeColor="text1"/>
          <w:sz w:val="24"/>
          <w:szCs w:val="24"/>
          <w:highlight w:val="none"/>
          <w14:textFill>
            <w14:solidFill>
              <w14:schemeClr w14:val="tx1"/>
            </w14:solidFill>
          </w14:textFill>
        </w:rPr>
        <w:t xml:space="preserve">2.1.2 </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本磋商文件有下列情形之一的，磋商小组应当停止评审：</w:t>
      </w:r>
    </w:p>
    <w:p w14:paraId="00962179">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color w:val="000000" w:themeColor="text1"/>
          <w:sz w:val="24"/>
          <w:szCs w:val="24"/>
          <w:highlight w:val="none"/>
          <w14:textFill>
            <w14:solidFill>
              <w14:schemeClr w14:val="tx1"/>
            </w14:solidFill>
          </w14:textFill>
        </w:rPr>
        <w:t>（</w:t>
      </w:r>
      <w:r>
        <w:rPr>
          <w:rFonts w:asciiTheme="minorEastAsia" w:hAnsiTheme="minorEastAsia" w:eastAsiaTheme="minorEastAsia"/>
          <w:b w:val="0"/>
          <w:color w:val="000000" w:themeColor="text1"/>
          <w:sz w:val="24"/>
          <w:szCs w:val="24"/>
          <w:highlight w:val="none"/>
          <w14:textFill>
            <w14:solidFill>
              <w14:schemeClr w14:val="tx1"/>
            </w14:solidFill>
          </w14:textFill>
        </w:rPr>
        <w:t>1</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）磋商文件的规定存在歧义、重大缺陷的；</w:t>
      </w:r>
    </w:p>
    <w:p w14:paraId="58B7D3EA">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color w:val="000000" w:themeColor="text1"/>
          <w:sz w:val="24"/>
          <w:szCs w:val="24"/>
          <w:highlight w:val="none"/>
          <w14:textFill>
            <w14:solidFill>
              <w14:schemeClr w14:val="tx1"/>
            </w14:solidFill>
          </w14:textFill>
        </w:rPr>
        <w:t>（</w:t>
      </w:r>
      <w:r>
        <w:rPr>
          <w:rFonts w:asciiTheme="minorEastAsia" w:hAnsiTheme="minorEastAsia" w:eastAsiaTheme="minorEastAsia"/>
          <w:b w:val="0"/>
          <w:color w:val="000000" w:themeColor="text1"/>
          <w:sz w:val="24"/>
          <w:szCs w:val="24"/>
          <w:highlight w:val="none"/>
          <w14:textFill>
            <w14:solidFill>
              <w14:schemeClr w14:val="tx1"/>
            </w14:solidFill>
          </w14:textFill>
        </w:rPr>
        <w:t>2</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）磋商文件明显以不合理条件对供应商实行差别待遇或者歧视待遇的；</w:t>
      </w:r>
    </w:p>
    <w:p w14:paraId="5E214213">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color w:val="000000" w:themeColor="text1"/>
          <w:sz w:val="24"/>
          <w:szCs w:val="24"/>
          <w:highlight w:val="none"/>
          <w14:textFill>
            <w14:solidFill>
              <w14:schemeClr w14:val="tx1"/>
            </w14:solidFill>
          </w14:textFill>
        </w:rPr>
        <w:t>（</w:t>
      </w:r>
      <w:r>
        <w:rPr>
          <w:rFonts w:asciiTheme="minorEastAsia" w:hAnsiTheme="minorEastAsia" w:eastAsiaTheme="minorEastAsia"/>
          <w:b w:val="0"/>
          <w:color w:val="000000" w:themeColor="text1"/>
          <w:sz w:val="24"/>
          <w:szCs w:val="24"/>
          <w:highlight w:val="none"/>
          <w14:textFill>
            <w14:solidFill>
              <w14:schemeClr w14:val="tx1"/>
            </w14:solidFill>
          </w14:textFill>
        </w:rPr>
        <w:t>3</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）采购项目属于国家规定的优先、强制采购范围，但是磋商文件未依法体现优先、强制采购相关规定的；</w:t>
      </w:r>
    </w:p>
    <w:p w14:paraId="15482236">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color w:val="000000" w:themeColor="text1"/>
          <w:sz w:val="24"/>
          <w:szCs w:val="24"/>
          <w:highlight w:val="none"/>
          <w14:textFill>
            <w14:solidFill>
              <w14:schemeClr w14:val="tx1"/>
            </w14:solidFill>
          </w14:textFill>
        </w:rPr>
        <w:t>（</w:t>
      </w:r>
      <w:r>
        <w:rPr>
          <w:rFonts w:asciiTheme="minorEastAsia" w:hAnsiTheme="minorEastAsia" w:eastAsiaTheme="minorEastAsia"/>
          <w:b w:val="0"/>
          <w:color w:val="000000" w:themeColor="text1"/>
          <w:sz w:val="24"/>
          <w:szCs w:val="24"/>
          <w:highlight w:val="none"/>
          <w14:textFill>
            <w14:solidFill>
              <w14:schemeClr w14:val="tx1"/>
            </w14:solidFill>
          </w14:textFill>
        </w:rPr>
        <w:t>4</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）采购项目属于政府采购促进中小企业发展的范围，但是磋商文件未依法体现促进中小企业发展相关规定的；</w:t>
      </w:r>
    </w:p>
    <w:p w14:paraId="0F0E1935">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color w:val="000000" w:themeColor="text1"/>
          <w:sz w:val="24"/>
          <w:szCs w:val="24"/>
          <w:highlight w:val="none"/>
          <w14:textFill>
            <w14:solidFill>
              <w14:schemeClr w14:val="tx1"/>
            </w14:solidFill>
          </w14:textFill>
        </w:rPr>
        <w:t>（</w:t>
      </w:r>
      <w:r>
        <w:rPr>
          <w:rFonts w:asciiTheme="minorEastAsia" w:hAnsiTheme="minorEastAsia" w:eastAsiaTheme="minorEastAsia"/>
          <w:b w:val="0"/>
          <w:color w:val="000000" w:themeColor="text1"/>
          <w:sz w:val="24"/>
          <w:szCs w:val="24"/>
          <w:highlight w:val="none"/>
          <w14:textFill>
            <w14:solidFill>
              <w14:schemeClr w14:val="tx1"/>
            </w14:solidFill>
          </w14:textFill>
        </w:rPr>
        <w:t>5</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）磋商文件将供应商的资格条件列为评分因素的；</w:t>
      </w:r>
    </w:p>
    <w:p w14:paraId="48F94042">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color w:val="000000" w:themeColor="text1"/>
          <w:sz w:val="24"/>
          <w:szCs w:val="24"/>
          <w:highlight w:val="none"/>
          <w14:textFill>
            <w14:solidFill>
              <w14:schemeClr w14:val="tx1"/>
            </w14:solidFill>
          </w14:textFill>
        </w:rPr>
        <w:t>（</w:t>
      </w:r>
      <w:r>
        <w:rPr>
          <w:rFonts w:asciiTheme="minorEastAsia" w:hAnsiTheme="minorEastAsia" w:eastAsiaTheme="minorEastAsia"/>
          <w:b w:val="0"/>
          <w:color w:val="000000" w:themeColor="text1"/>
          <w:sz w:val="24"/>
          <w:szCs w:val="24"/>
          <w:highlight w:val="none"/>
          <w14:textFill>
            <w14:solidFill>
              <w14:schemeClr w14:val="tx1"/>
            </w14:solidFill>
          </w14:textFill>
        </w:rPr>
        <w:t>6</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）磋商文件载明的成交原则不合法的；</w:t>
      </w:r>
    </w:p>
    <w:p w14:paraId="67874EDE">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color w:val="000000" w:themeColor="text1"/>
          <w:sz w:val="24"/>
          <w:szCs w:val="24"/>
          <w:highlight w:val="none"/>
          <w14:textFill>
            <w14:solidFill>
              <w14:schemeClr w14:val="tx1"/>
            </w14:solidFill>
          </w14:textFill>
        </w:rPr>
        <w:t>（</w:t>
      </w:r>
      <w:r>
        <w:rPr>
          <w:rFonts w:asciiTheme="minorEastAsia" w:hAnsiTheme="minorEastAsia" w:eastAsiaTheme="minorEastAsia"/>
          <w:b w:val="0"/>
          <w:color w:val="000000" w:themeColor="text1"/>
          <w:sz w:val="24"/>
          <w:szCs w:val="24"/>
          <w:highlight w:val="none"/>
          <w14:textFill>
            <w14:solidFill>
              <w14:schemeClr w14:val="tx1"/>
            </w14:solidFill>
          </w14:textFill>
        </w:rPr>
        <w:t>7</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）磋商文件有违反国家其他有关强制性规定的情形。</w:t>
      </w:r>
    </w:p>
    <w:p w14:paraId="47E2B0CB">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asciiTheme="minorEastAsia" w:hAnsiTheme="minorEastAsia" w:eastAsiaTheme="minorEastAsia"/>
          <w:b w:val="0"/>
          <w:color w:val="000000" w:themeColor="text1"/>
          <w:sz w:val="24"/>
          <w:szCs w:val="24"/>
          <w:highlight w:val="none"/>
          <w14:textFill>
            <w14:solidFill>
              <w14:schemeClr w14:val="tx1"/>
            </w14:solidFill>
          </w14:textFill>
        </w:rPr>
        <w:t xml:space="preserve">2.1.3 </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出现本条</w:t>
      </w:r>
      <w:r>
        <w:rPr>
          <w:rFonts w:asciiTheme="minorEastAsia" w:hAnsiTheme="minorEastAsia" w:eastAsiaTheme="minorEastAsia"/>
          <w:b w:val="0"/>
          <w:color w:val="000000" w:themeColor="text1"/>
          <w:sz w:val="24"/>
          <w:szCs w:val="24"/>
          <w:highlight w:val="none"/>
          <w14:textFill>
            <w14:solidFill>
              <w14:schemeClr w14:val="tx1"/>
            </w14:solidFill>
          </w14:textFill>
        </w:rPr>
        <w:t>2.1.2</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规定应当停止评审情形的，磋商小组应当向采购组织单位书面书面说明情况。除本条规定的情形外，磋商小组不得以任何方式和理由停止评审。</w:t>
      </w:r>
    </w:p>
    <w:p w14:paraId="4D13238C">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asciiTheme="minorEastAsia" w:hAnsiTheme="minorEastAsia" w:eastAsiaTheme="minorEastAsia"/>
          <w:b w:val="0"/>
          <w:color w:val="000000" w:themeColor="text1"/>
          <w:sz w:val="24"/>
          <w:szCs w:val="24"/>
          <w:highlight w:val="none"/>
          <w14:textFill>
            <w14:solidFill>
              <w14:schemeClr w14:val="tx1"/>
            </w14:solidFill>
          </w14:textFill>
        </w:rPr>
        <w:t>2.2</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资格性审查。</w:t>
      </w:r>
    </w:p>
    <w:p w14:paraId="1DED0B93">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asciiTheme="minorEastAsia" w:hAnsiTheme="minorEastAsia" w:eastAsiaTheme="minorEastAsia"/>
          <w:b w:val="0"/>
          <w:color w:val="000000" w:themeColor="text1"/>
          <w:sz w:val="24"/>
          <w:szCs w:val="24"/>
          <w:highlight w:val="none"/>
          <w14:textFill>
            <w14:solidFill>
              <w14:schemeClr w14:val="tx1"/>
            </w14:solidFill>
          </w14:textFill>
        </w:rPr>
        <w:t>2.2.1</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本项目需要磋商小组进行资格性检查。</w:t>
      </w:r>
    </w:p>
    <w:p w14:paraId="1454B10D">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color w:val="000000" w:themeColor="text1"/>
          <w:sz w:val="24"/>
          <w:szCs w:val="24"/>
          <w:highlight w:val="none"/>
          <w14:textFill>
            <w14:solidFill>
              <w14:schemeClr w14:val="tx1"/>
            </w14:solidFill>
          </w14:textFill>
        </w:rPr>
        <w:t>磋商小组应依据法律法规和磋商文件的规定，对响应文件是否按照规定要求提供资格性证明材料、是否属于禁止参加磋商的供应商等进行审查，以确定供应商是否具备磋商资格。</w:t>
      </w:r>
    </w:p>
    <w:p w14:paraId="03D04FF8">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asciiTheme="minorEastAsia" w:hAnsiTheme="minorEastAsia" w:eastAsiaTheme="minorEastAsia"/>
          <w:b w:val="0"/>
          <w:color w:val="000000" w:themeColor="text1"/>
          <w:sz w:val="24"/>
          <w:szCs w:val="24"/>
          <w:highlight w:val="none"/>
          <w14:textFill>
            <w14:solidFill>
              <w14:schemeClr w14:val="tx1"/>
            </w14:solidFill>
          </w14:textFill>
        </w:rPr>
        <w:t>2.2.2</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资格性审查结束后，磋商小组应当出具资格性审查报告，没有通过资格审查的供应商，磋商小组应当在资格审查报告中说明原因。</w:t>
      </w:r>
    </w:p>
    <w:p w14:paraId="3FC6D80A">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asciiTheme="minorEastAsia" w:hAnsiTheme="minorEastAsia" w:eastAsiaTheme="minorEastAsia"/>
          <w:b w:val="0"/>
          <w:color w:val="000000" w:themeColor="text1"/>
          <w:sz w:val="24"/>
          <w:szCs w:val="24"/>
          <w:highlight w:val="none"/>
          <w14:textFill>
            <w14:solidFill>
              <w14:schemeClr w14:val="tx1"/>
            </w14:solidFill>
          </w14:textFill>
        </w:rPr>
        <w:t>2.2.3</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采购人宣布未通过资格性审查的供应商名单时，应当告知供应商未通过审查的原因。</w:t>
      </w:r>
    </w:p>
    <w:p w14:paraId="0406468B">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asciiTheme="minorEastAsia" w:hAnsiTheme="minorEastAsia" w:eastAsiaTheme="minorEastAsia"/>
          <w:b w:val="0"/>
          <w:color w:val="000000" w:themeColor="text1"/>
          <w:sz w:val="24"/>
          <w:szCs w:val="24"/>
          <w:highlight w:val="none"/>
          <w14:textFill>
            <w14:solidFill>
              <w14:schemeClr w14:val="tx1"/>
            </w14:solidFill>
          </w14:textFill>
        </w:rPr>
        <w:t xml:space="preserve">2.3 </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通过资格性审查的供应商不足</w:t>
      </w:r>
      <w:r>
        <w:rPr>
          <w:rFonts w:asciiTheme="minorEastAsia" w:hAnsiTheme="minorEastAsia" w:eastAsiaTheme="minorEastAsia"/>
          <w:b w:val="0"/>
          <w:color w:val="000000" w:themeColor="text1"/>
          <w:sz w:val="24"/>
          <w:szCs w:val="24"/>
          <w:highlight w:val="none"/>
          <w14:textFill>
            <w14:solidFill>
              <w14:schemeClr w14:val="tx1"/>
            </w14:solidFill>
          </w14:textFill>
        </w:rPr>
        <w:t>2</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家的，终止本次采购活动，并发布终止采购活动公告。</w:t>
      </w:r>
    </w:p>
    <w:p w14:paraId="2595FEFB">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asciiTheme="minorEastAsia" w:hAnsiTheme="minorEastAsia" w:eastAsiaTheme="minorEastAsia"/>
          <w:b w:val="0"/>
          <w:color w:val="000000" w:themeColor="text1"/>
          <w:sz w:val="24"/>
          <w:szCs w:val="24"/>
          <w:highlight w:val="none"/>
          <w14:textFill>
            <w14:solidFill>
              <w14:schemeClr w14:val="tx1"/>
            </w14:solidFill>
          </w14:textFill>
        </w:rPr>
        <w:t>2.4</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磋商。</w:t>
      </w:r>
    </w:p>
    <w:p w14:paraId="56CE0015">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asciiTheme="minorEastAsia" w:hAnsiTheme="minorEastAsia" w:eastAsiaTheme="minorEastAsia"/>
          <w:b w:val="0"/>
          <w:color w:val="000000" w:themeColor="text1"/>
          <w:sz w:val="24"/>
          <w:szCs w:val="24"/>
          <w:highlight w:val="none"/>
          <w14:textFill>
            <w14:solidFill>
              <w14:schemeClr w14:val="tx1"/>
            </w14:solidFill>
          </w14:textFill>
        </w:rPr>
        <w:t>2.4.1</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磋商小组所有成员集中与单一供应商分别进行一轮或多轮磋商，并给予所有参加磋商的供应商平等的磋商机会。磋商顺序以现场抽签的方式确定。磋商过程中，磋商小组可以根据磋商情况调整磋商轮次。</w:t>
      </w:r>
    </w:p>
    <w:p w14:paraId="519859AB">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asciiTheme="minorEastAsia" w:hAnsiTheme="minorEastAsia" w:eastAsiaTheme="minorEastAsia"/>
          <w:b w:val="0"/>
          <w:color w:val="000000" w:themeColor="text1"/>
          <w:sz w:val="24"/>
          <w:szCs w:val="24"/>
          <w:highlight w:val="none"/>
          <w14:textFill>
            <w14:solidFill>
              <w14:schemeClr w14:val="tx1"/>
            </w14:solidFill>
          </w14:textFill>
        </w:rPr>
        <w:t>2.4.2</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每轮磋商开始前，磋商小组应根据磋商文件的规定，并结合各供应商的响应文件拟定磋商内容。</w:t>
      </w:r>
    </w:p>
    <w:p w14:paraId="54E9DA1D">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asciiTheme="minorEastAsia" w:hAnsiTheme="minorEastAsia" w:eastAsiaTheme="minorEastAsia"/>
          <w:b w:val="0"/>
          <w:color w:val="000000" w:themeColor="text1"/>
          <w:sz w:val="24"/>
          <w:szCs w:val="24"/>
          <w:highlight w:val="none"/>
          <w14:textFill>
            <w14:solidFill>
              <w14:schemeClr w14:val="tx1"/>
            </w14:solidFill>
          </w14:textFill>
        </w:rPr>
        <w:t>2.4.3</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在磋商过程中，磋商小组可以根据磋商文件和磋商情况实质性变动磋商文件的技术、服务要求以及合同草案条款，但不得变动磋商文件中的其他内容。实质性变动的内容，须经采购人代表书面确认。</w:t>
      </w:r>
    </w:p>
    <w:p w14:paraId="4AD37593">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asciiTheme="minorEastAsia" w:hAnsiTheme="minorEastAsia" w:eastAsiaTheme="minorEastAsia"/>
          <w:b w:val="0"/>
          <w:color w:val="000000" w:themeColor="text1"/>
          <w:sz w:val="24"/>
          <w:szCs w:val="24"/>
          <w:highlight w:val="none"/>
          <w14:textFill>
            <w14:solidFill>
              <w14:schemeClr w14:val="tx1"/>
            </w14:solidFill>
          </w14:textFill>
        </w:rPr>
        <w:t>2.4.4</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对磋商文件作出的实质性变动是磋商文件的有效组成部分，磋商小组应当及时以书面形式同时通知所有参加磋商的供应商。</w:t>
      </w:r>
    </w:p>
    <w:p w14:paraId="4D8A2A87">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asciiTheme="minorEastAsia" w:hAnsiTheme="minorEastAsia" w:eastAsiaTheme="minorEastAsia"/>
          <w:b w:val="0"/>
          <w:color w:val="000000" w:themeColor="text1"/>
          <w:sz w:val="24"/>
          <w:szCs w:val="24"/>
          <w:highlight w:val="none"/>
          <w14:textFill>
            <w14:solidFill>
              <w14:schemeClr w14:val="tx1"/>
            </w14:solidFill>
          </w14:textFill>
        </w:rPr>
        <w:t>2.4.5</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磋商过程中，磋商文件变动的，供应商应当按照磋商文件的变动情况和磋商小组的要求重新提交响应文件，并由其法定代表人</w:t>
      </w:r>
      <w:r>
        <w:rPr>
          <w:rFonts w:asciiTheme="minorEastAsia" w:hAnsiTheme="minorEastAsia" w:eastAsiaTheme="minorEastAsia"/>
          <w:b w:val="0"/>
          <w:color w:val="000000" w:themeColor="text1"/>
          <w:sz w:val="24"/>
          <w:szCs w:val="24"/>
          <w:highlight w:val="none"/>
          <w14:textFill>
            <w14:solidFill>
              <w14:schemeClr w14:val="tx1"/>
            </w14:solidFill>
          </w14:textFill>
        </w:rPr>
        <w:t>/</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主要负责人</w:t>
      </w:r>
      <w:r>
        <w:rPr>
          <w:rFonts w:asciiTheme="minorEastAsia" w:hAnsiTheme="minorEastAsia" w:eastAsiaTheme="minorEastAsia"/>
          <w:b w:val="0"/>
          <w:color w:val="000000" w:themeColor="text1"/>
          <w:sz w:val="24"/>
          <w:szCs w:val="24"/>
          <w:highlight w:val="none"/>
          <w14:textFill>
            <w14:solidFill>
              <w14:schemeClr w14:val="tx1"/>
            </w14:solidFill>
          </w14:textFill>
        </w:rPr>
        <w:t>/</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14:paraId="6961E91C">
      <w:pPr>
        <w:pStyle w:val="11"/>
        <w:snapToGrid w:val="0"/>
        <w:spacing w:line="360" w:lineRule="auto"/>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asciiTheme="minorEastAsia" w:hAnsiTheme="minorEastAsia" w:eastAsiaTheme="minorEastAsia"/>
          <w:color w:val="000000" w:themeColor="text1"/>
          <w:sz w:val="24"/>
          <w:szCs w:val="24"/>
          <w:highlight w:val="none"/>
          <w14:textFill>
            <w14:solidFill>
              <w14:schemeClr w14:val="tx1"/>
            </w14:solidFill>
          </w14:textFill>
        </w:rPr>
        <w:t>2.4.6</w:t>
      </w: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有效性、完整性和响应程度审查</w:t>
      </w:r>
    </w:p>
    <w:p w14:paraId="2968C1D9">
      <w:pPr>
        <w:pStyle w:val="11"/>
        <w:snapToGrid w:val="0"/>
        <w:spacing w:line="360" w:lineRule="auto"/>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asciiTheme="minorEastAsia" w:hAnsiTheme="minorEastAsia" w:eastAsiaTheme="minorEastAsia"/>
          <w:color w:val="000000" w:themeColor="text1"/>
          <w:sz w:val="24"/>
          <w:szCs w:val="24"/>
          <w:highlight w:val="none"/>
          <w14:textFill>
            <w14:solidFill>
              <w14:schemeClr w14:val="tx1"/>
            </w14:solidFill>
          </w14:textFill>
        </w:rPr>
        <w:t>2.4.6.1</w:t>
      </w:r>
      <w:r>
        <w:rPr>
          <w:rFonts w:hint="eastAsia" w:asciiTheme="minorEastAsia" w:hAnsiTheme="minorEastAsia" w:eastAsiaTheme="minorEastAsia"/>
          <w:color w:val="000000" w:themeColor="text1"/>
          <w:sz w:val="24"/>
          <w:szCs w:val="24"/>
          <w:highlight w:val="none"/>
          <w14:textFill>
            <w14:solidFill>
              <w14:schemeClr w14:val="tx1"/>
            </w14:solidFill>
          </w14:textFill>
        </w:rPr>
        <w:t>磋商过程中，</w:t>
      </w: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磋商小组对供应商递交的首次响应文件进行审查，审查中发现供应商首次响应文件有下列情况之一的，应按照无效响应文件处理：</w:t>
      </w:r>
    </w:p>
    <w:p w14:paraId="0F6A68AB">
      <w:pPr>
        <w:pStyle w:val="11"/>
        <w:snapToGrid w:val="0"/>
        <w:spacing w:line="360" w:lineRule="auto"/>
        <w:ind w:firstLine="480" w:firstLineChars="200"/>
        <w:rPr>
          <w:rFonts w:asciiTheme="minorEastAsia" w:hAnsiTheme="minorEastAsia" w:eastAsiaTheme="minorEastAsia"/>
          <w:color w:val="000000" w:themeColor="text1"/>
          <w:sz w:val="24"/>
          <w:szCs w:val="24"/>
          <w:highlight w:val="none"/>
          <w:lang w:val="zh-CN"/>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w:t>
      </w:r>
      <w:r>
        <w:rPr>
          <w:rFonts w:asciiTheme="minorEastAsia" w:hAnsiTheme="minorEastAsia" w:eastAsiaTheme="minorEastAsia"/>
          <w:color w:val="000000" w:themeColor="text1"/>
          <w:sz w:val="24"/>
          <w:szCs w:val="24"/>
          <w:highlight w:val="none"/>
          <w:lang w:val="zh-CN"/>
          <w14:textFill>
            <w14:solidFill>
              <w14:schemeClr w14:val="tx1"/>
            </w14:solidFill>
          </w14:textFill>
        </w:rPr>
        <w:t>1</w:t>
      </w: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）响应文件正副本数量不足的；</w:t>
      </w:r>
    </w:p>
    <w:p w14:paraId="1D0FC6AC">
      <w:pPr>
        <w:pStyle w:val="11"/>
        <w:snapToGrid w:val="0"/>
        <w:spacing w:line="360" w:lineRule="auto"/>
        <w:ind w:firstLine="480" w:firstLineChars="200"/>
        <w:rPr>
          <w:rFonts w:asciiTheme="minorEastAsia" w:hAnsiTheme="minorEastAsia" w:eastAsiaTheme="minorEastAsia"/>
          <w:color w:val="000000" w:themeColor="text1"/>
          <w:sz w:val="24"/>
          <w:szCs w:val="24"/>
          <w:highlight w:val="none"/>
          <w:lang w:val="zh-CN"/>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w:t>
      </w:r>
      <w:r>
        <w:rPr>
          <w:rFonts w:asciiTheme="minorEastAsia" w:hAnsiTheme="minorEastAsia" w:eastAsiaTheme="minorEastAsia"/>
          <w:color w:val="000000" w:themeColor="text1"/>
          <w:sz w:val="24"/>
          <w:szCs w:val="24"/>
          <w:highlight w:val="none"/>
          <w14:textFill>
            <w14:solidFill>
              <w14:schemeClr w14:val="tx1"/>
            </w14:solidFill>
          </w14:textFill>
        </w:rPr>
        <w:t>2</w:t>
      </w: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）响应文件的语言、报价货币、知识产权不符合采购文件的规定，影响磋商小组评判的；</w:t>
      </w:r>
    </w:p>
    <w:p w14:paraId="3A9B6823">
      <w:pPr>
        <w:pStyle w:val="11"/>
        <w:snapToGrid w:val="0"/>
        <w:spacing w:line="360" w:lineRule="auto"/>
        <w:ind w:firstLine="480" w:firstLineChars="200"/>
        <w:rPr>
          <w:rFonts w:asciiTheme="minorEastAsia" w:hAnsiTheme="minorEastAsia" w:eastAsiaTheme="minorEastAsia"/>
          <w:color w:val="000000" w:themeColor="text1"/>
          <w:sz w:val="24"/>
          <w:szCs w:val="24"/>
          <w:highlight w:val="none"/>
          <w:lang w:val="zh-CN"/>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w:t>
      </w:r>
      <w:r>
        <w:rPr>
          <w:rFonts w:asciiTheme="minorEastAsia" w:hAnsiTheme="minorEastAsia" w:eastAsiaTheme="minorEastAsia"/>
          <w:color w:val="000000" w:themeColor="text1"/>
          <w:sz w:val="24"/>
          <w:szCs w:val="24"/>
          <w:highlight w:val="none"/>
          <w14:textFill>
            <w14:solidFill>
              <w14:schemeClr w14:val="tx1"/>
            </w14:solidFill>
          </w14:textFill>
        </w:rPr>
        <w:t>3</w:t>
      </w: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）响应文件中未附已标价工程量清单。</w:t>
      </w:r>
    </w:p>
    <w:p w14:paraId="5302FECD">
      <w:pPr>
        <w:pStyle w:val="11"/>
        <w:snapToGrid w:val="0"/>
        <w:spacing w:line="360" w:lineRule="auto"/>
        <w:ind w:firstLine="480" w:firstLineChars="200"/>
        <w:rPr>
          <w:rFonts w:asciiTheme="minorEastAsia" w:hAnsiTheme="minorEastAsia" w:eastAsiaTheme="minorEastAsia"/>
          <w:color w:val="000000" w:themeColor="text1"/>
          <w:sz w:val="24"/>
          <w:szCs w:val="24"/>
          <w:highlight w:val="none"/>
          <w:lang w:val="zh-CN"/>
          <w14:textFill>
            <w14:solidFill>
              <w14:schemeClr w14:val="tx1"/>
            </w14:solidFill>
          </w14:textFill>
        </w:rPr>
      </w:pPr>
      <w:r>
        <w:rPr>
          <w:rFonts w:asciiTheme="minorEastAsia" w:hAnsiTheme="minorEastAsia" w:eastAsiaTheme="minorEastAsia"/>
          <w:color w:val="000000" w:themeColor="text1"/>
          <w:sz w:val="24"/>
          <w:szCs w:val="24"/>
          <w:highlight w:val="none"/>
          <w:lang w:val="zh-CN"/>
          <w14:textFill>
            <w14:solidFill>
              <w14:schemeClr w14:val="tx1"/>
            </w14:solidFill>
          </w14:textFill>
        </w:rPr>
        <w:t>2.4.6.2</w:t>
      </w: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对已标价工程量清单的评审</w:t>
      </w:r>
    </w:p>
    <w:p w14:paraId="36317904">
      <w:pPr>
        <w:pStyle w:val="11"/>
        <w:snapToGrid w:val="0"/>
        <w:spacing w:line="360" w:lineRule="auto"/>
        <w:ind w:firstLine="480" w:firstLineChars="200"/>
        <w:rPr>
          <w:rFonts w:asciiTheme="minorEastAsia" w:hAnsiTheme="minorEastAsia" w:eastAsiaTheme="minorEastAsia"/>
          <w:color w:val="000000" w:themeColor="text1"/>
          <w:sz w:val="24"/>
          <w:szCs w:val="24"/>
          <w:highlight w:val="none"/>
          <w:lang w:val="zh-CN"/>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w:t>
      </w:r>
      <w:r>
        <w:rPr>
          <w:rFonts w:asciiTheme="minorEastAsia" w:hAnsiTheme="minorEastAsia" w:eastAsiaTheme="minorEastAsia"/>
          <w:color w:val="000000" w:themeColor="text1"/>
          <w:sz w:val="24"/>
          <w:szCs w:val="24"/>
          <w:highlight w:val="none"/>
          <w:lang w:val="zh-CN"/>
          <w14:textFill>
            <w14:solidFill>
              <w14:schemeClr w14:val="tx1"/>
            </w14:solidFill>
          </w14:textFill>
        </w:rPr>
        <w:t>1</w:t>
      </w: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）磋商小组对供应商已标价工程量清单进行算术性复核，如果出现下列不一致的，按以下原则进行修正：</w:t>
      </w:r>
    </w:p>
    <w:p w14:paraId="6F633773">
      <w:pPr>
        <w:pStyle w:val="11"/>
        <w:snapToGrid w:val="0"/>
        <w:spacing w:line="360" w:lineRule="auto"/>
        <w:ind w:firstLine="480" w:firstLineChars="200"/>
        <w:rPr>
          <w:rFonts w:asciiTheme="minorEastAsia" w:hAnsiTheme="minorEastAsia" w:eastAsiaTheme="minorEastAsia"/>
          <w:color w:val="000000" w:themeColor="text1"/>
          <w:sz w:val="24"/>
          <w:szCs w:val="24"/>
          <w:highlight w:val="none"/>
          <w:lang w:val="zh-CN"/>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总价金额与依据单价计算出的结果不一致的，以单价金额为准修正总价，但单价金额小数点有明显错误的除外。</w:t>
      </w:r>
    </w:p>
    <w:p w14:paraId="39996A6E">
      <w:pPr>
        <w:pStyle w:val="11"/>
        <w:snapToGrid w:val="0"/>
        <w:spacing w:line="360" w:lineRule="auto"/>
        <w:ind w:firstLine="480" w:firstLineChars="200"/>
        <w:rPr>
          <w:rFonts w:asciiTheme="minorEastAsia" w:hAnsiTheme="minorEastAsia" w:eastAsiaTheme="minorEastAsia"/>
          <w:color w:val="000000" w:themeColor="text1"/>
          <w:sz w:val="24"/>
          <w:szCs w:val="24"/>
          <w:highlight w:val="none"/>
          <w:lang w:val="zh-CN"/>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修正后的报价经供应商确认后产生约束力，供应商不确认的，其响应文件作为无效处理。供应商确认采取书面且加盖单位公章或者供应商授权代表签字的方式。</w:t>
      </w:r>
    </w:p>
    <w:p w14:paraId="4721822C">
      <w:pPr>
        <w:pStyle w:val="11"/>
        <w:snapToGrid w:val="0"/>
        <w:spacing w:line="360" w:lineRule="auto"/>
        <w:ind w:firstLine="480" w:firstLineChars="200"/>
        <w:rPr>
          <w:rFonts w:asciiTheme="minorEastAsia" w:hAnsiTheme="minorEastAsia" w:eastAsiaTheme="minorEastAsia"/>
          <w:color w:val="000000" w:themeColor="text1"/>
          <w:sz w:val="24"/>
          <w:szCs w:val="24"/>
          <w:highlight w:val="none"/>
          <w:lang w:val="zh-CN"/>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不得未经澄清、说明或者更正，直接将供应商响应文件作为无效处理。</w:t>
      </w:r>
    </w:p>
    <w:p w14:paraId="5920503A">
      <w:pPr>
        <w:pStyle w:val="11"/>
        <w:snapToGrid w:val="0"/>
        <w:spacing w:line="360" w:lineRule="auto"/>
        <w:ind w:firstLine="480" w:firstLineChars="200"/>
        <w:rPr>
          <w:rFonts w:asciiTheme="minorEastAsia" w:hAnsiTheme="minorEastAsia" w:eastAsiaTheme="minorEastAsia"/>
          <w:color w:val="000000" w:themeColor="text1"/>
          <w:sz w:val="24"/>
          <w:szCs w:val="24"/>
          <w:highlight w:val="none"/>
          <w:lang w:val="zh-CN"/>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w:t>
      </w:r>
      <w:r>
        <w:rPr>
          <w:rFonts w:asciiTheme="minorEastAsia" w:hAnsiTheme="minorEastAsia" w:eastAsiaTheme="minorEastAsia"/>
          <w:color w:val="000000" w:themeColor="text1"/>
          <w:sz w:val="24"/>
          <w:szCs w:val="24"/>
          <w:highlight w:val="none"/>
          <w:lang w:val="zh-CN"/>
          <w14:textFill>
            <w14:solidFill>
              <w14:schemeClr w14:val="tx1"/>
            </w14:solidFill>
          </w14:textFill>
        </w:rPr>
        <w:t>2</w:t>
      </w: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）磋商小组对供应商已标价工程量清单的项目单价进行评审，对明显不合理的单价（如明显偏高或偏低）项目</w:t>
      </w:r>
      <w:r>
        <w:rPr>
          <w:rFonts w:asciiTheme="minorEastAsia" w:hAnsiTheme="minorEastAsia" w:eastAsiaTheme="minorEastAsia"/>
          <w:color w:val="000000" w:themeColor="text1"/>
          <w:sz w:val="24"/>
          <w:szCs w:val="24"/>
          <w:highlight w:val="none"/>
          <w:lang w:val="zh-CN"/>
          <w14:textFill>
            <w14:solidFill>
              <w14:schemeClr w14:val="tx1"/>
            </w14:solidFill>
          </w14:textFill>
        </w:rPr>
        <w:t>,</w:t>
      </w: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应在评审报告中记录，提醒采购人在签订合同时注意，并在合同履行过程中加强风险防范。</w:t>
      </w:r>
    </w:p>
    <w:p w14:paraId="4B80E795">
      <w:pPr>
        <w:pStyle w:val="11"/>
        <w:snapToGrid w:val="0"/>
        <w:spacing w:line="360" w:lineRule="auto"/>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asciiTheme="minorEastAsia" w:hAnsiTheme="minorEastAsia" w:eastAsiaTheme="minorEastAsia"/>
          <w:color w:val="000000" w:themeColor="text1"/>
          <w:sz w:val="24"/>
          <w:szCs w:val="24"/>
          <w:highlight w:val="none"/>
          <w:lang w:val="zh-CN"/>
          <w14:textFill>
            <w14:solidFill>
              <w14:schemeClr w14:val="tx1"/>
            </w14:solidFill>
          </w14:textFill>
        </w:rPr>
        <w:t>2.4.6.3</w:t>
      </w: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经最终磋商后，响应文件仍有下列情况之一的，应按照无效响应文件处理：</w:t>
      </w:r>
    </w:p>
    <w:p w14:paraId="533F5BD3">
      <w:pPr>
        <w:pStyle w:val="11"/>
        <w:snapToGrid w:val="0"/>
        <w:spacing w:line="360" w:lineRule="auto"/>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w:t>
      </w:r>
      <w:r>
        <w:rPr>
          <w:rFonts w:asciiTheme="minorEastAsia" w:hAnsiTheme="minorEastAsia" w:eastAsiaTheme="minorEastAsia"/>
          <w:color w:val="000000" w:themeColor="text1"/>
          <w:sz w:val="24"/>
          <w:szCs w:val="24"/>
          <w:highlight w:val="none"/>
          <w14:textFill>
            <w14:solidFill>
              <w14:schemeClr w14:val="tx1"/>
            </w14:solidFill>
          </w14:textFill>
        </w:rPr>
        <w:t>1</w:t>
      </w:r>
      <w:r>
        <w:rPr>
          <w:rFonts w:hint="eastAsia" w:asciiTheme="minorEastAsia" w:hAnsiTheme="minorEastAsia" w:eastAsiaTheme="minorEastAsia"/>
          <w:color w:val="000000" w:themeColor="text1"/>
          <w:sz w:val="24"/>
          <w:szCs w:val="24"/>
          <w:highlight w:val="none"/>
          <w14:textFill>
            <w14:solidFill>
              <w14:schemeClr w14:val="tx1"/>
            </w14:solidFill>
          </w14:textFill>
        </w:rPr>
        <w:t>）</w:t>
      </w: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响应文件仍不能完全响应采购文件的实质性要求的；</w:t>
      </w:r>
    </w:p>
    <w:p w14:paraId="50347921">
      <w:pPr>
        <w:pStyle w:val="11"/>
        <w:snapToGrid w:val="0"/>
        <w:spacing w:line="360" w:lineRule="auto"/>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w:t>
      </w:r>
      <w:r>
        <w:rPr>
          <w:rFonts w:asciiTheme="minorEastAsia" w:hAnsiTheme="minorEastAsia" w:eastAsiaTheme="minorEastAsia"/>
          <w:color w:val="000000" w:themeColor="text1"/>
          <w:sz w:val="24"/>
          <w:szCs w:val="24"/>
          <w:highlight w:val="none"/>
          <w14:textFill>
            <w14:solidFill>
              <w14:schemeClr w14:val="tx1"/>
            </w14:solidFill>
          </w14:textFill>
        </w:rPr>
        <w:t>2</w:t>
      </w:r>
      <w:r>
        <w:rPr>
          <w:rFonts w:hint="eastAsia" w:asciiTheme="minorEastAsia" w:hAnsiTheme="minorEastAsia" w:eastAsiaTheme="minorEastAsia"/>
          <w:color w:val="000000" w:themeColor="text1"/>
          <w:sz w:val="24"/>
          <w:szCs w:val="24"/>
          <w:highlight w:val="none"/>
          <w14:textFill>
            <w14:solidFill>
              <w14:schemeClr w14:val="tx1"/>
            </w14:solidFill>
          </w14:textFill>
        </w:rPr>
        <w:t>）响应文件仍中有规定的其他无效响应情形的。</w:t>
      </w:r>
    </w:p>
    <w:p w14:paraId="615F3CAA">
      <w:pPr>
        <w:pStyle w:val="11"/>
        <w:snapToGrid w:val="0"/>
        <w:spacing w:line="360" w:lineRule="auto"/>
        <w:ind w:firstLine="480" w:firstLineChars="200"/>
        <w:rPr>
          <w:rFonts w:asciiTheme="minorEastAsia" w:hAnsiTheme="minorEastAsia" w:eastAsiaTheme="minorEastAsia"/>
          <w:color w:val="000000" w:themeColor="text1"/>
          <w:sz w:val="24"/>
          <w:szCs w:val="24"/>
          <w:highlight w:val="none"/>
          <w:lang w:val="zh-CN"/>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但磋商小组对响应文件签署、盖章等进行审查过程中，有下列情形的，磋商小组应当评定为不影响整个响应文件有效性和采购活动公平竞争，并通过响应文件的有效性审查：</w:t>
      </w:r>
    </w:p>
    <w:p w14:paraId="7FCC45A0">
      <w:pPr>
        <w:pStyle w:val="11"/>
        <w:snapToGrid w:val="0"/>
        <w:spacing w:line="360" w:lineRule="auto"/>
        <w:ind w:firstLine="480" w:firstLineChars="200"/>
        <w:rPr>
          <w:rFonts w:asciiTheme="minorEastAsia" w:hAnsiTheme="minorEastAsia" w:eastAsiaTheme="minorEastAsia"/>
          <w:color w:val="000000" w:themeColor="text1"/>
          <w:sz w:val="24"/>
          <w:szCs w:val="24"/>
          <w:highlight w:val="none"/>
          <w:lang w:val="zh-CN"/>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w:t>
      </w:r>
      <w:r>
        <w:rPr>
          <w:rFonts w:asciiTheme="minorEastAsia" w:hAnsiTheme="minorEastAsia" w:eastAsiaTheme="minorEastAsia"/>
          <w:color w:val="000000" w:themeColor="text1"/>
          <w:sz w:val="24"/>
          <w:szCs w:val="24"/>
          <w:highlight w:val="none"/>
          <w14:textFill>
            <w14:solidFill>
              <w14:schemeClr w14:val="tx1"/>
            </w14:solidFill>
          </w14:textFill>
        </w:rPr>
        <w:t>1</w:t>
      </w: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）响应文件存在个别地方（总数不能超过</w:t>
      </w:r>
      <w:r>
        <w:rPr>
          <w:rFonts w:asciiTheme="minorEastAsia" w:hAnsiTheme="minorEastAsia" w:eastAsiaTheme="minorEastAsia"/>
          <w:color w:val="000000" w:themeColor="text1"/>
          <w:sz w:val="24"/>
          <w:szCs w:val="24"/>
          <w:highlight w:val="none"/>
          <w:lang w:val="zh-CN"/>
          <w14:textFill>
            <w14:solidFill>
              <w14:schemeClr w14:val="tx1"/>
            </w14:solidFill>
          </w14:textFill>
        </w:rPr>
        <w:t>2</w:t>
      </w: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个）没有法定代表人</w:t>
      </w:r>
      <w:r>
        <w:rPr>
          <w:rFonts w:asciiTheme="minorEastAsia" w:hAnsiTheme="minorEastAsia" w:eastAsiaTheme="minorEastAsia"/>
          <w:color w:val="000000" w:themeColor="text1"/>
          <w:sz w:val="24"/>
          <w:szCs w:val="24"/>
          <w:highlight w:val="none"/>
          <w:lang w:val="zh-CN"/>
          <w14:textFill>
            <w14:solidFill>
              <w14:schemeClr w14:val="tx1"/>
            </w14:solidFill>
          </w14:textFill>
        </w:rPr>
        <w:t>/</w:t>
      </w: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单位负责人签字，但有法定代表人</w:t>
      </w:r>
      <w:r>
        <w:rPr>
          <w:rFonts w:asciiTheme="minorEastAsia" w:hAnsiTheme="minorEastAsia" w:eastAsiaTheme="minorEastAsia"/>
          <w:color w:val="000000" w:themeColor="text1"/>
          <w:sz w:val="24"/>
          <w:szCs w:val="24"/>
          <w:highlight w:val="none"/>
          <w:lang w:val="zh-CN"/>
          <w14:textFill>
            <w14:solidFill>
              <w14:schemeClr w14:val="tx1"/>
            </w14:solidFill>
          </w14:textFill>
        </w:rPr>
        <w:t>/</w:t>
      </w: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单位负责人的私人印章或者有效授权代理人签字的；</w:t>
      </w:r>
    </w:p>
    <w:p w14:paraId="5D4E9F41">
      <w:pPr>
        <w:pStyle w:val="11"/>
        <w:snapToGrid w:val="0"/>
        <w:spacing w:line="360" w:lineRule="auto"/>
        <w:ind w:firstLine="480" w:firstLineChars="200"/>
        <w:rPr>
          <w:rFonts w:asciiTheme="minorEastAsia" w:hAnsiTheme="minorEastAsia" w:eastAsiaTheme="minorEastAsia"/>
          <w:color w:val="000000" w:themeColor="text1"/>
          <w:sz w:val="24"/>
          <w:szCs w:val="24"/>
          <w:highlight w:val="none"/>
          <w:lang w:val="zh-CN"/>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w:t>
      </w:r>
      <w:r>
        <w:rPr>
          <w:rFonts w:asciiTheme="minorEastAsia" w:hAnsiTheme="minorEastAsia" w:eastAsiaTheme="minorEastAsia"/>
          <w:color w:val="000000" w:themeColor="text1"/>
          <w:sz w:val="24"/>
          <w:szCs w:val="24"/>
          <w:highlight w:val="none"/>
          <w14:textFill>
            <w14:solidFill>
              <w14:schemeClr w14:val="tx1"/>
            </w14:solidFill>
          </w14:textFill>
        </w:rPr>
        <w:t>2</w:t>
      </w: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）响应文件除采购文件明确要求加盖单位</w:t>
      </w:r>
      <w:r>
        <w:rPr>
          <w:rFonts w:asciiTheme="minorEastAsia" w:hAnsiTheme="minorEastAsia" w:eastAsiaTheme="minorEastAsia"/>
          <w:color w:val="000000" w:themeColor="text1"/>
          <w:sz w:val="24"/>
          <w:szCs w:val="24"/>
          <w:highlight w:val="none"/>
          <w:lang w:val="zh-CN"/>
          <w14:textFill>
            <w14:solidFill>
              <w14:schemeClr w14:val="tx1"/>
            </w14:solidFill>
          </w14:textFill>
        </w:rPr>
        <w:t>(</w:t>
      </w: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法人</w:t>
      </w:r>
      <w:r>
        <w:rPr>
          <w:rFonts w:asciiTheme="minorEastAsia" w:hAnsiTheme="minorEastAsia" w:eastAsiaTheme="minorEastAsia"/>
          <w:color w:val="000000" w:themeColor="text1"/>
          <w:sz w:val="24"/>
          <w:szCs w:val="24"/>
          <w:highlight w:val="none"/>
          <w:lang w:val="zh-CN"/>
          <w14:textFill>
            <w14:solidFill>
              <w14:schemeClr w14:val="tx1"/>
            </w14:solidFill>
          </w14:textFill>
        </w:rPr>
        <w:t>)</w:t>
      </w: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公章的以外，其他地方以相关专用章加盖的；</w:t>
      </w:r>
    </w:p>
    <w:p w14:paraId="0DCE18E3">
      <w:pPr>
        <w:pStyle w:val="11"/>
        <w:snapToGrid w:val="0"/>
        <w:spacing w:line="360" w:lineRule="auto"/>
        <w:ind w:firstLine="480" w:firstLineChars="200"/>
        <w:rPr>
          <w:rFonts w:asciiTheme="minorEastAsia" w:hAnsiTheme="minorEastAsia" w:eastAsiaTheme="minorEastAsia"/>
          <w:color w:val="000000" w:themeColor="text1"/>
          <w:sz w:val="24"/>
          <w:szCs w:val="24"/>
          <w:highlight w:val="none"/>
          <w:lang w:val="zh-CN"/>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w:t>
      </w:r>
      <w:r>
        <w:rPr>
          <w:rFonts w:asciiTheme="minorEastAsia" w:hAnsiTheme="minorEastAsia" w:eastAsiaTheme="minorEastAsia"/>
          <w:color w:val="000000" w:themeColor="text1"/>
          <w:sz w:val="24"/>
          <w:szCs w:val="24"/>
          <w:highlight w:val="none"/>
          <w14:textFill>
            <w14:solidFill>
              <w14:schemeClr w14:val="tx1"/>
            </w14:solidFill>
          </w14:textFill>
        </w:rPr>
        <w:t>3</w:t>
      </w: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）以骑缝章的形式代替响应文件内容逐页盖章的（但是骑缝章模糊不清，印章名称无法辨认的除外）。</w:t>
      </w:r>
    </w:p>
    <w:p w14:paraId="4CA7363D">
      <w:pPr>
        <w:pStyle w:val="11"/>
        <w:snapToGrid w:val="0"/>
        <w:spacing w:line="360" w:lineRule="auto"/>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磋商小组</w:t>
      </w: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对所有响应文件的有效性、完整性和响应程度进行审查</w:t>
      </w:r>
      <w:r>
        <w:rPr>
          <w:rFonts w:hint="eastAsia" w:asciiTheme="minorEastAsia" w:hAnsiTheme="minorEastAsia" w:eastAsiaTheme="minorEastAsia"/>
          <w:color w:val="000000" w:themeColor="text1"/>
          <w:sz w:val="24"/>
          <w:szCs w:val="24"/>
          <w:highlight w:val="none"/>
          <w14:textFill>
            <w14:solidFill>
              <w14:schemeClr w14:val="tx1"/>
            </w14:solidFill>
          </w14:textFill>
        </w:rPr>
        <w:t>后，向采购</w:t>
      </w: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代理机构</w:t>
      </w:r>
      <w:r>
        <w:rPr>
          <w:rFonts w:hint="eastAsia" w:asciiTheme="minorEastAsia" w:hAnsiTheme="minorEastAsia" w:eastAsiaTheme="minorEastAsia"/>
          <w:color w:val="000000" w:themeColor="text1"/>
          <w:sz w:val="24"/>
          <w:szCs w:val="24"/>
          <w:highlight w:val="none"/>
          <w14:textFill>
            <w14:solidFill>
              <w14:schemeClr w14:val="tx1"/>
            </w14:solidFill>
          </w14:textFill>
        </w:rPr>
        <w:t>出具</w:t>
      </w: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有效性、完整性和响应程度</w:t>
      </w:r>
      <w:r>
        <w:rPr>
          <w:rFonts w:hint="eastAsia" w:asciiTheme="minorEastAsia" w:hAnsiTheme="minorEastAsia" w:eastAsiaTheme="minorEastAsia"/>
          <w:color w:val="000000" w:themeColor="text1"/>
          <w:sz w:val="24"/>
          <w:szCs w:val="24"/>
          <w:highlight w:val="none"/>
          <w14:textFill>
            <w14:solidFill>
              <w14:schemeClr w14:val="tx1"/>
            </w14:solidFill>
          </w14:textFill>
        </w:rPr>
        <w:t>审查报告，确定继续磋商的供应商名单。没有通过</w:t>
      </w: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有效性、完整性和响应程度</w:t>
      </w:r>
      <w:r>
        <w:rPr>
          <w:rFonts w:hint="eastAsia" w:asciiTheme="minorEastAsia" w:hAnsiTheme="minorEastAsia" w:eastAsiaTheme="minorEastAsia"/>
          <w:color w:val="000000" w:themeColor="text1"/>
          <w:sz w:val="24"/>
          <w:szCs w:val="24"/>
          <w:highlight w:val="none"/>
          <w14:textFill>
            <w14:solidFill>
              <w14:schemeClr w14:val="tx1"/>
            </w14:solidFill>
          </w14:textFill>
        </w:rPr>
        <w:t>审查的供应商，磋商小组应在</w:t>
      </w: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有效性、完整性和响应程度</w:t>
      </w:r>
      <w:r>
        <w:rPr>
          <w:rFonts w:hint="eastAsia" w:asciiTheme="minorEastAsia" w:hAnsiTheme="minorEastAsia" w:eastAsiaTheme="minorEastAsia"/>
          <w:color w:val="000000" w:themeColor="text1"/>
          <w:sz w:val="24"/>
          <w:szCs w:val="24"/>
          <w:highlight w:val="none"/>
          <w14:textFill>
            <w14:solidFill>
              <w14:schemeClr w14:val="tx1"/>
            </w14:solidFill>
          </w14:textFill>
        </w:rPr>
        <w:t>审查报告中说明原因。</w:t>
      </w:r>
    </w:p>
    <w:p w14:paraId="559698F2">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asciiTheme="minorEastAsia" w:hAnsiTheme="minorEastAsia" w:eastAsiaTheme="minorEastAsia"/>
          <w:b w:val="0"/>
          <w:color w:val="000000" w:themeColor="text1"/>
          <w:sz w:val="24"/>
          <w:szCs w:val="24"/>
          <w:highlight w:val="none"/>
          <w14:textFill>
            <w14:solidFill>
              <w14:schemeClr w14:val="tx1"/>
            </w14:solidFill>
          </w14:textFill>
        </w:rPr>
        <w:t>2.4.7</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磋商过程中，磋商的任何一方不得透露与磋商有关的其他供应商的技术资料、价格和其他信息。</w:t>
      </w:r>
    </w:p>
    <w:p w14:paraId="5C1BB1DF">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asciiTheme="minorEastAsia" w:hAnsiTheme="minorEastAsia" w:eastAsiaTheme="minorEastAsia"/>
          <w:b w:val="0"/>
          <w:color w:val="000000" w:themeColor="text1"/>
          <w:sz w:val="24"/>
          <w:szCs w:val="24"/>
          <w:highlight w:val="none"/>
          <w14:textFill>
            <w14:solidFill>
              <w14:schemeClr w14:val="tx1"/>
            </w14:solidFill>
          </w14:textFill>
        </w:rPr>
        <w:t>2.4.8</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磋商过程中，磋商小组发现或者知晓供应商存在违法、违纪行为的，磋商小组应当将该供应商响应文件作无效处理，不允许其提交最后报价。</w:t>
      </w:r>
    </w:p>
    <w:p w14:paraId="5F485FC0">
      <w:pPr>
        <w:pStyle w:val="3"/>
        <w:keepNext w:val="0"/>
        <w:keepLines w:val="0"/>
        <w:spacing w:before="0" w:after="0" w:line="360" w:lineRule="auto"/>
        <w:ind w:firstLine="470" w:firstLineChars="196"/>
        <w:rPr>
          <w:rFonts w:asciiTheme="minorEastAsia" w:hAnsiTheme="minorEastAsia" w:eastAsiaTheme="minorEastAsia"/>
          <w:b w:val="0"/>
          <w:color w:val="000000" w:themeColor="text1"/>
          <w:sz w:val="24"/>
          <w:szCs w:val="24"/>
          <w:highlight w:val="none"/>
          <w14:textFill>
            <w14:solidFill>
              <w14:schemeClr w14:val="tx1"/>
            </w14:solidFill>
          </w14:textFill>
        </w:rPr>
      </w:pPr>
      <w:r>
        <w:rPr>
          <w:rFonts w:asciiTheme="minorEastAsia" w:hAnsiTheme="minorEastAsia" w:eastAsiaTheme="minorEastAsia"/>
          <w:b w:val="0"/>
          <w:color w:val="000000" w:themeColor="text1"/>
          <w:sz w:val="24"/>
          <w:szCs w:val="24"/>
          <w:highlight w:val="none"/>
          <w14:textFill>
            <w14:solidFill>
              <w14:schemeClr w14:val="tx1"/>
            </w14:solidFill>
          </w14:textFill>
        </w:rPr>
        <w:t>2.4.9</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磋商完成后，磋商小组应出具磋商情况记录表，磋商情况记录表需包含磋商内容、磋商意见、实质性变动内容等。</w:t>
      </w:r>
    </w:p>
    <w:p w14:paraId="378C0459">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2.5</w:t>
      </w:r>
      <w:r>
        <w:rPr>
          <w:rFonts w:hint="eastAsia" w:asciiTheme="minorEastAsia" w:hAnsiTheme="minorEastAsia" w:eastAsiaTheme="minorEastAsia"/>
          <w:color w:val="000000" w:themeColor="text1"/>
          <w:sz w:val="24"/>
          <w:highlight w:val="none"/>
          <w14:textFill>
            <w14:solidFill>
              <w14:schemeClr w14:val="tx1"/>
            </w14:solidFill>
          </w14:textFill>
        </w:rPr>
        <w:t>报价</w:t>
      </w:r>
    </w:p>
    <w:p w14:paraId="4E72BC18">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2.5.1</w:t>
      </w:r>
      <w:r>
        <w:rPr>
          <w:rFonts w:hint="eastAsia" w:asciiTheme="minorEastAsia" w:hAnsiTheme="minorEastAsia" w:eastAsiaTheme="minorEastAsia"/>
          <w:color w:val="000000" w:themeColor="text1"/>
          <w:sz w:val="24"/>
          <w:highlight w:val="none"/>
          <w14:textFill>
            <w14:solidFill>
              <w14:schemeClr w14:val="tx1"/>
            </w14:solidFill>
          </w14:textFill>
        </w:rPr>
        <w:t>除首次响应文件中的报价以外，供应商报价采用现场报价，参与报价的供应商按磋商小组要求进行报价。报价超过竞争性磋商文件规定的采购预算（或最高限价）或者相关报价不符合采购文件其他的报价规定的，应按照无效响应文件处理。</w:t>
      </w:r>
    </w:p>
    <w:p w14:paraId="0F3771D8">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2.5.2</w:t>
      </w:r>
      <w:r>
        <w:rPr>
          <w:rFonts w:hint="eastAsia" w:asciiTheme="minorEastAsia" w:hAnsiTheme="minorEastAsia" w:eastAsiaTheme="minorEastAsia"/>
          <w:color w:val="000000" w:themeColor="text1"/>
          <w:sz w:val="24"/>
          <w:highlight w:val="none"/>
          <w14:textFill>
            <w14:solidFill>
              <w14:schemeClr w14:val="tx1"/>
            </w14:solidFill>
          </w14:textFill>
        </w:rPr>
        <w:t>供应商报价大写金额和小写金额不一致的，以大写金额为准，但大写金额文字存在错误的，应当先对大写金额的文字错误进行澄清、说明或者更正，再行修正。修正后的报价经供应商确认后产生约束力，供应商不确认的，其响应文件作为无效处理。</w:t>
      </w:r>
    </w:p>
    <w:p w14:paraId="37335598">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2.5.3</w:t>
      </w:r>
      <w:r>
        <w:rPr>
          <w:rFonts w:hint="eastAsia" w:asciiTheme="minorEastAsia" w:hAnsiTheme="minorEastAsia" w:eastAsiaTheme="minorEastAsia"/>
          <w:color w:val="000000" w:themeColor="text1"/>
          <w:sz w:val="24"/>
          <w:highlight w:val="none"/>
          <w14:textFill>
            <w14:solidFill>
              <w14:schemeClr w14:val="tx1"/>
            </w14:solidFill>
          </w14:textFill>
        </w:rPr>
        <w:t>供应商报价应当由法定代表人</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主要负责人</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报价是供应商响应文件的有效组成部分。</w:t>
      </w:r>
    </w:p>
    <w:p w14:paraId="04BF5C99">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2.5.4</w:t>
      </w:r>
      <w:r>
        <w:rPr>
          <w:rFonts w:hint="eastAsia" w:asciiTheme="minorEastAsia" w:hAnsiTheme="minorEastAsia" w:eastAsiaTheme="minorEastAsia"/>
          <w:color w:val="000000" w:themeColor="text1"/>
          <w:sz w:val="24"/>
          <w:highlight w:val="none"/>
          <w14:textFill>
            <w14:solidFill>
              <w14:schemeClr w14:val="tx1"/>
            </w14:solidFill>
          </w14:textFill>
        </w:rPr>
        <w:t>磋商文件能够详细列明采购标的的技术、服务要求的，磋商结束后，磋商小组应当要求所有实质性响应的供应商在规定时间内提交最后报价，提交最后报价的供应商不得少于</w:t>
      </w: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家。或磋商文件不能详细列明采购标的的技术、服务要求，需经磋商由供应商提供最终设计方案或解决方案的，磋商结束后，磋商小组应当按照少数服从多数的原则投票推荐</w:t>
      </w: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家以上供应商的设计方案或者解决方案，并要求其在规定时间内提交最后报价。</w:t>
      </w:r>
    </w:p>
    <w:p w14:paraId="091F582E">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2.5.5</w:t>
      </w:r>
      <w:r>
        <w:rPr>
          <w:rFonts w:hint="eastAsia" w:asciiTheme="minorEastAsia" w:hAnsiTheme="minorEastAsia" w:eastAsiaTheme="minorEastAsia"/>
          <w:color w:val="000000" w:themeColor="text1"/>
          <w:sz w:val="24"/>
          <w:highlight w:val="none"/>
          <w14:textFill>
            <w14:solidFill>
              <w14:schemeClr w14:val="tx1"/>
            </w14:solidFill>
          </w14:textFill>
        </w:rPr>
        <w:t>提交最后报价的供应商可以为</w:t>
      </w: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家。</w:t>
      </w:r>
    </w:p>
    <w:p w14:paraId="4A66BBE4">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FF0000"/>
          <w:sz w:val="24"/>
          <w:highlight w:val="none"/>
        </w:rPr>
        <w:t>2.5.6</w:t>
      </w:r>
      <w:r>
        <w:rPr>
          <w:rFonts w:hint="eastAsia" w:asciiTheme="minorEastAsia" w:hAnsiTheme="minorEastAsia" w:eastAsiaTheme="minorEastAsia"/>
          <w:color w:val="FF0000"/>
          <w:sz w:val="24"/>
          <w:highlight w:val="none"/>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Pr>
          <w:rFonts w:hint="eastAsia" w:asciiTheme="minorEastAsia" w:hAnsiTheme="minorEastAsia" w:eastAsiaTheme="minorEastAsia"/>
          <w:color w:val="FF0000"/>
          <w:sz w:val="24"/>
          <w:highlight w:val="none"/>
          <w:lang w:val="zh-CN"/>
        </w:rPr>
        <w:t>磋商小组认为供应商最后报价明显低于成本价，在磋商小组发出质询函后供应商未能提供合理的成本分析和价格构成的或对质函询的解释未被磋商小组采信的，应按照无效响应文件处理。</w:t>
      </w:r>
    </w:p>
    <w:p w14:paraId="069FFA3B">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2.6</w:t>
      </w:r>
      <w:r>
        <w:rPr>
          <w:rFonts w:hint="eastAsia" w:asciiTheme="minorEastAsia" w:hAnsiTheme="minorEastAsia" w:eastAsiaTheme="minorEastAsia"/>
          <w:color w:val="000000" w:themeColor="text1"/>
          <w:sz w:val="24"/>
          <w:highlight w:val="none"/>
          <w14:textFill>
            <w14:solidFill>
              <w14:schemeClr w14:val="tx1"/>
            </w14:solidFill>
          </w14:textFill>
        </w:rPr>
        <w:t>比较与评价。由磋商小组采用综合评分法对提交最后报价的供应商的响应文件和最后报价进行综合评分，具体要求详见本章综合评分部分。</w:t>
      </w:r>
    </w:p>
    <w:p w14:paraId="624785C5">
      <w:pPr>
        <w:spacing w:line="360" w:lineRule="auto"/>
        <w:ind w:firstLine="480" w:firstLineChars="200"/>
        <w:rPr>
          <w:rFonts w:asciiTheme="minorEastAsia" w:hAnsiTheme="minorEastAsia" w:eastAsiaTheme="minorEastAsia"/>
          <w:color w:val="FF0000"/>
          <w:sz w:val="24"/>
          <w:highlight w:val="none"/>
        </w:rPr>
      </w:pPr>
      <w:r>
        <w:rPr>
          <w:rFonts w:asciiTheme="minorEastAsia" w:hAnsiTheme="minorEastAsia" w:eastAsiaTheme="minorEastAsia"/>
          <w:color w:val="FF0000"/>
          <w:sz w:val="24"/>
          <w:highlight w:val="none"/>
        </w:rPr>
        <w:t>2.7</w:t>
      </w:r>
      <w:r>
        <w:rPr>
          <w:rFonts w:hint="eastAsia" w:asciiTheme="minorEastAsia" w:hAnsiTheme="minorEastAsia" w:eastAsiaTheme="minorEastAsia"/>
          <w:color w:val="FF0000"/>
          <w:sz w:val="24"/>
          <w:highlight w:val="none"/>
        </w:rPr>
        <w:t>推荐成交候选供应商。磋商小组应当根据综合评分情况，按照评审得分由高到低顺序推荐</w:t>
      </w:r>
      <w:r>
        <w:rPr>
          <w:rFonts w:asciiTheme="minorEastAsia" w:hAnsiTheme="minorEastAsia" w:eastAsiaTheme="minorEastAsia"/>
          <w:color w:val="FF0000"/>
          <w:sz w:val="24"/>
          <w:highlight w:val="none"/>
        </w:rPr>
        <w:t>2</w:t>
      </w:r>
      <w:r>
        <w:rPr>
          <w:rFonts w:hint="eastAsia" w:asciiTheme="minorEastAsia" w:hAnsiTheme="minorEastAsia" w:eastAsiaTheme="minorEastAsia"/>
          <w:color w:val="FF0000"/>
          <w:sz w:val="24"/>
          <w:highlight w:val="none"/>
        </w:rPr>
        <w:t>家以上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14:paraId="33C46F69">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2.8</w:t>
      </w:r>
      <w:r>
        <w:rPr>
          <w:rFonts w:hint="eastAsia" w:asciiTheme="minorEastAsia" w:hAnsiTheme="minorEastAsia" w:eastAsiaTheme="minorEastAsia"/>
          <w:color w:val="000000" w:themeColor="text1"/>
          <w:sz w:val="24"/>
          <w:highlight w:val="none"/>
          <w14:textFill>
            <w14:solidFill>
              <w14:schemeClr w14:val="tx1"/>
            </w14:solidFill>
          </w14:textFill>
        </w:rPr>
        <w:t>磋商小组复核。磋商小组评分汇总结束后，磋商小组应当进行评审复核，对拟推荐为成交候选供应商的、报价最低的、供应商资格审查未通过的、供应商响应文件作无效处理的重点复核。</w:t>
      </w:r>
    </w:p>
    <w:p w14:paraId="6030C014">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2.9</w:t>
      </w:r>
      <w:r>
        <w:rPr>
          <w:rFonts w:hint="eastAsia" w:asciiTheme="minorEastAsia" w:hAnsiTheme="minorEastAsia" w:eastAsiaTheme="minorEastAsia"/>
          <w:color w:val="000000" w:themeColor="text1"/>
          <w:sz w:val="24"/>
          <w:highlight w:val="none"/>
          <w14:textFill>
            <w14:solidFill>
              <w14:schemeClr w14:val="tx1"/>
            </w14:solidFill>
          </w14:textFill>
        </w:rPr>
        <w:t>采购组织单位现场复核评审结果。</w:t>
      </w:r>
    </w:p>
    <w:p w14:paraId="6CA96A37">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2.9.1</w:t>
      </w:r>
      <w:r>
        <w:rPr>
          <w:rFonts w:hint="eastAsia" w:asciiTheme="minorEastAsia" w:hAnsiTheme="minorEastAsia" w:eastAsiaTheme="minorEastAsia"/>
          <w:color w:val="000000" w:themeColor="text1"/>
          <w:sz w:val="24"/>
          <w:highlight w:val="none"/>
          <w14:textFill>
            <w14:solidFill>
              <w14:schemeClr w14:val="tx1"/>
            </w14:solidFill>
          </w14:textFill>
        </w:rPr>
        <w:t>评审结果汇总完成后，磋商小组拟出具磋商评审报告前</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采购人</w:t>
      </w:r>
      <w:r>
        <w:rPr>
          <w:rFonts w:hint="eastAsia" w:asciiTheme="minorEastAsia" w:hAnsiTheme="minorEastAsia" w:eastAsiaTheme="minorEastAsia"/>
          <w:color w:val="000000" w:themeColor="text1"/>
          <w:sz w:val="24"/>
          <w:highlight w:val="none"/>
          <w14:textFill>
            <w14:solidFill>
              <w14:schemeClr w14:val="tx1"/>
            </w14:solidFill>
          </w14:textFill>
        </w:rPr>
        <w:t>在采购现场监督人员的监督之下，依据有关的法律制度和磋商文件对评审结果进行复核，出具复核报告，存在下列情形之一的，</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采购人</w:t>
      </w:r>
      <w:r>
        <w:rPr>
          <w:rFonts w:hint="eastAsia" w:asciiTheme="minorEastAsia" w:hAnsiTheme="minorEastAsia" w:eastAsiaTheme="minorEastAsia"/>
          <w:color w:val="000000" w:themeColor="text1"/>
          <w:sz w:val="24"/>
          <w:highlight w:val="none"/>
          <w14:textFill>
            <w14:solidFill>
              <w14:schemeClr w14:val="tx1"/>
            </w14:solidFill>
          </w14:textFill>
        </w:rPr>
        <w:t>应当根据情况书面建议磋商小组现场修改评审结果：</w:t>
      </w:r>
    </w:p>
    <w:p w14:paraId="63105266">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）资格性审查认定错误的；</w:t>
      </w:r>
    </w:p>
    <w:p w14:paraId="6F7917A7">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）分值汇总计算错误的；</w:t>
      </w:r>
    </w:p>
    <w:p w14:paraId="01E5BF1C">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）分项评分超出评分标准范围的；</w:t>
      </w:r>
    </w:p>
    <w:p w14:paraId="40559FD4">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）客观评分不一致的。</w:t>
      </w:r>
    </w:p>
    <w:p w14:paraId="320D24FD">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存在本条上述情形的，由磋商小组自主决定是否采纳</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采购人</w:t>
      </w:r>
      <w:r>
        <w:rPr>
          <w:rFonts w:hint="eastAsia" w:asciiTheme="minorEastAsia" w:hAnsiTheme="minorEastAsia" w:eastAsiaTheme="minorEastAsia"/>
          <w:color w:val="000000" w:themeColor="text1"/>
          <w:sz w:val="24"/>
          <w:highlight w:val="none"/>
          <w14:textFill>
            <w14:solidFill>
              <w14:schemeClr w14:val="tx1"/>
            </w14:solidFill>
          </w14:textFill>
        </w:rPr>
        <w:t>的书面建议，并承担独立评审责任。磋商小组采纳</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采购人</w:t>
      </w:r>
      <w:r>
        <w:rPr>
          <w:rFonts w:hint="eastAsia" w:asciiTheme="minorEastAsia" w:hAnsiTheme="minorEastAsia" w:eastAsiaTheme="minorEastAsia"/>
          <w:color w:val="000000" w:themeColor="text1"/>
          <w:sz w:val="24"/>
          <w:highlight w:val="none"/>
          <w14:textFill>
            <w14:solidFill>
              <w14:schemeClr w14:val="tx1"/>
            </w14:solidFill>
          </w14:textFill>
        </w:rPr>
        <w:t>书面建议的，应当按照规定现场修改评审结果或者重新评审，并在磋商报告中详细记载有关事宜；不采纳</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采购人</w:t>
      </w:r>
      <w:r>
        <w:rPr>
          <w:rFonts w:hint="eastAsia" w:asciiTheme="minorEastAsia" w:hAnsiTheme="minorEastAsia" w:eastAsiaTheme="minorEastAsia"/>
          <w:color w:val="000000" w:themeColor="text1"/>
          <w:sz w:val="24"/>
          <w:highlight w:val="none"/>
          <w14:textFill>
            <w14:solidFill>
              <w14:schemeClr w14:val="tx1"/>
            </w14:solidFill>
          </w14:textFill>
        </w:rPr>
        <w:t>书面建议的，应当书面说明理由。</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采购人</w:t>
      </w:r>
      <w:r>
        <w:rPr>
          <w:rFonts w:hint="eastAsia" w:asciiTheme="minorEastAsia" w:hAnsiTheme="minorEastAsia" w:eastAsiaTheme="minorEastAsia"/>
          <w:color w:val="000000" w:themeColor="text1"/>
          <w:sz w:val="24"/>
          <w:highlight w:val="none"/>
          <w14:textFill>
            <w14:solidFill>
              <w14:schemeClr w14:val="tx1"/>
            </w14:solidFill>
          </w14:textFill>
        </w:rPr>
        <w:t>书面建议未被磋商小组采纳的，应当接照规定程序要求继续组织实施采购活动，不得擅自中止采购活动。</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采购人</w:t>
      </w:r>
      <w:r>
        <w:rPr>
          <w:rFonts w:hint="eastAsia" w:asciiTheme="minorEastAsia" w:hAnsiTheme="minorEastAsia" w:eastAsiaTheme="minorEastAsia"/>
          <w:color w:val="000000" w:themeColor="text1"/>
          <w:sz w:val="24"/>
          <w:highlight w:val="none"/>
          <w14:textFill>
            <w14:solidFill>
              <w14:schemeClr w14:val="tx1"/>
            </w14:solidFill>
          </w14:textFill>
        </w:rPr>
        <w:t>认为磋商小组评审结果不合法的，应当书面报告</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采购人纪检</w:t>
      </w:r>
      <w:r>
        <w:rPr>
          <w:rFonts w:hint="eastAsia" w:asciiTheme="minorEastAsia" w:hAnsiTheme="minorEastAsia" w:eastAsiaTheme="minorEastAsia"/>
          <w:color w:val="000000" w:themeColor="text1"/>
          <w:sz w:val="24"/>
          <w:highlight w:val="none"/>
          <w14:textFill>
            <w14:solidFill>
              <w14:schemeClr w14:val="tx1"/>
            </w14:solidFill>
          </w14:textFill>
        </w:rPr>
        <w:t>部门。</w:t>
      </w:r>
    </w:p>
    <w:p w14:paraId="2FF87894">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采购人</w:t>
      </w:r>
      <w:r>
        <w:rPr>
          <w:rFonts w:hint="eastAsia" w:asciiTheme="minorEastAsia" w:hAnsiTheme="minorEastAsia" w:eastAsiaTheme="minorEastAsia"/>
          <w:color w:val="000000" w:themeColor="text1"/>
          <w:sz w:val="24"/>
          <w:highlight w:val="none"/>
          <w14:textFill>
            <w14:solidFill>
              <w14:schemeClr w14:val="tx1"/>
            </w14:solidFill>
          </w14:textFill>
        </w:rPr>
        <w:t>复核过程中，磋商小组成员不得离开评审现场。</w:t>
      </w:r>
    </w:p>
    <w:p w14:paraId="448BD707">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2.9.2</w:t>
      </w:r>
      <w:r>
        <w:rPr>
          <w:rFonts w:hint="eastAsia" w:asciiTheme="minorEastAsia" w:hAnsiTheme="minorEastAsia" w:eastAsiaTheme="minorEastAsia"/>
          <w:color w:val="000000" w:themeColor="text1"/>
          <w:sz w:val="24"/>
          <w:highlight w:val="none"/>
          <w14:textFill>
            <w14:solidFill>
              <w14:schemeClr w14:val="tx1"/>
            </w14:solidFill>
          </w14:textFill>
        </w:rPr>
        <w:t>有下列情形之一的，不得现场修改评审结果：</w:t>
      </w:r>
    </w:p>
    <w:p w14:paraId="481E954B">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）磋商小组已经出具磋商报告并且离开评审现场的；</w:t>
      </w:r>
    </w:p>
    <w:p w14:paraId="58CFF4E8">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采购人</w:t>
      </w:r>
      <w:r>
        <w:rPr>
          <w:rFonts w:hint="eastAsia" w:asciiTheme="minorEastAsia" w:hAnsiTheme="minorEastAsia" w:eastAsiaTheme="minorEastAsia"/>
          <w:color w:val="000000" w:themeColor="text1"/>
          <w:sz w:val="24"/>
          <w:highlight w:val="none"/>
          <w14:textFill>
            <w14:solidFill>
              <w14:schemeClr w14:val="tx1"/>
            </w14:solidFill>
          </w14:textFill>
        </w:rPr>
        <w:t>现场复核时，没有采购监督人员现场监督的；</w:t>
      </w:r>
    </w:p>
    <w:p w14:paraId="77FD515E">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采购人</w:t>
      </w:r>
      <w:r>
        <w:rPr>
          <w:rFonts w:hint="eastAsia" w:asciiTheme="minorEastAsia" w:hAnsiTheme="minorEastAsia" w:eastAsiaTheme="minorEastAsia"/>
          <w:color w:val="000000" w:themeColor="text1"/>
          <w:sz w:val="24"/>
          <w:highlight w:val="none"/>
          <w14:textFill>
            <w14:solidFill>
              <w14:schemeClr w14:val="tx1"/>
            </w14:solidFill>
          </w14:textFill>
        </w:rPr>
        <w:t>现场复核内容超出规定范围的；</w:t>
      </w:r>
    </w:p>
    <w:p w14:paraId="282B21A3">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5</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采购人</w:t>
      </w:r>
      <w:r>
        <w:rPr>
          <w:rFonts w:hint="eastAsia" w:asciiTheme="minorEastAsia" w:hAnsiTheme="minorEastAsia" w:eastAsiaTheme="minorEastAsia"/>
          <w:color w:val="000000" w:themeColor="text1"/>
          <w:sz w:val="24"/>
          <w:highlight w:val="none"/>
          <w14:textFill>
            <w14:solidFill>
              <w14:schemeClr w14:val="tx1"/>
            </w14:solidFill>
          </w14:textFill>
        </w:rPr>
        <w:t>未提供书面建议的。</w:t>
      </w:r>
    </w:p>
    <w:p w14:paraId="7EC43C6A">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2.10</w:t>
      </w:r>
      <w:r>
        <w:rPr>
          <w:rFonts w:hint="eastAsia" w:asciiTheme="minorEastAsia" w:hAnsiTheme="minorEastAsia" w:eastAsiaTheme="minorEastAsia"/>
          <w:color w:val="000000" w:themeColor="text1"/>
          <w:sz w:val="24"/>
          <w:highlight w:val="none"/>
          <w14:textFill>
            <w14:solidFill>
              <w14:schemeClr w14:val="tx1"/>
            </w14:solidFill>
          </w14:textFill>
        </w:rPr>
        <w:t>编写磋商报告。磋商小组推荐成交候选供应商后，应向</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采购人</w:t>
      </w:r>
      <w:r>
        <w:rPr>
          <w:rFonts w:hint="eastAsia" w:asciiTheme="minorEastAsia" w:hAnsiTheme="minorEastAsia" w:eastAsiaTheme="minorEastAsia"/>
          <w:color w:val="000000" w:themeColor="text1"/>
          <w:sz w:val="24"/>
          <w:highlight w:val="none"/>
          <w14:textFill>
            <w14:solidFill>
              <w14:schemeClr w14:val="tx1"/>
            </w14:solidFill>
          </w14:textFill>
        </w:rPr>
        <w:t>出具磋商报告。磋商报告应当包括以下主要内容：</w:t>
      </w:r>
    </w:p>
    <w:p w14:paraId="6B66663E">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）邀请供应商参加采购活动的具体方式和相关情况；</w:t>
      </w:r>
    </w:p>
    <w:p w14:paraId="0F9E268C">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）响应文件开启日期和地点；</w:t>
      </w:r>
    </w:p>
    <w:p w14:paraId="27300279">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）获取磋商文件的供应商名单和磋商小组成员名单；</w:t>
      </w:r>
    </w:p>
    <w:p w14:paraId="67841F03">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）评审情况记录和说明，包括对供应商的资格审查情况、供应商响应文件审查情况、磋商情况、报价情况等；</w:t>
      </w:r>
    </w:p>
    <w:p w14:paraId="4A7515E9">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5</w:t>
      </w:r>
      <w:r>
        <w:rPr>
          <w:rFonts w:hint="eastAsia" w:asciiTheme="minorEastAsia" w:hAnsiTheme="minorEastAsia" w:eastAsiaTheme="minorEastAsia"/>
          <w:color w:val="000000" w:themeColor="text1"/>
          <w:sz w:val="24"/>
          <w:highlight w:val="none"/>
          <w14:textFill>
            <w14:solidFill>
              <w14:schemeClr w14:val="tx1"/>
            </w14:solidFill>
          </w14:textFill>
        </w:rPr>
        <w:t>）提出的成交候选供应商的排序名单及理由。</w:t>
      </w:r>
    </w:p>
    <w:p w14:paraId="3239C23A">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784607AE">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2.11</w:t>
      </w:r>
      <w:r>
        <w:rPr>
          <w:rFonts w:hint="eastAsia" w:asciiTheme="minorEastAsia" w:hAnsiTheme="minorEastAsia" w:eastAsiaTheme="minorEastAsia"/>
          <w:color w:val="000000" w:themeColor="text1"/>
          <w:sz w:val="24"/>
          <w:highlight w:val="none"/>
          <w14:textFill>
            <w14:solidFill>
              <w14:schemeClr w14:val="tx1"/>
            </w14:solidFill>
          </w14:textFill>
        </w:rPr>
        <w:t>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14:paraId="04BF8404">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2.12</w:t>
      </w:r>
      <w:r>
        <w:rPr>
          <w:rFonts w:hint="eastAsia" w:asciiTheme="minorEastAsia" w:hAnsiTheme="minorEastAsia" w:eastAsiaTheme="minorEastAsia"/>
          <w:color w:val="000000" w:themeColor="text1"/>
          <w:sz w:val="24"/>
          <w:highlight w:val="none"/>
          <w14:textFill>
            <w14:solidFill>
              <w14:schemeClr w14:val="tx1"/>
            </w14:solidFill>
          </w14:textFill>
        </w:rPr>
        <w:t>供应商澄清、说明</w:t>
      </w:r>
    </w:p>
    <w:p w14:paraId="2BB5D753">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2.12.1</w:t>
      </w:r>
      <w:r>
        <w:rPr>
          <w:rFonts w:hint="eastAsia" w:asciiTheme="minorEastAsia" w:hAnsiTheme="minorEastAsia" w:eastAsiaTheme="minorEastAsia"/>
          <w:color w:val="000000" w:themeColor="text1"/>
          <w:sz w:val="24"/>
          <w:highlight w:val="none"/>
          <w14:textFill>
            <w14:solidFill>
              <w14:schemeClr w14:val="tx1"/>
            </w14:solidFill>
          </w14:textFill>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89E526A">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2.12.2</w:t>
      </w:r>
      <w:r>
        <w:rPr>
          <w:rFonts w:hint="eastAsia" w:asciiTheme="minorEastAsia" w:hAnsiTheme="minorEastAsia" w:eastAsiaTheme="minorEastAsia"/>
          <w:color w:val="000000" w:themeColor="text1"/>
          <w:sz w:val="24"/>
          <w:highlight w:val="none"/>
          <w14:textFill>
            <w14:solidFill>
              <w14:schemeClr w14:val="tx1"/>
            </w14:solidFill>
          </w14:textFill>
        </w:rPr>
        <w:t>磋商小组要求供应商澄清、说明或者更正响应文件应当以书面形式作出。供应商的澄清、说明或者更正应当由法定代表人</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主要负责人</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本人或其授权代表签字（</w:t>
      </w:r>
      <w:r>
        <w:rPr>
          <w:rFonts w:hint="eastAsia" w:asciiTheme="minorEastAsia" w:hAnsiTheme="minorEastAsia" w:eastAsiaTheme="minorEastAsia"/>
          <w:b/>
          <w:color w:val="000000" w:themeColor="text1"/>
          <w:sz w:val="24"/>
          <w:highlight w:val="none"/>
          <w14:textFill>
            <w14:solidFill>
              <w14:schemeClr w14:val="tx1"/>
            </w14:solidFill>
          </w14:textFill>
        </w:rPr>
        <w:t>注：</w:t>
      </w:r>
      <w:r>
        <w:rPr>
          <w:rFonts w:hint="eastAsia" w:asciiTheme="minorEastAsia" w:hAnsiTheme="minorEastAsia" w:eastAsiaTheme="minorEastAsia"/>
          <w:color w:val="000000" w:themeColor="text1"/>
          <w:sz w:val="24"/>
          <w:highlight w:val="none"/>
          <w14:textFill>
            <w14:solidFill>
              <w14:schemeClr w14:val="tx1"/>
            </w14:solidFill>
          </w14:textFill>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3CE1A30D">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2.13</w:t>
      </w:r>
      <w:r>
        <w:rPr>
          <w:rFonts w:hint="eastAsia" w:asciiTheme="minorEastAsia" w:hAnsiTheme="minorEastAsia" w:eastAsiaTheme="minorEastAsia"/>
          <w:color w:val="000000" w:themeColor="text1"/>
          <w:sz w:val="24"/>
          <w:highlight w:val="none"/>
          <w14:textFill>
            <w14:solidFill>
              <w14:schemeClr w14:val="tx1"/>
            </w14:solidFill>
          </w14:textFill>
        </w:rPr>
        <w:t>终止磋商采购活动。</w:t>
      </w:r>
    </w:p>
    <w:p w14:paraId="7AEE4C02">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出现下列情形之一的，采购人或者采购代理机构应当终止竞争性磋商采购活动，发布项目终止公告并说明原因，重新开展采购活动：</w:t>
      </w:r>
    </w:p>
    <w:p w14:paraId="7A7ED55D">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）因情况变化，不再符合规定的竞争性磋商采购方式适用情形的；</w:t>
      </w:r>
    </w:p>
    <w:p w14:paraId="695E0779">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）出现影响采购公正的违法、违规行为的；</w:t>
      </w:r>
    </w:p>
    <w:p w14:paraId="1120045B">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）在采购过程中符合要求的供应商或者报价未超过采购预算的供应商不足</w:t>
      </w: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家的。</w:t>
      </w:r>
    </w:p>
    <w:p w14:paraId="62DE0CB8">
      <w:pPr>
        <w:spacing w:line="360" w:lineRule="auto"/>
        <w:ind w:firstLine="482" w:firstLineChars="200"/>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3.</w:t>
      </w:r>
      <w:r>
        <w:rPr>
          <w:rFonts w:hint="eastAsia" w:asciiTheme="minorEastAsia" w:hAnsiTheme="minorEastAsia" w:eastAsiaTheme="minorEastAsia"/>
          <w:b/>
          <w:color w:val="000000" w:themeColor="text1"/>
          <w:sz w:val="24"/>
          <w:highlight w:val="none"/>
          <w14:textFill>
            <w14:solidFill>
              <w14:schemeClr w14:val="tx1"/>
            </w14:solidFill>
          </w14:textFill>
        </w:rPr>
        <w:t>综合评分</w:t>
      </w:r>
    </w:p>
    <w:p w14:paraId="3D4B81C5">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3.1</w:t>
      </w:r>
      <w:r>
        <w:rPr>
          <w:rFonts w:hint="eastAsia" w:asciiTheme="minorEastAsia" w:hAnsiTheme="minorEastAsia" w:eastAsiaTheme="minorEastAsia"/>
          <w:color w:val="000000" w:themeColor="text1"/>
          <w:sz w:val="24"/>
          <w:highlight w:val="none"/>
          <w14:textFill>
            <w14:solidFill>
              <w14:schemeClr w14:val="tx1"/>
            </w14:solidFill>
          </w14:textFill>
        </w:rPr>
        <w:t>本次综合评分的因素详</w:t>
      </w:r>
      <w:r>
        <w:rPr>
          <w:rFonts w:asciiTheme="minorEastAsia" w:hAnsiTheme="minorEastAsia" w:eastAsiaTheme="minorEastAsia"/>
          <w:color w:val="000000" w:themeColor="text1"/>
          <w:sz w:val="24"/>
          <w:highlight w:val="none"/>
          <w14:textFill>
            <w14:solidFill>
              <w14:schemeClr w14:val="tx1"/>
            </w14:solidFill>
          </w14:textFill>
        </w:rPr>
        <w:t>3.2.3</w:t>
      </w:r>
      <w:r>
        <w:rPr>
          <w:rFonts w:hint="eastAsia" w:asciiTheme="minorEastAsia" w:hAnsiTheme="minorEastAsia" w:eastAsiaTheme="minorEastAsia"/>
          <w:color w:val="000000" w:themeColor="text1"/>
          <w:sz w:val="24"/>
          <w:highlight w:val="none"/>
          <w14:textFill>
            <w14:solidFill>
              <w14:schemeClr w14:val="tx1"/>
            </w14:solidFill>
          </w14:textFill>
        </w:rPr>
        <w:t>综合评分明细表。</w:t>
      </w:r>
    </w:p>
    <w:p w14:paraId="3724067F">
      <w:pPr>
        <w:pStyle w:val="10"/>
        <w:tabs>
          <w:tab w:val="left" w:pos="600"/>
        </w:tabs>
        <w:spacing w:line="360" w:lineRule="auto"/>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asciiTheme="minorEastAsia" w:hAnsiTheme="minorEastAsia" w:eastAsiaTheme="minorEastAsia"/>
          <w:color w:val="000000" w:themeColor="text1"/>
          <w:sz w:val="24"/>
          <w:szCs w:val="24"/>
          <w:highlight w:val="none"/>
          <w14:textFill>
            <w14:solidFill>
              <w14:schemeClr w14:val="tx1"/>
            </w14:solidFill>
          </w14:textFill>
        </w:rPr>
        <w:t>3.2</w:t>
      </w:r>
      <w:r>
        <w:rPr>
          <w:rFonts w:hint="eastAsia" w:asciiTheme="minorEastAsia" w:hAnsiTheme="minorEastAsia" w:eastAsiaTheme="minorEastAsia"/>
          <w:color w:val="000000" w:themeColor="text1"/>
          <w:sz w:val="24"/>
          <w:szCs w:val="24"/>
          <w:highlight w:val="none"/>
          <w14:textFill>
            <w14:solidFill>
              <w14:schemeClr w14:val="tx1"/>
            </w14:solidFill>
          </w14:textFill>
        </w:rPr>
        <w:t>综合评分明细表</w:t>
      </w:r>
    </w:p>
    <w:p w14:paraId="54E49BBB">
      <w:pPr>
        <w:pStyle w:val="10"/>
        <w:tabs>
          <w:tab w:val="left" w:pos="600"/>
        </w:tabs>
        <w:spacing w:line="360" w:lineRule="auto"/>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asciiTheme="minorEastAsia" w:hAnsiTheme="minorEastAsia" w:eastAsiaTheme="minorEastAsia"/>
          <w:color w:val="000000" w:themeColor="text1"/>
          <w:sz w:val="24"/>
          <w:szCs w:val="24"/>
          <w:highlight w:val="none"/>
          <w14:textFill>
            <w14:solidFill>
              <w14:schemeClr w14:val="tx1"/>
            </w14:solidFill>
          </w14:textFill>
        </w:rPr>
        <w:t>3.2.1</w:t>
      </w:r>
      <w:r>
        <w:rPr>
          <w:rFonts w:hint="eastAsia" w:asciiTheme="minorEastAsia" w:hAnsiTheme="minorEastAsia" w:eastAsiaTheme="minorEastAsia"/>
          <w:color w:val="000000" w:themeColor="text1"/>
          <w:sz w:val="24"/>
          <w:szCs w:val="24"/>
          <w:highlight w:val="none"/>
          <w14:textFill>
            <w14:solidFill>
              <w14:schemeClr w14:val="tx1"/>
            </w14:solidFill>
          </w14:textFill>
        </w:rPr>
        <w:t>综合评分明细表的制定以科学合理、降低评委会自由裁量权为原则。</w:t>
      </w:r>
    </w:p>
    <w:p w14:paraId="73044610">
      <w:pPr>
        <w:pStyle w:val="10"/>
        <w:tabs>
          <w:tab w:val="left" w:pos="600"/>
        </w:tabs>
        <w:spacing w:line="360" w:lineRule="auto"/>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asciiTheme="minorEastAsia" w:hAnsiTheme="minorEastAsia" w:eastAsiaTheme="minorEastAsia"/>
          <w:color w:val="000000" w:themeColor="text1"/>
          <w:sz w:val="24"/>
          <w:szCs w:val="24"/>
          <w:highlight w:val="none"/>
          <w14:textFill>
            <w14:solidFill>
              <w14:schemeClr w14:val="tx1"/>
            </w14:solidFill>
          </w14:textFill>
        </w:rPr>
        <w:t xml:space="preserve">3.2.2 </w:t>
      </w:r>
      <w:r>
        <w:rPr>
          <w:rFonts w:hint="eastAsia" w:asciiTheme="minorEastAsia" w:hAnsiTheme="minorEastAsia" w:eastAsiaTheme="minorEastAsia"/>
          <w:color w:val="000000" w:themeColor="text1"/>
          <w:sz w:val="24"/>
          <w:szCs w:val="24"/>
          <w:highlight w:val="none"/>
          <w14:textFill>
            <w14:solidFill>
              <w14:schemeClr w14:val="tx1"/>
            </w14:solidFill>
          </w14:textFill>
        </w:rPr>
        <w:t>综合评分明细表中的报价应先按供应商须知附表中的相关要求进行价格调整，再进行报价评分。</w:t>
      </w:r>
    </w:p>
    <w:p w14:paraId="123D498A">
      <w:pPr>
        <w:pStyle w:val="3"/>
        <w:keepNext w:val="0"/>
        <w:keepLines w:val="0"/>
        <w:spacing w:before="0" w:after="0" w:line="360" w:lineRule="auto"/>
        <w:ind w:firstLine="470" w:firstLineChars="196"/>
        <w:rPr>
          <w:color w:val="000000" w:themeColor="text1"/>
          <w:highlight w:val="none"/>
          <w14:textFill>
            <w14:solidFill>
              <w14:schemeClr w14:val="tx1"/>
            </w14:solidFill>
          </w14:textFill>
        </w:rPr>
      </w:pPr>
      <w:r>
        <w:rPr>
          <w:rFonts w:asciiTheme="minorEastAsia" w:hAnsiTheme="minorEastAsia" w:eastAsiaTheme="minorEastAsia"/>
          <w:b w:val="0"/>
          <w:color w:val="000000" w:themeColor="text1"/>
          <w:sz w:val="24"/>
          <w:szCs w:val="24"/>
          <w:highlight w:val="none"/>
          <w14:textFill>
            <w14:solidFill>
              <w14:schemeClr w14:val="tx1"/>
            </w14:solidFill>
          </w14:textFill>
        </w:rPr>
        <w:t>3.2.3</w:t>
      </w:r>
      <w:r>
        <w:rPr>
          <w:rFonts w:hint="eastAsia" w:asciiTheme="minorEastAsia" w:hAnsiTheme="minorEastAsia" w:eastAsiaTheme="minorEastAsia"/>
          <w:b w:val="0"/>
          <w:color w:val="000000" w:themeColor="text1"/>
          <w:sz w:val="24"/>
          <w:szCs w:val="24"/>
          <w:highlight w:val="none"/>
          <w14:textFill>
            <w14:solidFill>
              <w14:schemeClr w14:val="tx1"/>
            </w14:solidFill>
          </w14:textFill>
        </w:rPr>
        <w:t>综合评分明细表</w:t>
      </w:r>
    </w:p>
    <w:tbl>
      <w:tblPr>
        <w:tblStyle w:val="18"/>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960"/>
        <w:gridCol w:w="1551"/>
        <w:gridCol w:w="735"/>
        <w:gridCol w:w="4636"/>
        <w:gridCol w:w="815"/>
      </w:tblGrid>
      <w:tr w14:paraId="3F48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46" w:type="dxa"/>
            <w:vAlign w:val="center"/>
          </w:tcPr>
          <w:p w14:paraId="0F947152">
            <w:pPr>
              <w:spacing w:line="360" w:lineRule="auto"/>
              <w:jc w:val="center"/>
              <w:rPr>
                <w:rFonts w:ascii="Calibri" w:hAnsi="宋体" w:cs="宋体"/>
                <w:color w:val="000000" w:themeColor="text1"/>
                <w:szCs w:val="21"/>
                <w:highlight w:val="none"/>
                <w14:textFill>
                  <w14:solidFill>
                    <w14:schemeClr w14:val="tx1"/>
                  </w14:solidFill>
                </w14:textFill>
              </w:rPr>
            </w:pPr>
            <w:r>
              <w:rPr>
                <w:rFonts w:hint="eastAsia" w:ascii="Calibri" w:hAnsi="宋体" w:cs="宋体"/>
                <w:color w:val="000000" w:themeColor="text1"/>
                <w:szCs w:val="21"/>
                <w:highlight w:val="none"/>
                <w14:textFill>
                  <w14:solidFill>
                    <w14:schemeClr w14:val="tx1"/>
                  </w14:solidFill>
                </w14:textFill>
              </w:rPr>
              <w:t>序号</w:t>
            </w:r>
          </w:p>
        </w:tc>
        <w:tc>
          <w:tcPr>
            <w:tcW w:w="2511" w:type="dxa"/>
            <w:gridSpan w:val="2"/>
            <w:vAlign w:val="center"/>
          </w:tcPr>
          <w:p w14:paraId="73EBA09D">
            <w:pPr>
              <w:spacing w:line="360" w:lineRule="auto"/>
              <w:jc w:val="center"/>
              <w:rPr>
                <w:rFonts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评分因素</w:t>
            </w:r>
          </w:p>
          <w:p w14:paraId="0AB19BA0">
            <w:pPr>
              <w:spacing w:line="360" w:lineRule="auto"/>
              <w:jc w:val="center"/>
              <w:rPr>
                <w:rFonts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及权重</w:t>
            </w:r>
          </w:p>
        </w:tc>
        <w:tc>
          <w:tcPr>
            <w:tcW w:w="735" w:type="dxa"/>
            <w:vAlign w:val="center"/>
          </w:tcPr>
          <w:p w14:paraId="053B5E05">
            <w:pPr>
              <w:spacing w:line="360" w:lineRule="auto"/>
              <w:jc w:val="center"/>
              <w:rPr>
                <w:rFonts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分值</w:t>
            </w:r>
          </w:p>
        </w:tc>
        <w:tc>
          <w:tcPr>
            <w:tcW w:w="4636" w:type="dxa"/>
            <w:vAlign w:val="center"/>
          </w:tcPr>
          <w:p w14:paraId="279DD495">
            <w:pPr>
              <w:spacing w:line="360" w:lineRule="auto"/>
              <w:jc w:val="center"/>
              <w:rPr>
                <w:rFonts w:ascii="Calibri" w:hAnsi="宋体" w:cs="宋体"/>
                <w:color w:val="000000" w:themeColor="text1"/>
                <w:szCs w:val="21"/>
                <w:highlight w:val="none"/>
                <w14:textFill>
                  <w14:solidFill>
                    <w14:schemeClr w14:val="tx1"/>
                  </w14:solidFill>
                </w14:textFill>
              </w:rPr>
            </w:pPr>
            <w:r>
              <w:rPr>
                <w:rFonts w:hint="eastAsia" w:ascii="Calibri" w:hAnsi="宋体" w:cs="宋体"/>
                <w:color w:val="000000" w:themeColor="text1"/>
                <w:szCs w:val="21"/>
                <w:highlight w:val="none"/>
                <w14:textFill>
                  <w14:solidFill>
                    <w14:schemeClr w14:val="tx1"/>
                  </w14:solidFill>
                </w14:textFill>
              </w:rPr>
              <w:t>评分标准</w:t>
            </w:r>
          </w:p>
        </w:tc>
        <w:tc>
          <w:tcPr>
            <w:tcW w:w="815" w:type="dxa"/>
            <w:vAlign w:val="center"/>
          </w:tcPr>
          <w:p w14:paraId="1C415705">
            <w:pPr>
              <w:spacing w:line="360" w:lineRule="auto"/>
              <w:jc w:val="center"/>
              <w:rPr>
                <w:rFonts w:ascii="Calibri" w:hAnsi="宋体" w:cs="宋体"/>
                <w:color w:val="000000" w:themeColor="text1"/>
                <w:szCs w:val="21"/>
                <w:highlight w:val="none"/>
                <w14:textFill>
                  <w14:solidFill>
                    <w14:schemeClr w14:val="tx1"/>
                  </w14:solidFill>
                </w14:textFill>
              </w:rPr>
            </w:pPr>
            <w:r>
              <w:rPr>
                <w:rFonts w:hint="eastAsia" w:ascii="Calibri" w:hAnsi="宋体" w:cs="宋体"/>
                <w:color w:val="000000" w:themeColor="text1"/>
                <w:szCs w:val="21"/>
                <w:highlight w:val="none"/>
                <w14:textFill>
                  <w14:solidFill>
                    <w14:schemeClr w14:val="tx1"/>
                  </w14:solidFill>
                </w14:textFill>
              </w:rPr>
              <w:t>说明</w:t>
            </w:r>
          </w:p>
        </w:tc>
      </w:tr>
      <w:tr w14:paraId="1434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7" w:hRule="atLeast"/>
          <w:jc w:val="center"/>
        </w:trPr>
        <w:tc>
          <w:tcPr>
            <w:tcW w:w="546" w:type="dxa"/>
            <w:vAlign w:val="center"/>
          </w:tcPr>
          <w:p w14:paraId="531D706E">
            <w:pPr>
              <w:spacing w:line="360" w:lineRule="auto"/>
              <w:jc w:val="center"/>
              <w:rPr>
                <w:rFonts w:ascii="Calibri" w:hAnsi="宋体" w:cs="宋体"/>
                <w:color w:val="000000" w:themeColor="text1"/>
                <w:szCs w:val="21"/>
                <w:highlight w:val="none"/>
                <w14:textFill>
                  <w14:solidFill>
                    <w14:schemeClr w14:val="tx1"/>
                  </w14:solidFill>
                </w14:textFill>
              </w:rPr>
            </w:pPr>
            <w:r>
              <w:rPr>
                <w:rFonts w:hint="eastAsia" w:ascii="Calibri" w:hAnsi="宋体" w:cs="宋体"/>
                <w:color w:val="000000" w:themeColor="text1"/>
                <w:szCs w:val="21"/>
                <w:highlight w:val="none"/>
                <w14:textFill>
                  <w14:solidFill>
                    <w14:schemeClr w14:val="tx1"/>
                  </w14:solidFill>
                </w14:textFill>
              </w:rPr>
              <w:t>1</w:t>
            </w:r>
          </w:p>
        </w:tc>
        <w:tc>
          <w:tcPr>
            <w:tcW w:w="2511" w:type="dxa"/>
            <w:gridSpan w:val="2"/>
            <w:vAlign w:val="center"/>
          </w:tcPr>
          <w:p w14:paraId="3603EEF4">
            <w:pPr>
              <w:spacing w:line="360" w:lineRule="auto"/>
              <w:jc w:val="center"/>
              <w:rPr>
                <w:rFonts w:hAnsi="宋体" w:cs="宋体"/>
                <w:color w:val="000000" w:themeColor="text1"/>
                <w:szCs w:val="21"/>
                <w:highlight w:val="none"/>
                <w:u w:val="none"/>
                <w14:textFill>
                  <w14:solidFill>
                    <w14:schemeClr w14:val="tx1"/>
                  </w14:solidFill>
                </w14:textFill>
              </w:rPr>
            </w:pPr>
            <w:r>
              <w:rPr>
                <w:rFonts w:hint="eastAsia" w:ascii="宋体" w:hAnsi="宋体" w:cs="宋体"/>
                <w:color w:val="000000" w:themeColor="text1"/>
                <w:szCs w:val="21"/>
                <w:highlight w:val="none"/>
                <w:u w:val="none"/>
                <w14:textFill>
                  <w14:solidFill>
                    <w14:schemeClr w14:val="tx1"/>
                  </w14:solidFill>
                </w14:textFill>
              </w:rPr>
              <w:t>报价</w:t>
            </w:r>
            <w:r>
              <w:rPr>
                <w:rFonts w:hint="eastAsia" w:ascii="宋体" w:hAnsi="宋体" w:cs="宋体"/>
                <w:color w:val="000000" w:themeColor="text1"/>
                <w:szCs w:val="21"/>
                <w:highlight w:val="none"/>
                <w:u w:val="none"/>
                <w:lang w:val="en-US" w:eastAsia="zh-CN"/>
                <w14:textFill>
                  <w14:solidFill>
                    <w14:schemeClr w14:val="tx1"/>
                  </w14:solidFill>
                </w14:textFill>
              </w:rPr>
              <w:t>40</w:t>
            </w:r>
            <w:r>
              <w:rPr>
                <w:rFonts w:hint="eastAsia" w:ascii="宋体" w:hAnsi="宋体" w:cs="宋体"/>
                <w:color w:val="000000" w:themeColor="text1"/>
                <w:szCs w:val="21"/>
                <w:highlight w:val="none"/>
                <w:u w:val="none"/>
                <w14:textFill>
                  <w14:solidFill>
                    <w14:schemeClr w14:val="tx1"/>
                  </w14:solidFill>
                </w14:textFill>
              </w:rPr>
              <w:t>%</w:t>
            </w:r>
          </w:p>
        </w:tc>
        <w:tc>
          <w:tcPr>
            <w:tcW w:w="735" w:type="dxa"/>
            <w:vAlign w:val="center"/>
          </w:tcPr>
          <w:p w14:paraId="2B4104F0">
            <w:pPr>
              <w:spacing w:line="360" w:lineRule="auto"/>
              <w:jc w:val="center"/>
              <w:rPr>
                <w:rFonts w:hAnsi="宋体" w:cs="宋体"/>
                <w:color w:val="000000" w:themeColor="text1"/>
                <w:szCs w:val="21"/>
                <w:highlight w:val="none"/>
                <w:u w:val="none"/>
                <w14:textFill>
                  <w14:solidFill>
                    <w14:schemeClr w14:val="tx1"/>
                  </w14:solidFill>
                </w14:textFill>
              </w:rPr>
            </w:pPr>
            <w:r>
              <w:rPr>
                <w:rFonts w:hint="eastAsia" w:ascii="宋体" w:hAnsi="宋体" w:cs="宋体"/>
                <w:color w:val="000000" w:themeColor="text1"/>
                <w:szCs w:val="21"/>
                <w:highlight w:val="none"/>
                <w:u w:val="none"/>
                <w:lang w:val="en-US" w:eastAsia="zh-CN"/>
                <w14:textFill>
                  <w14:solidFill>
                    <w14:schemeClr w14:val="tx1"/>
                  </w14:solidFill>
                </w14:textFill>
              </w:rPr>
              <w:t>4</w:t>
            </w:r>
            <w:r>
              <w:rPr>
                <w:rFonts w:hint="eastAsia" w:ascii="宋体" w:hAnsi="宋体" w:cs="宋体"/>
                <w:color w:val="000000" w:themeColor="text1"/>
                <w:szCs w:val="21"/>
                <w:highlight w:val="none"/>
                <w:u w:val="none"/>
                <w14:textFill>
                  <w14:solidFill>
                    <w14:schemeClr w14:val="tx1"/>
                  </w14:solidFill>
                </w14:textFill>
              </w:rPr>
              <w:t>0分</w:t>
            </w:r>
          </w:p>
        </w:tc>
        <w:tc>
          <w:tcPr>
            <w:tcW w:w="4636" w:type="dxa"/>
            <w:vAlign w:val="center"/>
          </w:tcPr>
          <w:p w14:paraId="341DB1C7">
            <w:pPr>
              <w:adjustRightInd w:val="0"/>
              <w:snapToGrid w:val="0"/>
              <w:spacing w:line="360" w:lineRule="auto"/>
              <w:jc w:val="left"/>
              <w:rPr>
                <w:rFonts w:hint="eastAsia" w:ascii="Calibri" w:hAnsi="宋体" w:eastAsia="宋体" w:cs="宋体"/>
                <w:bCs/>
                <w:color w:val="000000" w:themeColor="text1"/>
                <w:szCs w:val="21"/>
                <w:highlight w:val="none"/>
                <w:u w:val="none"/>
                <w14:textFill>
                  <w14:solidFill>
                    <w14:schemeClr w14:val="tx1"/>
                  </w14:solidFill>
                </w14:textFill>
              </w:rPr>
            </w:pPr>
            <w:r>
              <w:rPr>
                <w:rFonts w:hint="eastAsia" w:ascii="Calibri" w:hAnsi="宋体" w:eastAsia="宋体" w:cs="宋体"/>
                <w:bCs/>
                <w:color w:val="000000" w:themeColor="text1"/>
                <w:szCs w:val="21"/>
                <w:highlight w:val="none"/>
                <w:u w:val="none"/>
                <w14:textFill>
                  <w14:solidFill>
                    <w14:schemeClr w14:val="tx1"/>
                  </w14:solidFill>
                </w14:textFill>
              </w:rPr>
              <w:t>满足磋商文件要求且最后报价最低的供应商的价格为磋商基准价，其价格分为满分。其他供应商的价格分统一按照下列公式计算：报价得分=（基准价/报价）×</w:t>
            </w:r>
            <w:r>
              <w:rPr>
                <w:rFonts w:hint="eastAsia" w:ascii="Calibri" w:hAnsi="宋体" w:cs="宋体"/>
                <w:bCs/>
                <w:color w:val="000000" w:themeColor="text1"/>
                <w:szCs w:val="21"/>
                <w:highlight w:val="none"/>
                <w:u w:val="none"/>
                <w:lang w:val="en-US" w:eastAsia="zh-CN"/>
                <w14:textFill>
                  <w14:solidFill>
                    <w14:schemeClr w14:val="tx1"/>
                  </w14:solidFill>
                </w14:textFill>
              </w:rPr>
              <w:t>40</w:t>
            </w:r>
            <w:r>
              <w:rPr>
                <w:rFonts w:hint="eastAsia" w:ascii="Calibri" w:hAnsi="宋体" w:eastAsia="宋体" w:cs="宋体"/>
                <w:bCs/>
                <w:color w:val="000000" w:themeColor="text1"/>
                <w:szCs w:val="21"/>
                <w:highlight w:val="none"/>
                <w:u w:val="none"/>
                <w14:textFill>
                  <w14:solidFill>
                    <w14:schemeClr w14:val="tx1"/>
                  </w14:solidFill>
                </w14:textFill>
              </w:rPr>
              <w:t>%×100。</w:t>
            </w:r>
          </w:p>
          <w:p w14:paraId="0459E3C3">
            <w:pPr>
              <w:adjustRightInd w:val="0"/>
              <w:snapToGrid w:val="0"/>
              <w:spacing w:line="360" w:lineRule="auto"/>
              <w:jc w:val="left"/>
              <w:rPr>
                <w:rFonts w:ascii="Calibri" w:hAnsi="宋体" w:cs="宋体" w:eastAsiaTheme="minorEastAsia"/>
                <w:color w:val="000000" w:themeColor="text1"/>
                <w:szCs w:val="21"/>
                <w:highlight w:val="none"/>
                <w:u w:val="none"/>
                <w14:textFill>
                  <w14:solidFill>
                    <w14:schemeClr w14:val="tx1"/>
                  </w14:solidFill>
                </w14:textFill>
              </w:rPr>
            </w:pPr>
            <w:r>
              <w:rPr>
                <w:rFonts w:hint="eastAsia" w:ascii="Calibri" w:hAnsi="宋体" w:eastAsia="宋体" w:cs="宋体"/>
                <w:bCs/>
                <w:color w:val="000000" w:themeColor="text1"/>
                <w:szCs w:val="21"/>
                <w:highlight w:val="none"/>
                <w:u w:val="none"/>
                <w14:textFill>
                  <w14:solidFill>
                    <w14:schemeClr w14:val="tx1"/>
                  </w14:solidFill>
                </w14:textFill>
              </w:rPr>
              <w:t>注：小数点后保留2位。</w:t>
            </w:r>
          </w:p>
        </w:tc>
        <w:tc>
          <w:tcPr>
            <w:tcW w:w="815" w:type="dxa"/>
            <w:vAlign w:val="center"/>
          </w:tcPr>
          <w:p w14:paraId="78A0B0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Calibri" w:hAnsi="宋体" w:cs="宋体"/>
                <w:color w:val="000000" w:themeColor="text1"/>
                <w:szCs w:val="21"/>
                <w:highlight w:val="none"/>
                <w:u w:val="none"/>
                <w14:textFill>
                  <w14:solidFill>
                    <w14:schemeClr w14:val="tx1"/>
                  </w14:solidFill>
                </w14:textFill>
              </w:rPr>
            </w:pPr>
            <w:r>
              <w:rPr>
                <w:rFonts w:hint="eastAsia" w:ascii="Calibri" w:hAnsi="宋体" w:eastAsia="宋体" w:cs="宋体"/>
                <w:bCs/>
                <w:color w:val="000000" w:themeColor="text1"/>
                <w:szCs w:val="21"/>
                <w:highlight w:val="none"/>
                <w:u w:val="none"/>
                <w14:textFill>
                  <w14:solidFill>
                    <w14:schemeClr w14:val="tx1"/>
                  </w14:solidFill>
                </w14:textFill>
              </w:rPr>
              <w:t>共同评分因素</w:t>
            </w:r>
          </w:p>
        </w:tc>
      </w:tr>
      <w:tr w14:paraId="43CEA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9" w:hRule="atLeast"/>
          <w:jc w:val="center"/>
        </w:trPr>
        <w:tc>
          <w:tcPr>
            <w:tcW w:w="546" w:type="dxa"/>
            <w:vMerge w:val="restart"/>
            <w:tcBorders>
              <w:top w:val="single" w:color="auto" w:sz="4" w:space="0"/>
              <w:left w:val="single" w:color="auto" w:sz="4" w:space="0"/>
              <w:right w:val="single" w:color="auto" w:sz="4" w:space="0"/>
            </w:tcBorders>
            <w:vAlign w:val="center"/>
          </w:tcPr>
          <w:p w14:paraId="052D9AFB">
            <w:pPr>
              <w:spacing w:line="360" w:lineRule="auto"/>
              <w:jc w:val="center"/>
              <w:rPr>
                <w:rFonts w:ascii="Calibri" w:hAnsi="宋体" w:cs="宋体"/>
                <w:color w:val="000000" w:themeColor="text1"/>
                <w:szCs w:val="21"/>
                <w:highlight w:val="none"/>
                <w14:textFill>
                  <w14:solidFill>
                    <w14:schemeClr w14:val="tx1"/>
                  </w14:solidFill>
                </w14:textFill>
              </w:rPr>
            </w:pPr>
            <w:r>
              <w:rPr>
                <w:rFonts w:hint="eastAsia" w:ascii="Calibri" w:hAnsi="宋体" w:cs="宋体"/>
                <w:color w:val="000000" w:themeColor="text1"/>
                <w:szCs w:val="21"/>
                <w:highlight w:val="none"/>
                <w14:textFill>
                  <w14:solidFill>
                    <w14:schemeClr w14:val="tx1"/>
                  </w14:solidFill>
                </w14:textFill>
              </w:rPr>
              <w:t>2</w:t>
            </w:r>
          </w:p>
        </w:tc>
        <w:tc>
          <w:tcPr>
            <w:tcW w:w="960" w:type="dxa"/>
            <w:vMerge w:val="restart"/>
            <w:tcBorders>
              <w:top w:val="single" w:color="auto" w:sz="4" w:space="0"/>
              <w:left w:val="single" w:color="auto" w:sz="4" w:space="0"/>
              <w:right w:val="single" w:color="auto" w:sz="4" w:space="0"/>
            </w:tcBorders>
            <w:vAlign w:val="center"/>
          </w:tcPr>
          <w:p w14:paraId="1A8C16A9">
            <w:pPr>
              <w:adjustRightInd w:val="0"/>
              <w:snapToGrid w:val="0"/>
              <w:spacing w:line="360" w:lineRule="auto"/>
              <w:jc w:val="center"/>
              <w:rPr>
                <w:rFonts w:hint="eastAsia" w:ascii="Calibri" w:hAnsi="宋体" w:eastAsia="宋体" w:cs="宋体"/>
                <w:bCs/>
                <w:color w:val="000000" w:themeColor="text1"/>
                <w:szCs w:val="21"/>
                <w:highlight w:val="none"/>
                <w:u w:val="none"/>
                <w14:textFill>
                  <w14:solidFill>
                    <w14:schemeClr w14:val="tx1"/>
                  </w14:solidFill>
                </w14:textFill>
              </w:rPr>
            </w:pPr>
            <w:r>
              <w:rPr>
                <w:rFonts w:hint="eastAsia" w:ascii="Calibri" w:hAnsi="宋体" w:eastAsia="宋体" w:cs="宋体"/>
                <w:bCs/>
                <w:color w:val="000000" w:themeColor="text1"/>
                <w:szCs w:val="21"/>
                <w:highlight w:val="none"/>
                <w:u w:val="none"/>
                <w14:textFill>
                  <w14:solidFill>
                    <w14:schemeClr w14:val="tx1"/>
                  </w14:solidFill>
                </w14:textFill>
              </w:rPr>
              <w:t>施工组织设计评分标准</w:t>
            </w:r>
            <w:r>
              <w:rPr>
                <w:rFonts w:hint="eastAsia" w:ascii="Calibri" w:hAnsi="宋体" w:cs="宋体"/>
                <w:bCs/>
                <w:color w:val="000000" w:themeColor="text1"/>
                <w:szCs w:val="21"/>
                <w:highlight w:val="none"/>
                <w:u w:val="none"/>
                <w:lang w:val="en-US" w:eastAsia="zh-CN"/>
                <w14:textFill>
                  <w14:solidFill>
                    <w14:schemeClr w14:val="tx1"/>
                  </w14:solidFill>
                </w14:textFill>
              </w:rPr>
              <w:t>51</w:t>
            </w:r>
            <w:r>
              <w:rPr>
                <w:rFonts w:hint="eastAsia" w:ascii="Calibri" w:hAnsi="宋体" w:eastAsia="宋体" w:cs="宋体"/>
                <w:bCs/>
                <w:color w:val="000000" w:themeColor="text1"/>
                <w:szCs w:val="21"/>
                <w:highlight w:val="none"/>
                <w:u w:val="none"/>
                <w14:textFill>
                  <w14:solidFill>
                    <w14:schemeClr w14:val="tx1"/>
                  </w14:solidFill>
                </w14:textFill>
              </w:rPr>
              <w:t>%</w:t>
            </w:r>
          </w:p>
        </w:tc>
        <w:tc>
          <w:tcPr>
            <w:tcW w:w="1551" w:type="dxa"/>
            <w:tcBorders>
              <w:top w:val="single" w:color="auto" w:sz="4" w:space="0"/>
              <w:left w:val="single" w:color="auto" w:sz="4" w:space="0"/>
              <w:bottom w:val="single" w:color="auto" w:sz="4" w:space="0"/>
              <w:right w:val="single" w:color="auto" w:sz="4" w:space="0"/>
            </w:tcBorders>
            <w:vAlign w:val="center"/>
          </w:tcPr>
          <w:p w14:paraId="421FFE96">
            <w:pPr>
              <w:adjustRightInd w:val="0"/>
              <w:snapToGrid w:val="0"/>
              <w:spacing w:line="360" w:lineRule="auto"/>
              <w:jc w:val="center"/>
              <w:rPr>
                <w:rFonts w:hint="eastAsia" w:ascii="Calibri" w:hAnsi="宋体" w:eastAsia="宋体" w:cs="宋体"/>
                <w:bCs/>
                <w:color w:val="000000" w:themeColor="text1"/>
                <w:szCs w:val="21"/>
                <w:highlight w:val="none"/>
                <w:u w:val="none"/>
                <w14:textFill>
                  <w14:solidFill>
                    <w14:schemeClr w14:val="tx1"/>
                  </w14:solidFill>
                </w14:textFill>
              </w:rPr>
            </w:pPr>
            <w:r>
              <w:rPr>
                <w:rFonts w:hint="eastAsia" w:ascii="Calibri" w:hAnsi="宋体" w:eastAsia="宋体" w:cs="宋体"/>
                <w:bCs/>
                <w:color w:val="000000" w:themeColor="text1"/>
                <w:szCs w:val="21"/>
                <w:highlight w:val="none"/>
                <w:u w:val="none"/>
                <w14:textFill>
                  <w14:solidFill>
                    <w14:schemeClr w14:val="tx1"/>
                  </w14:solidFill>
                </w14:textFill>
              </w:rPr>
              <w:t>施工方案与技术措施</w:t>
            </w:r>
          </w:p>
        </w:tc>
        <w:tc>
          <w:tcPr>
            <w:tcW w:w="735" w:type="dxa"/>
            <w:tcBorders>
              <w:top w:val="single" w:color="auto" w:sz="4" w:space="0"/>
              <w:left w:val="single" w:color="auto" w:sz="4" w:space="0"/>
              <w:bottom w:val="single" w:color="auto" w:sz="4" w:space="0"/>
              <w:right w:val="single" w:color="auto" w:sz="4" w:space="0"/>
            </w:tcBorders>
            <w:vAlign w:val="center"/>
          </w:tcPr>
          <w:p w14:paraId="3CDDA2CE">
            <w:pPr>
              <w:adjustRightInd w:val="0"/>
              <w:snapToGrid w:val="0"/>
              <w:spacing w:line="360" w:lineRule="auto"/>
              <w:jc w:val="center"/>
              <w:rPr>
                <w:rFonts w:hint="eastAsia" w:ascii="Calibri" w:hAnsi="宋体" w:eastAsia="宋体" w:cs="宋体"/>
                <w:bCs/>
                <w:color w:val="000000" w:themeColor="text1"/>
                <w:szCs w:val="21"/>
                <w:highlight w:val="none"/>
                <w:u w:val="none"/>
                <w14:textFill>
                  <w14:solidFill>
                    <w14:schemeClr w14:val="tx1"/>
                  </w14:solidFill>
                </w14:textFill>
              </w:rPr>
            </w:pPr>
            <w:r>
              <w:rPr>
                <w:rFonts w:hint="eastAsia" w:ascii="Calibri" w:hAnsi="宋体" w:cs="宋体"/>
                <w:bCs/>
                <w:color w:val="000000" w:themeColor="text1"/>
                <w:szCs w:val="21"/>
                <w:highlight w:val="none"/>
                <w:u w:val="none"/>
                <w:lang w:val="en-US" w:eastAsia="zh-CN"/>
                <w14:textFill>
                  <w14:solidFill>
                    <w14:schemeClr w14:val="tx1"/>
                  </w14:solidFill>
                </w14:textFill>
              </w:rPr>
              <w:t>12</w:t>
            </w:r>
            <w:r>
              <w:rPr>
                <w:rFonts w:hint="eastAsia" w:ascii="Calibri" w:hAnsi="宋体" w:eastAsia="宋体" w:cs="宋体"/>
                <w:bCs/>
                <w:color w:val="000000" w:themeColor="text1"/>
                <w:szCs w:val="21"/>
                <w:highlight w:val="none"/>
                <w:u w:val="none"/>
                <w14:textFill>
                  <w14:solidFill>
                    <w14:schemeClr w14:val="tx1"/>
                  </w14:solidFill>
                </w14:textFill>
              </w:rPr>
              <w:t>分</w:t>
            </w:r>
          </w:p>
        </w:tc>
        <w:tc>
          <w:tcPr>
            <w:tcW w:w="4636" w:type="dxa"/>
            <w:tcBorders>
              <w:top w:val="single" w:color="auto" w:sz="4" w:space="0"/>
              <w:left w:val="single" w:color="auto" w:sz="4" w:space="0"/>
              <w:bottom w:val="single" w:color="auto" w:sz="4" w:space="0"/>
              <w:right w:val="single" w:color="auto" w:sz="4" w:space="0"/>
            </w:tcBorders>
            <w:vAlign w:val="center"/>
          </w:tcPr>
          <w:p w14:paraId="09D658CD">
            <w:pPr>
              <w:adjustRightInd w:val="0"/>
              <w:snapToGrid w:val="0"/>
              <w:spacing w:line="360" w:lineRule="auto"/>
              <w:jc w:val="left"/>
              <w:rPr>
                <w:rFonts w:hint="eastAsia" w:ascii="Calibri" w:hAnsi="宋体" w:eastAsia="宋体" w:cs="宋体"/>
                <w:bCs/>
                <w:color w:val="000000" w:themeColor="text1"/>
                <w:szCs w:val="21"/>
                <w:highlight w:val="none"/>
                <w:u w:val="none"/>
                <w14:textFill>
                  <w14:solidFill>
                    <w14:schemeClr w14:val="tx1"/>
                  </w14:solidFill>
                </w14:textFill>
              </w:rPr>
            </w:pPr>
            <w:r>
              <w:rPr>
                <w:rFonts w:hint="eastAsia" w:ascii="Calibri" w:hAnsi="宋体" w:eastAsia="宋体" w:cs="宋体"/>
                <w:bCs/>
                <w:color w:val="000000" w:themeColor="text1"/>
                <w:szCs w:val="21"/>
                <w:highlight w:val="none"/>
                <w:u w:val="none"/>
                <w14:textFill>
                  <w14:solidFill>
                    <w14:schemeClr w14:val="tx1"/>
                  </w14:solidFill>
                </w14:textFill>
              </w:rPr>
              <w:t>根据施工方案与技术措施综合评定，包括施工工艺、资源配备计划、重点难点分析：内容完整且合理可行的得</w:t>
            </w:r>
            <w:r>
              <w:rPr>
                <w:rFonts w:hint="eastAsia" w:ascii="Calibri" w:hAnsi="宋体" w:cs="宋体"/>
                <w:bCs/>
                <w:color w:val="000000" w:themeColor="text1"/>
                <w:szCs w:val="21"/>
                <w:highlight w:val="none"/>
                <w:u w:val="none"/>
                <w:lang w:val="en-US" w:eastAsia="zh-CN"/>
                <w14:textFill>
                  <w14:solidFill>
                    <w14:schemeClr w14:val="tx1"/>
                  </w14:solidFill>
                </w14:textFill>
              </w:rPr>
              <w:t>12</w:t>
            </w:r>
            <w:r>
              <w:rPr>
                <w:rFonts w:hint="eastAsia" w:ascii="Calibri" w:hAnsi="宋体" w:eastAsia="宋体" w:cs="宋体"/>
                <w:bCs/>
                <w:color w:val="000000" w:themeColor="text1"/>
                <w:szCs w:val="21"/>
                <w:highlight w:val="none"/>
                <w:u w:val="none"/>
                <w14:textFill>
                  <w14:solidFill>
                    <w14:schemeClr w14:val="tx1"/>
                  </w14:solidFill>
                </w14:textFill>
              </w:rPr>
              <w:t>分，每有一项内容有缺陷或脱离实际或不完善的扣</w:t>
            </w:r>
            <w:r>
              <w:rPr>
                <w:rFonts w:hint="eastAsia" w:ascii="Calibri" w:hAnsi="宋体" w:cs="宋体"/>
                <w:bCs/>
                <w:color w:val="000000" w:themeColor="text1"/>
                <w:szCs w:val="21"/>
                <w:highlight w:val="none"/>
                <w:u w:val="none"/>
                <w:lang w:val="en-US" w:eastAsia="zh-CN"/>
                <w14:textFill>
                  <w14:solidFill>
                    <w14:schemeClr w14:val="tx1"/>
                  </w14:solidFill>
                </w14:textFill>
              </w:rPr>
              <w:t>4</w:t>
            </w:r>
            <w:r>
              <w:rPr>
                <w:rFonts w:hint="eastAsia" w:ascii="Calibri" w:hAnsi="宋体" w:eastAsia="宋体" w:cs="宋体"/>
                <w:bCs/>
                <w:color w:val="000000" w:themeColor="text1"/>
                <w:szCs w:val="21"/>
                <w:highlight w:val="none"/>
                <w:u w:val="none"/>
                <w14:textFill>
                  <w14:solidFill>
                    <w14:schemeClr w14:val="tx1"/>
                  </w14:solidFill>
                </w14:textFill>
              </w:rPr>
              <w:t>分。</w:t>
            </w:r>
          </w:p>
        </w:tc>
        <w:tc>
          <w:tcPr>
            <w:tcW w:w="815" w:type="dxa"/>
            <w:tcBorders>
              <w:top w:val="single" w:color="auto" w:sz="4" w:space="0"/>
              <w:left w:val="single" w:color="auto" w:sz="4" w:space="0"/>
              <w:bottom w:val="single" w:color="auto" w:sz="4" w:space="0"/>
              <w:right w:val="single" w:color="auto" w:sz="4" w:space="0"/>
            </w:tcBorders>
            <w:vAlign w:val="center"/>
          </w:tcPr>
          <w:p w14:paraId="26DA5B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Calibri" w:hAnsi="宋体" w:cs="宋体"/>
                <w:color w:val="000000" w:themeColor="text1"/>
                <w:szCs w:val="21"/>
                <w:highlight w:val="none"/>
                <w:u w:val="none"/>
                <w14:textFill>
                  <w14:solidFill>
                    <w14:schemeClr w14:val="tx1"/>
                  </w14:solidFill>
                </w14:textFill>
              </w:rPr>
            </w:pPr>
            <w:r>
              <w:rPr>
                <w:rFonts w:hint="eastAsia" w:ascii="宋体" w:hAnsi="宋体"/>
                <w:color w:val="000000"/>
                <w:highlight w:val="none"/>
                <w:u w:val="none"/>
              </w:rPr>
              <w:t>技术评分因素</w:t>
            </w:r>
          </w:p>
        </w:tc>
      </w:tr>
      <w:tr w14:paraId="32AD9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6" w:type="dxa"/>
            <w:vMerge w:val="continue"/>
            <w:tcBorders>
              <w:left w:val="single" w:color="auto" w:sz="4" w:space="0"/>
              <w:right w:val="single" w:color="auto" w:sz="4" w:space="0"/>
            </w:tcBorders>
            <w:vAlign w:val="center"/>
          </w:tcPr>
          <w:p w14:paraId="14F9957E">
            <w:pPr>
              <w:spacing w:line="360" w:lineRule="auto"/>
              <w:jc w:val="center"/>
              <w:rPr>
                <w:rFonts w:ascii="Calibri" w:hAnsi="宋体" w:cs="宋体"/>
                <w:color w:val="000000" w:themeColor="text1"/>
                <w:szCs w:val="21"/>
                <w:highlight w:val="none"/>
                <w14:textFill>
                  <w14:solidFill>
                    <w14:schemeClr w14:val="tx1"/>
                  </w14:solidFill>
                </w14:textFill>
              </w:rPr>
            </w:pPr>
          </w:p>
        </w:tc>
        <w:tc>
          <w:tcPr>
            <w:tcW w:w="960" w:type="dxa"/>
            <w:vMerge w:val="continue"/>
            <w:tcBorders>
              <w:left w:val="single" w:color="auto" w:sz="4" w:space="0"/>
              <w:right w:val="single" w:color="auto" w:sz="4" w:space="0"/>
            </w:tcBorders>
            <w:vAlign w:val="center"/>
          </w:tcPr>
          <w:p w14:paraId="678F0D95">
            <w:pPr>
              <w:adjustRightInd w:val="0"/>
              <w:snapToGrid w:val="0"/>
              <w:spacing w:line="360" w:lineRule="auto"/>
              <w:jc w:val="left"/>
              <w:rPr>
                <w:rFonts w:hint="eastAsia" w:ascii="Calibri" w:hAnsi="宋体" w:eastAsia="宋体" w:cs="宋体"/>
                <w:bCs/>
                <w:color w:val="000000" w:themeColor="text1"/>
                <w:szCs w:val="21"/>
                <w:highlight w:val="none"/>
                <w:u w:val="none"/>
                <w14:textFill>
                  <w14:solidFill>
                    <w14:schemeClr w14:val="tx1"/>
                  </w14:solidFill>
                </w14:textFill>
              </w:rPr>
            </w:pPr>
          </w:p>
        </w:tc>
        <w:tc>
          <w:tcPr>
            <w:tcW w:w="1551" w:type="dxa"/>
            <w:tcBorders>
              <w:top w:val="single" w:color="auto" w:sz="4" w:space="0"/>
              <w:left w:val="single" w:color="auto" w:sz="4" w:space="0"/>
              <w:bottom w:val="single" w:color="auto" w:sz="4" w:space="0"/>
              <w:right w:val="single" w:color="auto" w:sz="4" w:space="0"/>
            </w:tcBorders>
            <w:vAlign w:val="center"/>
          </w:tcPr>
          <w:p w14:paraId="05350362">
            <w:pPr>
              <w:adjustRightInd w:val="0"/>
              <w:snapToGrid w:val="0"/>
              <w:spacing w:line="360" w:lineRule="auto"/>
              <w:jc w:val="center"/>
              <w:rPr>
                <w:rFonts w:hint="eastAsia" w:ascii="Calibri" w:hAnsi="宋体" w:eastAsia="宋体" w:cs="宋体"/>
                <w:bCs/>
                <w:color w:val="000000" w:themeColor="text1"/>
                <w:szCs w:val="21"/>
                <w:highlight w:val="none"/>
                <w:u w:val="none"/>
                <w14:textFill>
                  <w14:solidFill>
                    <w14:schemeClr w14:val="tx1"/>
                  </w14:solidFill>
                </w14:textFill>
              </w:rPr>
            </w:pPr>
            <w:r>
              <w:rPr>
                <w:rFonts w:hint="eastAsia" w:ascii="Calibri" w:hAnsi="宋体" w:eastAsia="宋体" w:cs="宋体"/>
                <w:bCs/>
                <w:color w:val="000000" w:themeColor="text1"/>
                <w:szCs w:val="21"/>
                <w:highlight w:val="none"/>
                <w:u w:val="none"/>
                <w14:textFill>
                  <w14:solidFill>
                    <w14:schemeClr w14:val="tx1"/>
                  </w14:solidFill>
                </w14:textFill>
              </w:rPr>
              <w:t>质量管理体系与保证措施</w:t>
            </w:r>
          </w:p>
        </w:tc>
        <w:tc>
          <w:tcPr>
            <w:tcW w:w="735" w:type="dxa"/>
            <w:tcBorders>
              <w:top w:val="single" w:color="auto" w:sz="4" w:space="0"/>
              <w:left w:val="single" w:color="auto" w:sz="4" w:space="0"/>
              <w:bottom w:val="single" w:color="auto" w:sz="4" w:space="0"/>
              <w:right w:val="single" w:color="auto" w:sz="4" w:space="0"/>
            </w:tcBorders>
            <w:vAlign w:val="center"/>
          </w:tcPr>
          <w:p w14:paraId="23889114">
            <w:pPr>
              <w:adjustRightInd w:val="0"/>
              <w:snapToGrid w:val="0"/>
              <w:spacing w:line="360" w:lineRule="auto"/>
              <w:jc w:val="center"/>
              <w:rPr>
                <w:rFonts w:hint="eastAsia" w:ascii="Calibri" w:hAnsi="宋体" w:eastAsia="宋体" w:cs="宋体"/>
                <w:bCs/>
                <w:color w:val="000000" w:themeColor="text1"/>
                <w:szCs w:val="21"/>
                <w:highlight w:val="none"/>
                <w:u w:val="none"/>
                <w14:textFill>
                  <w14:solidFill>
                    <w14:schemeClr w14:val="tx1"/>
                  </w14:solidFill>
                </w14:textFill>
              </w:rPr>
            </w:pPr>
            <w:r>
              <w:rPr>
                <w:rFonts w:hint="eastAsia" w:ascii="Calibri" w:hAnsi="宋体" w:cs="宋体"/>
                <w:bCs/>
                <w:color w:val="000000" w:themeColor="text1"/>
                <w:szCs w:val="21"/>
                <w:highlight w:val="none"/>
                <w:u w:val="none"/>
                <w:lang w:val="en-US" w:eastAsia="zh-CN"/>
                <w14:textFill>
                  <w14:solidFill>
                    <w14:schemeClr w14:val="tx1"/>
                  </w14:solidFill>
                </w14:textFill>
              </w:rPr>
              <w:t>9</w:t>
            </w:r>
            <w:r>
              <w:rPr>
                <w:rFonts w:hint="eastAsia" w:ascii="Calibri" w:hAnsi="宋体" w:eastAsia="宋体" w:cs="宋体"/>
                <w:bCs/>
                <w:color w:val="000000" w:themeColor="text1"/>
                <w:szCs w:val="21"/>
                <w:highlight w:val="none"/>
                <w:u w:val="none"/>
                <w14:textFill>
                  <w14:solidFill>
                    <w14:schemeClr w14:val="tx1"/>
                  </w14:solidFill>
                </w14:textFill>
              </w:rPr>
              <w:t>分</w:t>
            </w:r>
          </w:p>
        </w:tc>
        <w:tc>
          <w:tcPr>
            <w:tcW w:w="4636" w:type="dxa"/>
            <w:tcBorders>
              <w:top w:val="single" w:color="auto" w:sz="4" w:space="0"/>
              <w:left w:val="single" w:color="auto" w:sz="4" w:space="0"/>
              <w:bottom w:val="single" w:color="auto" w:sz="4" w:space="0"/>
              <w:right w:val="single" w:color="auto" w:sz="4" w:space="0"/>
            </w:tcBorders>
            <w:vAlign w:val="center"/>
          </w:tcPr>
          <w:p w14:paraId="7983C220">
            <w:pPr>
              <w:adjustRightInd w:val="0"/>
              <w:snapToGrid w:val="0"/>
              <w:spacing w:line="360" w:lineRule="auto"/>
              <w:jc w:val="left"/>
              <w:rPr>
                <w:rFonts w:hint="eastAsia" w:ascii="Calibri" w:hAnsi="宋体" w:eastAsia="宋体" w:cs="宋体"/>
                <w:bCs/>
                <w:color w:val="000000" w:themeColor="text1"/>
                <w:szCs w:val="21"/>
                <w:highlight w:val="none"/>
                <w:u w:val="none"/>
                <w14:textFill>
                  <w14:solidFill>
                    <w14:schemeClr w14:val="tx1"/>
                  </w14:solidFill>
                </w14:textFill>
              </w:rPr>
            </w:pPr>
            <w:r>
              <w:rPr>
                <w:rFonts w:hint="eastAsia" w:ascii="Calibri" w:hAnsi="宋体" w:eastAsia="宋体" w:cs="宋体"/>
                <w:bCs/>
                <w:color w:val="000000" w:themeColor="text1"/>
                <w:szCs w:val="21"/>
                <w:highlight w:val="none"/>
                <w:u w:val="none"/>
                <w14:textFill>
                  <w14:solidFill>
                    <w14:schemeClr w14:val="tx1"/>
                  </w14:solidFill>
                </w14:textFill>
              </w:rPr>
              <w:t>根据质量目标和体系、质量保证措施、物资材料质量内容评定：内容完整且合理可行的得</w:t>
            </w:r>
            <w:r>
              <w:rPr>
                <w:rFonts w:hint="eastAsia" w:ascii="Calibri" w:hAnsi="宋体" w:cs="宋体"/>
                <w:bCs/>
                <w:color w:val="000000" w:themeColor="text1"/>
                <w:szCs w:val="21"/>
                <w:highlight w:val="none"/>
                <w:u w:val="none"/>
                <w:lang w:val="en-US" w:eastAsia="zh-CN"/>
                <w14:textFill>
                  <w14:solidFill>
                    <w14:schemeClr w14:val="tx1"/>
                  </w14:solidFill>
                </w14:textFill>
              </w:rPr>
              <w:t>9</w:t>
            </w:r>
            <w:r>
              <w:rPr>
                <w:rFonts w:hint="eastAsia" w:ascii="Calibri" w:hAnsi="宋体" w:eastAsia="宋体" w:cs="宋体"/>
                <w:bCs/>
                <w:color w:val="000000" w:themeColor="text1"/>
                <w:szCs w:val="21"/>
                <w:highlight w:val="none"/>
                <w:u w:val="none"/>
                <w14:textFill>
                  <w14:solidFill>
                    <w14:schemeClr w14:val="tx1"/>
                  </w14:solidFill>
                </w14:textFill>
              </w:rPr>
              <w:t>分，每有一项内容有缺陷或脱离实际或不完善的扣</w:t>
            </w:r>
            <w:r>
              <w:rPr>
                <w:rFonts w:hint="eastAsia" w:ascii="Calibri" w:hAnsi="宋体" w:cs="宋体"/>
                <w:bCs/>
                <w:color w:val="000000" w:themeColor="text1"/>
                <w:szCs w:val="21"/>
                <w:highlight w:val="none"/>
                <w:u w:val="none"/>
                <w:lang w:val="en-US" w:eastAsia="zh-CN"/>
                <w14:textFill>
                  <w14:solidFill>
                    <w14:schemeClr w14:val="tx1"/>
                  </w14:solidFill>
                </w14:textFill>
              </w:rPr>
              <w:t>3</w:t>
            </w:r>
            <w:r>
              <w:rPr>
                <w:rFonts w:hint="eastAsia" w:ascii="Calibri" w:hAnsi="宋体" w:eastAsia="宋体" w:cs="宋体"/>
                <w:bCs/>
                <w:color w:val="000000" w:themeColor="text1"/>
                <w:szCs w:val="21"/>
                <w:highlight w:val="none"/>
                <w:u w:val="none"/>
                <w14:textFill>
                  <w14:solidFill>
                    <w14:schemeClr w14:val="tx1"/>
                  </w14:solidFill>
                </w14:textFill>
              </w:rPr>
              <w:t>分。</w:t>
            </w:r>
          </w:p>
        </w:tc>
        <w:tc>
          <w:tcPr>
            <w:tcW w:w="815" w:type="dxa"/>
            <w:tcBorders>
              <w:top w:val="single" w:color="auto" w:sz="4" w:space="0"/>
              <w:left w:val="single" w:color="auto" w:sz="4" w:space="0"/>
              <w:bottom w:val="single" w:color="auto" w:sz="4" w:space="0"/>
              <w:right w:val="single" w:color="auto" w:sz="4" w:space="0"/>
            </w:tcBorders>
            <w:vAlign w:val="center"/>
          </w:tcPr>
          <w:p w14:paraId="54269C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Calibri" w:hAnsi="宋体" w:cs="宋体"/>
                <w:color w:val="000000" w:themeColor="text1"/>
                <w:szCs w:val="21"/>
                <w:highlight w:val="none"/>
                <w:u w:val="none"/>
                <w14:textFill>
                  <w14:solidFill>
                    <w14:schemeClr w14:val="tx1"/>
                  </w14:solidFill>
                </w14:textFill>
              </w:rPr>
            </w:pPr>
            <w:r>
              <w:rPr>
                <w:rFonts w:hint="eastAsia" w:ascii="宋体" w:hAnsi="宋体"/>
                <w:color w:val="000000"/>
                <w:highlight w:val="none"/>
                <w:u w:val="none"/>
              </w:rPr>
              <w:t>技术评分因素</w:t>
            </w:r>
          </w:p>
        </w:tc>
      </w:tr>
      <w:tr w14:paraId="712E0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6" w:type="dxa"/>
            <w:vMerge w:val="continue"/>
            <w:tcBorders>
              <w:left w:val="single" w:color="auto" w:sz="4" w:space="0"/>
              <w:right w:val="single" w:color="auto" w:sz="4" w:space="0"/>
            </w:tcBorders>
            <w:vAlign w:val="center"/>
          </w:tcPr>
          <w:p w14:paraId="577A9346">
            <w:pPr>
              <w:spacing w:line="360" w:lineRule="auto"/>
              <w:jc w:val="center"/>
              <w:rPr>
                <w:rFonts w:ascii="Calibri" w:hAnsi="宋体" w:cs="宋体"/>
                <w:color w:val="000000" w:themeColor="text1"/>
                <w:szCs w:val="21"/>
                <w:highlight w:val="none"/>
                <w14:textFill>
                  <w14:solidFill>
                    <w14:schemeClr w14:val="tx1"/>
                  </w14:solidFill>
                </w14:textFill>
              </w:rPr>
            </w:pPr>
          </w:p>
        </w:tc>
        <w:tc>
          <w:tcPr>
            <w:tcW w:w="960" w:type="dxa"/>
            <w:vMerge w:val="continue"/>
            <w:tcBorders>
              <w:left w:val="single" w:color="auto" w:sz="4" w:space="0"/>
              <w:right w:val="single" w:color="auto" w:sz="4" w:space="0"/>
            </w:tcBorders>
            <w:vAlign w:val="center"/>
          </w:tcPr>
          <w:p w14:paraId="4365D5F3">
            <w:pPr>
              <w:adjustRightInd w:val="0"/>
              <w:snapToGrid w:val="0"/>
              <w:spacing w:line="360" w:lineRule="auto"/>
              <w:jc w:val="left"/>
              <w:rPr>
                <w:rFonts w:hint="eastAsia" w:ascii="Calibri" w:hAnsi="宋体" w:eastAsia="宋体" w:cs="宋体"/>
                <w:bCs/>
                <w:color w:val="000000" w:themeColor="text1"/>
                <w:szCs w:val="21"/>
                <w:highlight w:val="none"/>
                <w:u w:val="none"/>
                <w14:textFill>
                  <w14:solidFill>
                    <w14:schemeClr w14:val="tx1"/>
                  </w14:solidFill>
                </w14:textFill>
              </w:rPr>
            </w:pPr>
          </w:p>
        </w:tc>
        <w:tc>
          <w:tcPr>
            <w:tcW w:w="1551" w:type="dxa"/>
            <w:tcBorders>
              <w:top w:val="single" w:color="auto" w:sz="4" w:space="0"/>
              <w:left w:val="single" w:color="auto" w:sz="4" w:space="0"/>
              <w:bottom w:val="single" w:color="auto" w:sz="4" w:space="0"/>
              <w:right w:val="single" w:color="auto" w:sz="4" w:space="0"/>
            </w:tcBorders>
            <w:vAlign w:val="center"/>
          </w:tcPr>
          <w:p w14:paraId="0818652D">
            <w:pPr>
              <w:adjustRightInd w:val="0"/>
              <w:snapToGrid w:val="0"/>
              <w:spacing w:line="360" w:lineRule="auto"/>
              <w:jc w:val="center"/>
              <w:rPr>
                <w:rFonts w:hint="eastAsia" w:ascii="Calibri" w:hAnsi="宋体" w:eastAsia="宋体" w:cs="宋体"/>
                <w:bCs/>
                <w:color w:val="000000" w:themeColor="text1"/>
                <w:szCs w:val="21"/>
                <w:highlight w:val="none"/>
                <w:u w:val="none"/>
                <w14:textFill>
                  <w14:solidFill>
                    <w14:schemeClr w14:val="tx1"/>
                  </w14:solidFill>
                </w14:textFill>
              </w:rPr>
            </w:pPr>
            <w:r>
              <w:rPr>
                <w:rFonts w:hint="eastAsia" w:ascii="Calibri" w:hAnsi="宋体" w:eastAsia="宋体" w:cs="宋体"/>
                <w:bCs/>
                <w:color w:val="000000" w:themeColor="text1"/>
                <w:szCs w:val="21"/>
                <w:highlight w:val="none"/>
                <w:u w:val="none"/>
                <w14:textFill>
                  <w14:solidFill>
                    <w14:schemeClr w14:val="tx1"/>
                  </w14:solidFill>
                </w14:textFill>
              </w:rPr>
              <w:t>环境保护管理体系与措施</w:t>
            </w:r>
          </w:p>
        </w:tc>
        <w:tc>
          <w:tcPr>
            <w:tcW w:w="735" w:type="dxa"/>
            <w:tcBorders>
              <w:top w:val="single" w:color="auto" w:sz="4" w:space="0"/>
              <w:left w:val="single" w:color="auto" w:sz="4" w:space="0"/>
              <w:bottom w:val="single" w:color="auto" w:sz="4" w:space="0"/>
              <w:right w:val="single" w:color="auto" w:sz="4" w:space="0"/>
            </w:tcBorders>
            <w:vAlign w:val="center"/>
          </w:tcPr>
          <w:p w14:paraId="0EEDC8F6">
            <w:pPr>
              <w:adjustRightInd w:val="0"/>
              <w:snapToGrid w:val="0"/>
              <w:spacing w:line="360" w:lineRule="auto"/>
              <w:jc w:val="center"/>
              <w:rPr>
                <w:rFonts w:hint="eastAsia" w:ascii="Calibri" w:hAnsi="宋体" w:eastAsia="宋体" w:cs="宋体"/>
                <w:bCs/>
                <w:color w:val="000000" w:themeColor="text1"/>
                <w:szCs w:val="21"/>
                <w:highlight w:val="none"/>
                <w:u w:val="none"/>
                <w14:textFill>
                  <w14:solidFill>
                    <w14:schemeClr w14:val="tx1"/>
                  </w14:solidFill>
                </w14:textFill>
              </w:rPr>
            </w:pPr>
            <w:r>
              <w:rPr>
                <w:rFonts w:hint="eastAsia" w:ascii="Calibri" w:hAnsi="宋体" w:eastAsia="宋体" w:cs="宋体"/>
                <w:bCs/>
                <w:color w:val="000000" w:themeColor="text1"/>
                <w:szCs w:val="21"/>
                <w:highlight w:val="none"/>
                <w:u w:val="none"/>
                <w:lang w:val="en-US" w:eastAsia="zh-CN"/>
                <w14:textFill>
                  <w14:solidFill>
                    <w14:schemeClr w14:val="tx1"/>
                  </w14:solidFill>
                </w14:textFill>
              </w:rPr>
              <w:t>8</w:t>
            </w:r>
            <w:r>
              <w:rPr>
                <w:rFonts w:hint="eastAsia" w:ascii="Calibri" w:hAnsi="宋体" w:eastAsia="宋体" w:cs="宋体"/>
                <w:bCs/>
                <w:color w:val="000000" w:themeColor="text1"/>
                <w:szCs w:val="21"/>
                <w:highlight w:val="none"/>
                <w:u w:val="none"/>
                <w14:textFill>
                  <w14:solidFill>
                    <w14:schemeClr w14:val="tx1"/>
                  </w14:solidFill>
                </w14:textFill>
              </w:rPr>
              <w:t>分</w:t>
            </w:r>
          </w:p>
        </w:tc>
        <w:tc>
          <w:tcPr>
            <w:tcW w:w="4636" w:type="dxa"/>
            <w:tcBorders>
              <w:top w:val="single" w:color="auto" w:sz="4" w:space="0"/>
              <w:left w:val="single" w:color="auto" w:sz="4" w:space="0"/>
              <w:bottom w:val="single" w:color="auto" w:sz="4" w:space="0"/>
              <w:right w:val="single" w:color="auto" w:sz="4" w:space="0"/>
            </w:tcBorders>
            <w:vAlign w:val="center"/>
          </w:tcPr>
          <w:p w14:paraId="146CAEFE">
            <w:pPr>
              <w:adjustRightInd w:val="0"/>
              <w:snapToGrid w:val="0"/>
              <w:spacing w:line="360" w:lineRule="auto"/>
              <w:jc w:val="left"/>
              <w:rPr>
                <w:rFonts w:hint="eastAsia" w:ascii="Calibri" w:hAnsi="宋体" w:eastAsia="宋体" w:cs="宋体"/>
                <w:bCs/>
                <w:color w:val="000000" w:themeColor="text1"/>
                <w:szCs w:val="21"/>
                <w:highlight w:val="none"/>
                <w:u w:val="none"/>
                <w14:textFill>
                  <w14:solidFill>
                    <w14:schemeClr w14:val="tx1"/>
                  </w14:solidFill>
                </w14:textFill>
              </w:rPr>
            </w:pPr>
            <w:r>
              <w:rPr>
                <w:rFonts w:hint="eastAsia" w:ascii="Calibri" w:hAnsi="宋体" w:eastAsia="宋体" w:cs="宋体"/>
                <w:bCs/>
                <w:color w:val="000000" w:themeColor="text1"/>
                <w:szCs w:val="21"/>
                <w:highlight w:val="none"/>
                <w:u w:val="none"/>
                <w14:textFill>
                  <w14:solidFill>
                    <w14:schemeClr w14:val="tx1"/>
                  </w14:solidFill>
                </w14:textFill>
              </w:rPr>
              <w:t>根据环境保护措施、扬尘施工措施、降低噪音技术措施、环保培训计划</w:t>
            </w:r>
            <w:r>
              <w:rPr>
                <w:rFonts w:hint="eastAsia" w:ascii="Calibri" w:hAnsi="宋体" w:cs="宋体"/>
                <w:bCs/>
                <w:color w:val="000000" w:themeColor="text1"/>
                <w:szCs w:val="21"/>
                <w:highlight w:val="none"/>
                <w:u w:val="none"/>
                <w:lang w:val="en-US" w:eastAsia="zh-CN"/>
                <w14:textFill>
                  <w14:solidFill>
                    <w14:schemeClr w14:val="tx1"/>
                  </w14:solidFill>
                </w14:textFill>
              </w:rPr>
              <w:t>内</w:t>
            </w:r>
            <w:r>
              <w:rPr>
                <w:rFonts w:hint="eastAsia" w:ascii="Calibri" w:hAnsi="宋体" w:eastAsia="宋体" w:cs="宋体"/>
                <w:bCs/>
                <w:color w:val="000000" w:themeColor="text1"/>
                <w:szCs w:val="21"/>
                <w:highlight w:val="none"/>
                <w:u w:val="none"/>
                <w14:textFill>
                  <w14:solidFill>
                    <w14:schemeClr w14:val="tx1"/>
                  </w14:solidFill>
                </w14:textFill>
              </w:rPr>
              <w:t>容评定：内容完整且合理可行的得</w:t>
            </w:r>
            <w:r>
              <w:rPr>
                <w:rFonts w:hint="eastAsia" w:ascii="Calibri" w:hAnsi="宋体" w:eastAsia="宋体" w:cs="宋体"/>
                <w:bCs/>
                <w:color w:val="000000" w:themeColor="text1"/>
                <w:szCs w:val="21"/>
                <w:highlight w:val="none"/>
                <w:u w:val="none"/>
                <w:lang w:val="en-US" w:eastAsia="zh-CN"/>
                <w14:textFill>
                  <w14:solidFill>
                    <w14:schemeClr w14:val="tx1"/>
                  </w14:solidFill>
                </w14:textFill>
              </w:rPr>
              <w:t>8</w:t>
            </w:r>
            <w:r>
              <w:rPr>
                <w:rFonts w:hint="eastAsia" w:ascii="Calibri" w:hAnsi="宋体" w:eastAsia="宋体" w:cs="宋体"/>
                <w:bCs/>
                <w:color w:val="000000" w:themeColor="text1"/>
                <w:szCs w:val="21"/>
                <w:highlight w:val="none"/>
                <w:u w:val="none"/>
                <w14:textFill>
                  <w14:solidFill>
                    <w14:schemeClr w14:val="tx1"/>
                  </w14:solidFill>
                </w14:textFill>
              </w:rPr>
              <w:t>分，每有一项内容有缺陷或脱离实际或不完善的扣</w:t>
            </w:r>
            <w:r>
              <w:rPr>
                <w:rFonts w:hint="eastAsia" w:ascii="Calibri" w:hAnsi="宋体" w:eastAsia="宋体" w:cs="宋体"/>
                <w:bCs/>
                <w:color w:val="000000" w:themeColor="text1"/>
                <w:szCs w:val="21"/>
                <w:highlight w:val="none"/>
                <w:u w:val="none"/>
                <w:lang w:val="en-US" w:eastAsia="zh-CN"/>
                <w14:textFill>
                  <w14:solidFill>
                    <w14:schemeClr w14:val="tx1"/>
                  </w14:solidFill>
                </w14:textFill>
              </w:rPr>
              <w:t>2</w:t>
            </w:r>
            <w:r>
              <w:rPr>
                <w:rFonts w:hint="eastAsia" w:ascii="Calibri" w:hAnsi="宋体" w:eastAsia="宋体" w:cs="宋体"/>
                <w:bCs/>
                <w:color w:val="000000" w:themeColor="text1"/>
                <w:szCs w:val="21"/>
                <w:highlight w:val="none"/>
                <w:u w:val="none"/>
                <w14:textFill>
                  <w14:solidFill>
                    <w14:schemeClr w14:val="tx1"/>
                  </w14:solidFill>
                </w14:textFill>
              </w:rPr>
              <w:t>分。</w:t>
            </w:r>
          </w:p>
        </w:tc>
        <w:tc>
          <w:tcPr>
            <w:tcW w:w="815" w:type="dxa"/>
            <w:tcBorders>
              <w:top w:val="single" w:color="auto" w:sz="4" w:space="0"/>
              <w:left w:val="single" w:color="auto" w:sz="4" w:space="0"/>
              <w:bottom w:val="single" w:color="auto" w:sz="4" w:space="0"/>
              <w:right w:val="single" w:color="auto" w:sz="4" w:space="0"/>
            </w:tcBorders>
            <w:vAlign w:val="center"/>
          </w:tcPr>
          <w:p w14:paraId="50668A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Calibri" w:hAnsi="宋体" w:cs="宋体"/>
                <w:color w:val="000000" w:themeColor="text1"/>
                <w:szCs w:val="21"/>
                <w:highlight w:val="none"/>
                <w:u w:val="none"/>
                <w14:textFill>
                  <w14:solidFill>
                    <w14:schemeClr w14:val="tx1"/>
                  </w14:solidFill>
                </w14:textFill>
              </w:rPr>
            </w:pPr>
            <w:r>
              <w:rPr>
                <w:rFonts w:hint="eastAsia" w:ascii="宋体" w:hAnsi="宋体"/>
                <w:color w:val="000000"/>
                <w:highlight w:val="none"/>
                <w:u w:val="none"/>
              </w:rPr>
              <w:t>技术评分因素</w:t>
            </w:r>
          </w:p>
        </w:tc>
      </w:tr>
      <w:tr w14:paraId="16BBE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546" w:type="dxa"/>
            <w:vMerge w:val="continue"/>
            <w:tcBorders>
              <w:left w:val="single" w:color="auto" w:sz="4" w:space="0"/>
              <w:right w:val="single" w:color="auto" w:sz="4" w:space="0"/>
            </w:tcBorders>
            <w:vAlign w:val="center"/>
          </w:tcPr>
          <w:p w14:paraId="59DC204B">
            <w:pPr>
              <w:spacing w:line="360" w:lineRule="auto"/>
              <w:jc w:val="center"/>
              <w:rPr>
                <w:rFonts w:ascii="Calibri" w:hAnsi="宋体" w:cs="宋体"/>
                <w:color w:val="000000" w:themeColor="text1"/>
                <w:szCs w:val="21"/>
                <w:highlight w:val="none"/>
                <w14:textFill>
                  <w14:solidFill>
                    <w14:schemeClr w14:val="tx1"/>
                  </w14:solidFill>
                </w14:textFill>
              </w:rPr>
            </w:pPr>
          </w:p>
        </w:tc>
        <w:tc>
          <w:tcPr>
            <w:tcW w:w="960" w:type="dxa"/>
            <w:vMerge w:val="continue"/>
            <w:tcBorders>
              <w:left w:val="single" w:color="auto" w:sz="4" w:space="0"/>
              <w:right w:val="single" w:color="auto" w:sz="4" w:space="0"/>
            </w:tcBorders>
            <w:vAlign w:val="center"/>
          </w:tcPr>
          <w:p w14:paraId="60BC12CF">
            <w:pPr>
              <w:adjustRightInd w:val="0"/>
              <w:snapToGrid w:val="0"/>
              <w:spacing w:line="360" w:lineRule="auto"/>
              <w:jc w:val="left"/>
              <w:rPr>
                <w:rFonts w:hint="eastAsia" w:ascii="Calibri" w:hAnsi="宋体" w:eastAsia="宋体" w:cs="宋体"/>
                <w:bCs/>
                <w:color w:val="000000" w:themeColor="text1"/>
                <w:szCs w:val="21"/>
                <w:highlight w:val="none"/>
                <w:u w:val="none"/>
                <w14:textFill>
                  <w14:solidFill>
                    <w14:schemeClr w14:val="tx1"/>
                  </w14:solidFill>
                </w14:textFill>
              </w:rPr>
            </w:pPr>
          </w:p>
        </w:tc>
        <w:tc>
          <w:tcPr>
            <w:tcW w:w="1551" w:type="dxa"/>
            <w:tcBorders>
              <w:top w:val="single" w:color="auto" w:sz="4" w:space="0"/>
              <w:left w:val="single" w:color="auto" w:sz="4" w:space="0"/>
              <w:right w:val="single" w:color="auto" w:sz="4" w:space="0"/>
            </w:tcBorders>
            <w:vAlign w:val="center"/>
          </w:tcPr>
          <w:p w14:paraId="138AE2D2">
            <w:pPr>
              <w:adjustRightInd w:val="0"/>
              <w:snapToGrid w:val="0"/>
              <w:spacing w:line="360" w:lineRule="auto"/>
              <w:jc w:val="center"/>
              <w:rPr>
                <w:rFonts w:hint="eastAsia" w:ascii="Calibri" w:hAnsi="宋体" w:eastAsia="宋体" w:cs="宋体"/>
                <w:bCs/>
                <w:color w:val="000000" w:themeColor="text1"/>
                <w:szCs w:val="21"/>
                <w:highlight w:val="none"/>
                <w:u w:val="none"/>
                <w14:textFill>
                  <w14:solidFill>
                    <w14:schemeClr w14:val="tx1"/>
                  </w14:solidFill>
                </w14:textFill>
              </w:rPr>
            </w:pPr>
            <w:r>
              <w:rPr>
                <w:rFonts w:hint="eastAsia" w:ascii="Calibri" w:hAnsi="宋体" w:eastAsia="宋体" w:cs="宋体"/>
                <w:bCs/>
                <w:color w:val="000000" w:themeColor="text1"/>
                <w:szCs w:val="21"/>
                <w:highlight w:val="none"/>
                <w:u w:val="none"/>
                <w14:textFill>
                  <w14:solidFill>
                    <w14:schemeClr w14:val="tx1"/>
                  </w14:solidFill>
                </w14:textFill>
              </w:rPr>
              <w:t>工程进度计划与措施</w:t>
            </w:r>
          </w:p>
        </w:tc>
        <w:tc>
          <w:tcPr>
            <w:tcW w:w="735" w:type="dxa"/>
            <w:tcBorders>
              <w:top w:val="single" w:color="auto" w:sz="4" w:space="0"/>
              <w:left w:val="single" w:color="auto" w:sz="4" w:space="0"/>
              <w:right w:val="single" w:color="auto" w:sz="4" w:space="0"/>
            </w:tcBorders>
            <w:vAlign w:val="center"/>
          </w:tcPr>
          <w:p w14:paraId="493C38B9">
            <w:pPr>
              <w:adjustRightInd w:val="0"/>
              <w:snapToGrid w:val="0"/>
              <w:spacing w:line="360" w:lineRule="auto"/>
              <w:jc w:val="center"/>
              <w:rPr>
                <w:rFonts w:hint="eastAsia" w:ascii="Calibri" w:hAnsi="宋体" w:eastAsia="宋体" w:cs="宋体"/>
                <w:bCs/>
                <w:color w:val="000000" w:themeColor="text1"/>
                <w:szCs w:val="21"/>
                <w:highlight w:val="none"/>
                <w:u w:val="none"/>
                <w14:textFill>
                  <w14:solidFill>
                    <w14:schemeClr w14:val="tx1"/>
                  </w14:solidFill>
                </w14:textFill>
              </w:rPr>
            </w:pPr>
            <w:r>
              <w:rPr>
                <w:rFonts w:hint="eastAsia" w:ascii="Calibri" w:hAnsi="宋体" w:cs="宋体"/>
                <w:bCs/>
                <w:color w:val="000000" w:themeColor="text1"/>
                <w:szCs w:val="21"/>
                <w:highlight w:val="none"/>
                <w:u w:val="none"/>
                <w:lang w:val="en-US" w:eastAsia="zh-CN"/>
                <w14:textFill>
                  <w14:solidFill>
                    <w14:schemeClr w14:val="tx1"/>
                  </w14:solidFill>
                </w14:textFill>
              </w:rPr>
              <w:t>8</w:t>
            </w:r>
            <w:r>
              <w:rPr>
                <w:rFonts w:hint="eastAsia" w:ascii="Calibri" w:hAnsi="宋体" w:eastAsia="宋体" w:cs="宋体"/>
                <w:bCs/>
                <w:color w:val="000000" w:themeColor="text1"/>
                <w:szCs w:val="21"/>
                <w:highlight w:val="none"/>
                <w:u w:val="none"/>
                <w14:textFill>
                  <w14:solidFill>
                    <w14:schemeClr w14:val="tx1"/>
                  </w14:solidFill>
                </w14:textFill>
              </w:rPr>
              <w:t>分</w:t>
            </w:r>
          </w:p>
        </w:tc>
        <w:tc>
          <w:tcPr>
            <w:tcW w:w="4636" w:type="dxa"/>
            <w:tcBorders>
              <w:top w:val="single" w:color="auto" w:sz="4" w:space="0"/>
              <w:left w:val="single" w:color="auto" w:sz="4" w:space="0"/>
              <w:right w:val="single" w:color="auto" w:sz="4" w:space="0"/>
            </w:tcBorders>
            <w:vAlign w:val="center"/>
          </w:tcPr>
          <w:p w14:paraId="66C6F122">
            <w:pPr>
              <w:adjustRightInd w:val="0"/>
              <w:snapToGrid w:val="0"/>
              <w:spacing w:line="360" w:lineRule="auto"/>
              <w:jc w:val="left"/>
              <w:rPr>
                <w:rFonts w:hint="eastAsia" w:ascii="Calibri" w:hAnsi="宋体" w:eastAsia="宋体" w:cs="宋体"/>
                <w:bCs/>
                <w:color w:val="000000" w:themeColor="text1"/>
                <w:szCs w:val="21"/>
                <w:highlight w:val="none"/>
                <w:u w:val="none"/>
                <w14:textFill>
                  <w14:solidFill>
                    <w14:schemeClr w14:val="tx1"/>
                  </w14:solidFill>
                </w14:textFill>
              </w:rPr>
            </w:pPr>
            <w:r>
              <w:rPr>
                <w:rFonts w:hint="eastAsia" w:ascii="Calibri" w:hAnsi="宋体" w:eastAsia="宋体" w:cs="宋体"/>
                <w:bCs/>
                <w:color w:val="000000" w:themeColor="text1"/>
                <w:szCs w:val="21"/>
                <w:highlight w:val="none"/>
                <w:u w:val="none"/>
                <w14:textFill>
                  <w14:solidFill>
                    <w14:schemeClr w14:val="tx1"/>
                  </w14:solidFill>
                </w14:textFill>
              </w:rPr>
              <w:t>根据横道图或双代号网络图评定：关键路径准确、清晰且逻辑关系合理的的得</w:t>
            </w:r>
            <w:r>
              <w:rPr>
                <w:rFonts w:hint="eastAsia" w:ascii="Calibri" w:hAnsi="宋体" w:cs="宋体"/>
                <w:bCs/>
                <w:color w:val="000000" w:themeColor="text1"/>
                <w:szCs w:val="21"/>
                <w:highlight w:val="none"/>
                <w:u w:val="none"/>
                <w:lang w:val="en-US" w:eastAsia="zh-CN"/>
                <w14:textFill>
                  <w14:solidFill>
                    <w14:schemeClr w14:val="tx1"/>
                  </w14:solidFill>
                </w14:textFill>
              </w:rPr>
              <w:t>8</w:t>
            </w:r>
            <w:r>
              <w:rPr>
                <w:rFonts w:hint="eastAsia" w:ascii="Calibri" w:hAnsi="宋体" w:eastAsia="宋体" w:cs="宋体"/>
                <w:bCs/>
                <w:color w:val="000000" w:themeColor="text1"/>
                <w:szCs w:val="21"/>
                <w:highlight w:val="none"/>
                <w:u w:val="none"/>
                <w14:textFill>
                  <w14:solidFill>
                    <w14:schemeClr w14:val="tx1"/>
                  </w14:solidFill>
                </w14:textFill>
              </w:rPr>
              <w:t>分，每有一项内容有缺陷或脱离实际或不完善的扣</w:t>
            </w:r>
            <w:r>
              <w:rPr>
                <w:rFonts w:hint="eastAsia" w:ascii="Calibri" w:hAnsi="宋体" w:cs="宋体"/>
                <w:bCs/>
                <w:color w:val="000000" w:themeColor="text1"/>
                <w:szCs w:val="21"/>
                <w:highlight w:val="none"/>
                <w:u w:val="none"/>
                <w:lang w:val="en-US" w:eastAsia="zh-CN"/>
                <w14:textFill>
                  <w14:solidFill>
                    <w14:schemeClr w14:val="tx1"/>
                  </w14:solidFill>
                </w14:textFill>
              </w:rPr>
              <w:t>4</w:t>
            </w:r>
            <w:r>
              <w:rPr>
                <w:rFonts w:hint="eastAsia" w:ascii="Calibri" w:hAnsi="宋体" w:eastAsia="宋体" w:cs="宋体"/>
                <w:bCs/>
                <w:color w:val="000000" w:themeColor="text1"/>
                <w:szCs w:val="21"/>
                <w:highlight w:val="none"/>
                <w:u w:val="none"/>
                <w14:textFill>
                  <w14:solidFill>
                    <w14:schemeClr w14:val="tx1"/>
                  </w14:solidFill>
                </w14:textFill>
              </w:rPr>
              <w:t>分。</w:t>
            </w:r>
          </w:p>
        </w:tc>
        <w:tc>
          <w:tcPr>
            <w:tcW w:w="815" w:type="dxa"/>
            <w:tcBorders>
              <w:top w:val="single" w:color="auto" w:sz="4" w:space="0"/>
              <w:left w:val="single" w:color="auto" w:sz="4" w:space="0"/>
              <w:bottom w:val="single" w:color="auto" w:sz="4" w:space="0"/>
              <w:right w:val="single" w:color="auto" w:sz="4" w:space="0"/>
            </w:tcBorders>
            <w:vAlign w:val="center"/>
          </w:tcPr>
          <w:p w14:paraId="7768D4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Calibri" w:hAnsi="宋体" w:cs="宋体"/>
                <w:color w:val="000000" w:themeColor="text1"/>
                <w:szCs w:val="21"/>
                <w:highlight w:val="none"/>
                <w:u w:val="none"/>
                <w14:textFill>
                  <w14:solidFill>
                    <w14:schemeClr w14:val="tx1"/>
                  </w14:solidFill>
                </w14:textFill>
              </w:rPr>
            </w:pPr>
            <w:r>
              <w:rPr>
                <w:rFonts w:hint="eastAsia" w:ascii="宋体" w:hAnsi="宋体"/>
                <w:color w:val="000000"/>
                <w:highlight w:val="none"/>
                <w:u w:val="none"/>
              </w:rPr>
              <w:t>技术评分因素</w:t>
            </w:r>
          </w:p>
        </w:tc>
      </w:tr>
      <w:tr w14:paraId="00F46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46" w:type="dxa"/>
            <w:vMerge w:val="continue"/>
            <w:tcBorders>
              <w:left w:val="single" w:color="auto" w:sz="4" w:space="0"/>
              <w:right w:val="single" w:color="auto" w:sz="4" w:space="0"/>
            </w:tcBorders>
            <w:vAlign w:val="center"/>
          </w:tcPr>
          <w:p w14:paraId="2EBC56B6">
            <w:pPr>
              <w:spacing w:line="360" w:lineRule="auto"/>
              <w:jc w:val="center"/>
              <w:rPr>
                <w:rFonts w:ascii="Calibri" w:hAnsi="宋体" w:cs="宋体"/>
                <w:color w:val="000000" w:themeColor="text1"/>
                <w:szCs w:val="21"/>
                <w:highlight w:val="none"/>
                <w14:textFill>
                  <w14:solidFill>
                    <w14:schemeClr w14:val="tx1"/>
                  </w14:solidFill>
                </w14:textFill>
              </w:rPr>
            </w:pPr>
          </w:p>
        </w:tc>
        <w:tc>
          <w:tcPr>
            <w:tcW w:w="960" w:type="dxa"/>
            <w:vMerge w:val="continue"/>
            <w:tcBorders>
              <w:left w:val="single" w:color="auto" w:sz="4" w:space="0"/>
              <w:right w:val="single" w:color="auto" w:sz="4" w:space="0"/>
            </w:tcBorders>
            <w:vAlign w:val="center"/>
          </w:tcPr>
          <w:p w14:paraId="6358E482">
            <w:pPr>
              <w:adjustRightInd w:val="0"/>
              <w:snapToGrid w:val="0"/>
              <w:spacing w:line="360" w:lineRule="auto"/>
              <w:jc w:val="left"/>
              <w:rPr>
                <w:rFonts w:hint="eastAsia" w:ascii="Calibri" w:hAnsi="宋体" w:eastAsia="宋体" w:cs="宋体"/>
                <w:bCs/>
                <w:color w:val="000000" w:themeColor="text1"/>
                <w:szCs w:val="21"/>
                <w:highlight w:val="none"/>
                <w:u w:val="none"/>
                <w14:textFill>
                  <w14:solidFill>
                    <w14:schemeClr w14:val="tx1"/>
                  </w14:solidFill>
                </w14:textFill>
              </w:rPr>
            </w:pPr>
          </w:p>
        </w:tc>
        <w:tc>
          <w:tcPr>
            <w:tcW w:w="1551" w:type="dxa"/>
            <w:tcBorders>
              <w:top w:val="single" w:color="auto" w:sz="4" w:space="0"/>
              <w:left w:val="single" w:color="auto" w:sz="4" w:space="0"/>
              <w:right w:val="single" w:color="auto" w:sz="4" w:space="0"/>
            </w:tcBorders>
            <w:vAlign w:val="center"/>
          </w:tcPr>
          <w:p w14:paraId="310503F4">
            <w:pPr>
              <w:adjustRightInd w:val="0"/>
              <w:snapToGrid w:val="0"/>
              <w:spacing w:line="360" w:lineRule="auto"/>
              <w:jc w:val="center"/>
              <w:rPr>
                <w:rFonts w:hint="eastAsia" w:ascii="Calibri" w:hAnsi="宋体" w:eastAsia="宋体" w:cs="宋体"/>
                <w:bCs/>
                <w:color w:val="000000" w:themeColor="text1"/>
                <w:szCs w:val="21"/>
                <w:highlight w:val="none"/>
                <w:u w:val="none"/>
                <w14:textFill>
                  <w14:solidFill>
                    <w14:schemeClr w14:val="tx1"/>
                  </w14:solidFill>
                </w14:textFill>
              </w:rPr>
            </w:pPr>
            <w:r>
              <w:rPr>
                <w:rFonts w:hint="eastAsia" w:ascii="Calibri" w:hAnsi="宋体" w:eastAsia="宋体" w:cs="宋体"/>
                <w:bCs/>
                <w:color w:val="000000" w:themeColor="text1"/>
                <w:szCs w:val="21"/>
                <w:highlight w:val="none"/>
                <w:u w:val="none"/>
                <w14:textFill>
                  <w14:solidFill>
                    <w14:schemeClr w14:val="tx1"/>
                  </w14:solidFill>
                </w14:textFill>
              </w:rPr>
              <w:t>安全管理体系与措施</w:t>
            </w:r>
          </w:p>
        </w:tc>
        <w:tc>
          <w:tcPr>
            <w:tcW w:w="735" w:type="dxa"/>
            <w:tcBorders>
              <w:top w:val="single" w:color="auto" w:sz="4" w:space="0"/>
              <w:left w:val="single" w:color="auto" w:sz="4" w:space="0"/>
              <w:right w:val="single" w:color="auto" w:sz="4" w:space="0"/>
            </w:tcBorders>
            <w:vAlign w:val="center"/>
          </w:tcPr>
          <w:p w14:paraId="44587C3A">
            <w:pPr>
              <w:adjustRightInd w:val="0"/>
              <w:snapToGrid w:val="0"/>
              <w:spacing w:line="360" w:lineRule="auto"/>
              <w:jc w:val="center"/>
              <w:rPr>
                <w:rFonts w:hint="default" w:ascii="Calibri" w:hAnsi="宋体" w:eastAsia="宋体" w:cs="宋体"/>
                <w:bCs/>
                <w:color w:val="000000" w:themeColor="text1"/>
                <w:szCs w:val="21"/>
                <w:highlight w:val="none"/>
                <w:u w:val="none"/>
                <w:lang w:val="en-US" w:eastAsia="zh-CN"/>
                <w14:textFill>
                  <w14:solidFill>
                    <w14:schemeClr w14:val="tx1"/>
                  </w14:solidFill>
                </w14:textFill>
              </w:rPr>
            </w:pPr>
            <w:r>
              <w:rPr>
                <w:rFonts w:hint="eastAsia" w:ascii="Calibri" w:hAnsi="宋体" w:eastAsia="宋体" w:cs="宋体"/>
                <w:bCs/>
                <w:color w:val="000000" w:themeColor="text1"/>
                <w:szCs w:val="21"/>
                <w:highlight w:val="none"/>
                <w:u w:val="none"/>
                <w:lang w:val="en-US" w:eastAsia="zh-CN"/>
                <w14:textFill>
                  <w14:solidFill>
                    <w14:schemeClr w14:val="tx1"/>
                  </w14:solidFill>
                </w14:textFill>
              </w:rPr>
              <w:t>8分</w:t>
            </w:r>
          </w:p>
        </w:tc>
        <w:tc>
          <w:tcPr>
            <w:tcW w:w="4636" w:type="dxa"/>
            <w:tcBorders>
              <w:top w:val="single" w:color="auto" w:sz="4" w:space="0"/>
              <w:left w:val="single" w:color="auto" w:sz="4" w:space="0"/>
              <w:right w:val="single" w:color="auto" w:sz="4" w:space="0"/>
            </w:tcBorders>
            <w:vAlign w:val="center"/>
          </w:tcPr>
          <w:p w14:paraId="7F8E5774">
            <w:pPr>
              <w:adjustRightInd w:val="0"/>
              <w:snapToGrid w:val="0"/>
              <w:spacing w:line="360" w:lineRule="auto"/>
              <w:jc w:val="left"/>
              <w:rPr>
                <w:rFonts w:hint="eastAsia" w:ascii="Calibri" w:hAnsi="宋体" w:eastAsia="宋体" w:cs="宋体"/>
                <w:bCs/>
                <w:color w:val="000000" w:themeColor="text1"/>
                <w:szCs w:val="21"/>
                <w:highlight w:val="none"/>
                <w:u w:val="none"/>
                <w14:textFill>
                  <w14:solidFill>
                    <w14:schemeClr w14:val="tx1"/>
                  </w14:solidFill>
                </w14:textFill>
              </w:rPr>
            </w:pPr>
            <w:r>
              <w:rPr>
                <w:rFonts w:hint="eastAsia" w:ascii="Calibri" w:hAnsi="宋体" w:eastAsia="宋体" w:cs="宋体"/>
                <w:bCs/>
                <w:color w:val="000000" w:themeColor="text1"/>
                <w:szCs w:val="21"/>
                <w:highlight w:val="none"/>
                <w:u w:val="none"/>
                <w14:textFill>
                  <w14:solidFill>
                    <w14:schemeClr w14:val="tx1"/>
                  </w14:solidFill>
                </w14:textFill>
              </w:rPr>
              <w:t>根据安全管理目标、安全管理体系、安全技术措施、安全应急救援预案内容评定：内容完整且合理可行的得</w:t>
            </w:r>
            <w:r>
              <w:rPr>
                <w:rFonts w:hint="eastAsia" w:ascii="Calibri" w:hAnsi="宋体" w:eastAsia="宋体" w:cs="宋体"/>
                <w:bCs/>
                <w:color w:val="000000" w:themeColor="text1"/>
                <w:szCs w:val="21"/>
                <w:highlight w:val="none"/>
                <w:u w:val="none"/>
                <w:lang w:val="en-US" w:eastAsia="zh-CN"/>
                <w14:textFill>
                  <w14:solidFill>
                    <w14:schemeClr w14:val="tx1"/>
                  </w14:solidFill>
                </w14:textFill>
              </w:rPr>
              <w:t>8</w:t>
            </w:r>
            <w:r>
              <w:rPr>
                <w:rFonts w:hint="eastAsia" w:ascii="Calibri" w:hAnsi="宋体" w:eastAsia="宋体" w:cs="宋体"/>
                <w:bCs/>
                <w:color w:val="000000" w:themeColor="text1"/>
                <w:szCs w:val="21"/>
                <w:highlight w:val="none"/>
                <w:u w:val="none"/>
                <w14:textFill>
                  <w14:solidFill>
                    <w14:schemeClr w14:val="tx1"/>
                  </w14:solidFill>
                </w14:textFill>
              </w:rPr>
              <w:t>分，每有一项内容有缺陷或脱离实际或不完善的扣</w:t>
            </w:r>
            <w:r>
              <w:rPr>
                <w:rFonts w:hint="eastAsia" w:ascii="Calibri" w:hAnsi="宋体" w:eastAsia="宋体" w:cs="宋体"/>
                <w:bCs/>
                <w:color w:val="000000" w:themeColor="text1"/>
                <w:szCs w:val="21"/>
                <w:highlight w:val="none"/>
                <w:u w:val="none"/>
                <w:lang w:val="en-US" w:eastAsia="zh-CN"/>
                <w14:textFill>
                  <w14:solidFill>
                    <w14:schemeClr w14:val="tx1"/>
                  </w14:solidFill>
                </w14:textFill>
              </w:rPr>
              <w:t>2</w:t>
            </w:r>
            <w:r>
              <w:rPr>
                <w:rFonts w:hint="eastAsia" w:ascii="Calibri" w:hAnsi="宋体" w:eastAsia="宋体" w:cs="宋体"/>
                <w:bCs/>
                <w:color w:val="000000" w:themeColor="text1"/>
                <w:szCs w:val="21"/>
                <w:highlight w:val="none"/>
                <w:u w:val="none"/>
                <w14:textFill>
                  <w14:solidFill>
                    <w14:schemeClr w14:val="tx1"/>
                  </w14:solidFill>
                </w14:textFill>
              </w:rPr>
              <w:t>分。</w:t>
            </w:r>
          </w:p>
        </w:tc>
        <w:tc>
          <w:tcPr>
            <w:tcW w:w="815" w:type="dxa"/>
            <w:tcBorders>
              <w:top w:val="single" w:color="auto" w:sz="4" w:space="0"/>
              <w:left w:val="single" w:color="auto" w:sz="4" w:space="0"/>
              <w:bottom w:val="single" w:color="auto" w:sz="4" w:space="0"/>
              <w:right w:val="single" w:color="auto" w:sz="4" w:space="0"/>
            </w:tcBorders>
            <w:vAlign w:val="center"/>
          </w:tcPr>
          <w:p w14:paraId="324ECA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000000"/>
                <w:highlight w:val="none"/>
                <w:u w:val="none"/>
              </w:rPr>
            </w:pPr>
            <w:r>
              <w:rPr>
                <w:rFonts w:hint="eastAsia" w:ascii="宋体" w:hAnsi="宋体"/>
                <w:color w:val="000000"/>
                <w:highlight w:val="none"/>
                <w:u w:val="none"/>
              </w:rPr>
              <w:t>技术评分因素</w:t>
            </w:r>
          </w:p>
        </w:tc>
      </w:tr>
      <w:tr w14:paraId="492DB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546" w:type="dxa"/>
            <w:vMerge w:val="continue"/>
            <w:tcBorders>
              <w:left w:val="single" w:color="auto" w:sz="4" w:space="0"/>
              <w:right w:val="single" w:color="auto" w:sz="4" w:space="0"/>
            </w:tcBorders>
            <w:vAlign w:val="center"/>
          </w:tcPr>
          <w:p w14:paraId="018D4DA6">
            <w:pPr>
              <w:spacing w:line="360" w:lineRule="auto"/>
              <w:jc w:val="center"/>
              <w:rPr>
                <w:rFonts w:ascii="Calibri" w:hAnsi="宋体" w:cs="宋体"/>
                <w:color w:val="000000" w:themeColor="text1"/>
                <w:szCs w:val="21"/>
                <w:highlight w:val="none"/>
                <w14:textFill>
                  <w14:solidFill>
                    <w14:schemeClr w14:val="tx1"/>
                  </w14:solidFill>
                </w14:textFill>
              </w:rPr>
            </w:pPr>
          </w:p>
        </w:tc>
        <w:tc>
          <w:tcPr>
            <w:tcW w:w="960" w:type="dxa"/>
            <w:vMerge w:val="continue"/>
            <w:tcBorders>
              <w:left w:val="single" w:color="auto" w:sz="4" w:space="0"/>
              <w:right w:val="single" w:color="auto" w:sz="4" w:space="0"/>
            </w:tcBorders>
            <w:vAlign w:val="center"/>
          </w:tcPr>
          <w:p w14:paraId="4B76217B">
            <w:pPr>
              <w:adjustRightInd w:val="0"/>
              <w:snapToGrid w:val="0"/>
              <w:spacing w:line="360" w:lineRule="auto"/>
              <w:jc w:val="left"/>
              <w:rPr>
                <w:rFonts w:hint="eastAsia" w:ascii="Calibri" w:hAnsi="宋体" w:eastAsia="宋体" w:cs="宋体"/>
                <w:bCs/>
                <w:color w:val="000000" w:themeColor="text1"/>
                <w:szCs w:val="21"/>
                <w:highlight w:val="none"/>
                <w:u w:val="none"/>
                <w14:textFill>
                  <w14:solidFill>
                    <w14:schemeClr w14:val="tx1"/>
                  </w14:solidFill>
                </w14:textFill>
              </w:rPr>
            </w:pPr>
          </w:p>
        </w:tc>
        <w:tc>
          <w:tcPr>
            <w:tcW w:w="1551" w:type="dxa"/>
            <w:tcBorders>
              <w:top w:val="single" w:color="auto" w:sz="4" w:space="0"/>
              <w:left w:val="single" w:color="auto" w:sz="4" w:space="0"/>
              <w:right w:val="single" w:color="auto" w:sz="4" w:space="0"/>
            </w:tcBorders>
            <w:vAlign w:val="center"/>
          </w:tcPr>
          <w:p w14:paraId="565782C4">
            <w:pPr>
              <w:adjustRightInd w:val="0"/>
              <w:snapToGrid w:val="0"/>
              <w:spacing w:line="360" w:lineRule="auto"/>
              <w:jc w:val="center"/>
              <w:rPr>
                <w:rFonts w:hint="eastAsia" w:ascii="Calibri" w:hAnsi="宋体" w:eastAsia="宋体" w:cs="宋体"/>
                <w:bCs/>
                <w:color w:val="000000" w:themeColor="text1"/>
                <w:szCs w:val="21"/>
                <w:highlight w:val="none"/>
                <w:u w:val="none"/>
                <w14:textFill>
                  <w14:solidFill>
                    <w14:schemeClr w14:val="tx1"/>
                  </w14:solidFill>
                </w14:textFill>
              </w:rPr>
            </w:pPr>
            <w:r>
              <w:rPr>
                <w:rFonts w:hint="eastAsia" w:ascii="Calibri" w:hAnsi="宋体" w:eastAsia="宋体" w:cs="宋体"/>
                <w:bCs/>
                <w:color w:val="000000" w:themeColor="text1"/>
                <w:szCs w:val="21"/>
                <w:highlight w:val="none"/>
                <w:u w:val="none"/>
                <w14:textFill>
                  <w14:solidFill>
                    <w14:schemeClr w14:val="tx1"/>
                  </w14:solidFill>
                </w14:textFill>
              </w:rPr>
              <w:t>主要施工机械设备配备</w:t>
            </w:r>
          </w:p>
        </w:tc>
        <w:tc>
          <w:tcPr>
            <w:tcW w:w="735" w:type="dxa"/>
            <w:tcBorders>
              <w:top w:val="single" w:color="auto" w:sz="4" w:space="0"/>
              <w:left w:val="single" w:color="auto" w:sz="4" w:space="0"/>
              <w:right w:val="single" w:color="auto" w:sz="4" w:space="0"/>
            </w:tcBorders>
            <w:vAlign w:val="center"/>
          </w:tcPr>
          <w:p w14:paraId="46BE0D37">
            <w:pPr>
              <w:adjustRightInd w:val="0"/>
              <w:snapToGrid w:val="0"/>
              <w:spacing w:line="360" w:lineRule="auto"/>
              <w:jc w:val="center"/>
              <w:rPr>
                <w:rFonts w:hint="default" w:ascii="Calibri" w:hAnsi="宋体" w:eastAsia="宋体" w:cs="宋体"/>
                <w:bCs/>
                <w:color w:val="000000" w:themeColor="text1"/>
                <w:szCs w:val="21"/>
                <w:highlight w:val="none"/>
                <w:u w:val="none"/>
                <w:lang w:val="en-US" w:eastAsia="zh-CN"/>
                <w14:textFill>
                  <w14:solidFill>
                    <w14:schemeClr w14:val="tx1"/>
                  </w14:solidFill>
                </w14:textFill>
              </w:rPr>
            </w:pPr>
            <w:r>
              <w:rPr>
                <w:rFonts w:hint="eastAsia" w:ascii="Calibri" w:hAnsi="宋体" w:eastAsia="宋体" w:cs="宋体"/>
                <w:bCs/>
                <w:color w:val="000000" w:themeColor="text1"/>
                <w:szCs w:val="21"/>
                <w:highlight w:val="none"/>
                <w:u w:val="none"/>
                <w:lang w:val="en-US" w:eastAsia="zh-CN"/>
                <w14:textFill>
                  <w14:solidFill>
                    <w14:schemeClr w14:val="tx1"/>
                  </w14:solidFill>
                </w14:textFill>
              </w:rPr>
              <w:t>6分</w:t>
            </w:r>
          </w:p>
        </w:tc>
        <w:tc>
          <w:tcPr>
            <w:tcW w:w="4636" w:type="dxa"/>
            <w:tcBorders>
              <w:top w:val="single" w:color="auto" w:sz="4" w:space="0"/>
              <w:left w:val="single" w:color="auto" w:sz="4" w:space="0"/>
              <w:right w:val="single" w:color="auto" w:sz="4" w:space="0"/>
            </w:tcBorders>
            <w:vAlign w:val="center"/>
          </w:tcPr>
          <w:p w14:paraId="57DDD26E">
            <w:pPr>
              <w:adjustRightInd w:val="0"/>
              <w:snapToGrid w:val="0"/>
              <w:spacing w:line="360" w:lineRule="auto"/>
              <w:jc w:val="left"/>
              <w:rPr>
                <w:rFonts w:hint="eastAsia" w:ascii="Calibri" w:hAnsi="宋体" w:eastAsia="宋体" w:cs="宋体"/>
                <w:bCs/>
                <w:color w:val="000000" w:themeColor="text1"/>
                <w:szCs w:val="21"/>
                <w:highlight w:val="none"/>
                <w:u w:val="none"/>
                <w14:textFill>
                  <w14:solidFill>
                    <w14:schemeClr w14:val="tx1"/>
                  </w14:solidFill>
                </w14:textFill>
              </w:rPr>
            </w:pPr>
            <w:r>
              <w:rPr>
                <w:rFonts w:hint="eastAsia" w:ascii="Calibri" w:hAnsi="宋体" w:eastAsia="宋体" w:cs="宋体"/>
                <w:bCs/>
                <w:color w:val="000000" w:themeColor="text1"/>
                <w:szCs w:val="21"/>
                <w:highlight w:val="none"/>
                <w:u w:val="none"/>
                <w14:textFill>
                  <w14:solidFill>
                    <w14:schemeClr w14:val="tx1"/>
                  </w14:solidFill>
                </w14:textFill>
              </w:rPr>
              <w:t>根据施工机械设备配备、施工机械设备进场计划、施工机械设备保证措施内容评定：内容完整且合理可行的得</w:t>
            </w:r>
            <w:r>
              <w:rPr>
                <w:rFonts w:hint="eastAsia" w:ascii="Calibri" w:hAnsi="宋体" w:eastAsia="宋体" w:cs="宋体"/>
                <w:bCs/>
                <w:color w:val="000000" w:themeColor="text1"/>
                <w:szCs w:val="21"/>
                <w:highlight w:val="none"/>
                <w:u w:val="none"/>
                <w:lang w:val="en-US" w:eastAsia="zh-CN"/>
                <w14:textFill>
                  <w14:solidFill>
                    <w14:schemeClr w14:val="tx1"/>
                  </w14:solidFill>
                </w14:textFill>
              </w:rPr>
              <w:t>6</w:t>
            </w:r>
            <w:r>
              <w:rPr>
                <w:rFonts w:hint="eastAsia" w:ascii="Calibri" w:hAnsi="宋体" w:eastAsia="宋体" w:cs="宋体"/>
                <w:bCs/>
                <w:color w:val="000000" w:themeColor="text1"/>
                <w:szCs w:val="21"/>
                <w:highlight w:val="none"/>
                <w:u w:val="none"/>
                <w14:textFill>
                  <w14:solidFill>
                    <w14:schemeClr w14:val="tx1"/>
                  </w14:solidFill>
                </w14:textFill>
              </w:rPr>
              <w:t>分，每有一项内容有缺陷或脱离实际或不完善的扣</w:t>
            </w:r>
            <w:r>
              <w:rPr>
                <w:rFonts w:hint="eastAsia" w:ascii="Calibri" w:hAnsi="宋体" w:eastAsia="宋体" w:cs="宋体"/>
                <w:bCs/>
                <w:color w:val="000000" w:themeColor="text1"/>
                <w:szCs w:val="21"/>
                <w:highlight w:val="none"/>
                <w:u w:val="none"/>
                <w:lang w:val="en-US" w:eastAsia="zh-CN"/>
                <w14:textFill>
                  <w14:solidFill>
                    <w14:schemeClr w14:val="tx1"/>
                  </w14:solidFill>
                </w14:textFill>
              </w:rPr>
              <w:t>2</w:t>
            </w:r>
            <w:r>
              <w:rPr>
                <w:rFonts w:hint="eastAsia" w:ascii="Calibri" w:hAnsi="宋体" w:eastAsia="宋体" w:cs="宋体"/>
                <w:bCs/>
                <w:color w:val="000000" w:themeColor="text1"/>
                <w:szCs w:val="21"/>
                <w:highlight w:val="none"/>
                <w:u w:val="none"/>
                <w14:textFill>
                  <w14:solidFill>
                    <w14:schemeClr w14:val="tx1"/>
                  </w14:solidFill>
                </w14:textFill>
              </w:rPr>
              <w:t>分。</w:t>
            </w:r>
          </w:p>
        </w:tc>
        <w:tc>
          <w:tcPr>
            <w:tcW w:w="815" w:type="dxa"/>
            <w:tcBorders>
              <w:top w:val="single" w:color="auto" w:sz="4" w:space="0"/>
              <w:left w:val="single" w:color="auto" w:sz="4" w:space="0"/>
              <w:bottom w:val="single" w:color="auto" w:sz="4" w:space="0"/>
              <w:right w:val="single" w:color="auto" w:sz="4" w:space="0"/>
            </w:tcBorders>
            <w:vAlign w:val="center"/>
          </w:tcPr>
          <w:p w14:paraId="477AAF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000000"/>
                <w:highlight w:val="none"/>
                <w:u w:val="none"/>
              </w:rPr>
            </w:pPr>
            <w:r>
              <w:rPr>
                <w:rFonts w:hint="eastAsia" w:ascii="宋体" w:hAnsi="宋体"/>
                <w:color w:val="000000"/>
                <w:highlight w:val="none"/>
                <w:u w:val="none"/>
              </w:rPr>
              <w:t>技术评分因素</w:t>
            </w:r>
          </w:p>
        </w:tc>
      </w:tr>
      <w:tr w14:paraId="795F3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6" w:type="dxa"/>
            <w:tcBorders>
              <w:top w:val="single" w:color="auto" w:sz="4" w:space="0"/>
              <w:left w:val="single" w:color="auto" w:sz="4" w:space="0"/>
              <w:bottom w:val="single" w:color="auto" w:sz="4" w:space="0"/>
              <w:right w:val="single" w:color="auto" w:sz="4" w:space="0"/>
            </w:tcBorders>
            <w:vAlign w:val="center"/>
          </w:tcPr>
          <w:p w14:paraId="3290CE69">
            <w:pPr>
              <w:spacing w:line="360" w:lineRule="auto"/>
              <w:jc w:val="center"/>
              <w:rPr>
                <w:rFonts w:ascii="Calibri" w:hAnsi="宋体" w:cs="宋体"/>
                <w:color w:val="000000" w:themeColor="text1"/>
                <w:szCs w:val="21"/>
                <w:highlight w:val="none"/>
                <w14:textFill>
                  <w14:solidFill>
                    <w14:schemeClr w14:val="tx1"/>
                  </w14:solidFill>
                </w14:textFill>
              </w:rPr>
            </w:pPr>
            <w:r>
              <w:rPr>
                <w:rFonts w:hint="eastAsia" w:ascii="Calibri" w:hAnsi="宋体" w:cs="宋体"/>
                <w:color w:val="000000" w:themeColor="text1"/>
                <w:szCs w:val="21"/>
                <w:highlight w:val="none"/>
                <w14:textFill>
                  <w14:solidFill>
                    <w14:schemeClr w14:val="tx1"/>
                  </w14:solidFill>
                </w14:textFill>
              </w:rPr>
              <w:t>4</w:t>
            </w:r>
          </w:p>
        </w:tc>
        <w:tc>
          <w:tcPr>
            <w:tcW w:w="2511" w:type="dxa"/>
            <w:gridSpan w:val="2"/>
            <w:tcBorders>
              <w:top w:val="single" w:color="auto" w:sz="4" w:space="0"/>
              <w:left w:val="single" w:color="auto" w:sz="4" w:space="0"/>
              <w:bottom w:val="single" w:color="auto" w:sz="4" w:space="0"/>
              <w:right w:val="single" w:color="auto" w:sz="4" w:space="0"/>
            </w:tcBorders>
            <w:vAlign w:val="center"/>
          </w:tcPr>
          <w:p w14:paraId="6E410FA9">
            <w:pPr>
              <w:adjustRightInd w:val="0"/>
              <w:snapToGrid w:val="0"/>
              <w:spacing w:line="360" w:lineRule="auto"/>
              <w:jc w:val="center"/>
              <w:rPr>
                <w:rFonts w:hint="eastAsia" w:ascii="Calibri" w:hAnsi="宋体" w:eastAsia="宋体" w:cs="宋体"/>
                <w:bCs/>
                <w:color w:val="000000" w:themeColor="text1"/>
                <w:szCs w:val="21"/>
                <w:highlight w:val="none"/>
                <w:u w:val="none"/>
                <w14:textFill>
                  <w14:solidFill>
                    <w14:schemeClr w14:val="tx1"/>
                  </w14:solidFill>
                </w14:textFill>
              </w:rPr>
            </w:pPr>
            <w:r>
              <w:rPr>
                <w:rFonts w:hint="eastAsia" w:ascii="Calibri" w:hAnsi="宋体" w:eastAsia="宋体" w:cs="宋体"/>
                <w:bCs/>
                <w:color w:val="000000" w:themeColor="text1"/>
                <w:szCs w:val="21"/>
                <w:highlight w:val="none"/>
                <w:u w:val="none"/>
                <w14:textFill>
                  <w14:solidFill>
                    <w14:schemeClr w14:val="tx1"/>
                  </w14:solidFill>
                </w14:textFill>
              </w:rPr>
              <w:t>业绩</w:t>
            </w:r>
            <w:r>
              <w:rPr>
                <w:rFonts w:hint="eastAsia" w:ascii="Calibri" w:hAnsi="宋体" w:cs="宋体"/>
                <w:bCs/>
                <w:color w:val="000000" w:themeColor="text1"/>
                <w:szCs w:val="21"/>
                <w:highlight w:val="none"/>
                <w:u w:val="none"/>
                <w:lang w:val="en-US" w:eastAsia="zh-CN"/>
                <w14:textFill>
                  <w14:solidFill>
                    <w14:schemeClr w14:val="tx1"/>
                  </w14:solidFill>
                </w14:textFill>
              </w:rPr>
              <w:t>9</w:t>
            </w:r>
            <w:r>
              <w:rPr>
                <w:rFonts w:hint="eastAsia" w:ascii="Calibri" w:hAnsi="宋体" w:eastAsia="宋体" w:cs="宋体"/>
                <w:bCs/>
                <w:color w:val="000000" w:themeColor="text1"/>
                <w:szCs w:val="21"/>
                <w:highlight w:val="none"/>
                <w:u w:val="none"/>
                <w14:textFill>
                  <w14:solidFill>
                    <w14:schemeClr w14:val="tx1"/>
                  </w14:solidFill>
                </w14:textFill>
              </w:rPr>
              <w:t>%</w:t>
            </w:r>
          </w:p>
        </w:tc>
        <w:tc>
          <w:tcPr>
            <w:tcW w:w="735" w:type="dxa"/>
            <w:tcBorders>
              <w:top w:val="single" w:color="auto" w:sz="4" w:space="0"/>
              <w:left w:val="single" w:color="auto" w:sz="4" w:space="0"/>
              <w:bottom w:val="single" w:color="auto" w:sz="4" w:space="0"/>
              <w:right w:val="single" w:color="auto" w:sz="4" w:space="0"/>
            </w:tcBorders>
            <w:vAlign w:val="center"/>
          </w:tcPr>
          <w:p w14:paraId="5858ADEC">
            <w:pPr>
              <w:adjustRightInd w:val="0"/>
              <w:snapToGrid w:val="0"/>
              <w:spacing w:line="360" w:lineRule="auto"/>
              <w:jc w:val="center"/>
              <w:rPr>
                <w:rFonts w:hint="eastAsia" w:ascii="Calibri" w:hAnsi="宋体" w:eastAsia="宋体" w:cs="宋体"/>
                <w:bCs/>
                <w:color w:val="000000" w:themeColor="text1"/>
                <w:szCs w:val="21"/>
                <w:highlight w:val="none"/>
                <w:u w:val="none"/>
                <w14:textFill>
                  <w14:solidFill>
                    <w14:schemeClr w14:val="tx1"/>
                  </w14:solidFill>
                </w14:textFill>
              </w:rPr>
            </w:pPr>
            <w:r>
              <w:rPr>
                <w:rFonts w:hint="eastAsia" w:ascii="Calibri" w:hAnsi="宋体" w:cs="宋体"/>
                <w:bCs/>
                <w:color w:val="000000" w:themeColor="text1"/>
                <w:szCs w:val="21"/>
                <w:highlight w:val="none"/>
                <w:u w:val="none"/>
                <w:lang w:val="en-US" w:eastAsia="zh-CN"/>
                <w14:textFill>
                  <w14:solidFill>
                    <w14:schemeClr w14:val="tx1"/>
                  </w14:solidFill>
                </w14:textFill>
              </w:rPr>
              <w:t>9</w:t>
            </w:r>
            <w:r>
              <w:rPr>
                <w:rFonts w:hint="eastAsia" w:ascii="Calibri" w:hAnsi="宋体" w:eastAsia="宋体" w:cs="宋体"/>
                <w:bCs/>
                <w:color w:val="000000" w:themeColor="text1"/>
                <w:szCs w:val="21"/>
                <w:highlight w:val="none"/>
                <w:u w:val="none"/>
                <w14:textFill>
                  <w14:solidFill>
                    <w14:schemeClr w14:val="tx1"/>
                  </w14:solidFill>
                </w14:textFill>
              </w:rPr>
              <w:t>分</w:t>
            </w:r>
          </w:p>
        </w:tc>
        <w:tc>
          <w:tcPr>
            <w:tcW w:w="4636" w:type="dxa"/>
            <w:tcBorders>
              <w:top w:val="single" w:color="auto" w:sz="4" w:space="0"/>
              <w:left w:val="single" w:color="auto" w:sz="4" w:space="0"/>
              <w:bottom w:val="single" w:color="auto" w:sz="4" w:space="0"/>
              <w:right w:val="single" w:color="auto" w:sz="4" w:space="0"/>
            </w:tcBorders>
            <w:vAlign w:val="center"/>
          </w:tcPr>
          <w:p w14:paraId="35792391">
            <w:pPr>
              <w:adjustRightInd w:val="0"/>
              <w:snapToGrid w:val="0"/>
              <w:spacing w:line="360" w:lineRule="auto"/>
              <w:jc w:val="left"/>
              <w:rPr>
                <w:rFonts w:hint="eastAsia" w:ascii="Calibri" w:hAnsi="宋体" w:eastAsia="宋体" w:cs="宋体"/>
                <w:bCs/>
                <w:color w:val="000000" w:themeColor="text1"/>
                <w:szCs w:val="21"/>
                <w:highlight w:val="none"/>
                <w:u w:val="none"/>
                <w14:textFill>
                  <w14:solidFill>
                    <w14:schemeClr w14:val="tx1"/>
                  </w14:solidFill>
                </w14:textFill>
              </w:rPr>
            </w:pPr>
            <w:r>
              <w:rPr>
                <w:rFonts w:hint="eastAsia" w:ascii="Calibri" w:hAnsi="宋体" w:eastAsia="宋体" w:cs="宋体"/>
                <w:bCs/>
                <w:color w:val="000000" w:themeColor="text1"/>
                <w:szCs w:val="21"/>
                <w:highlight w:val="none"/>
                <w:u w:val="none"/>
                <w14:textFill>
                  <w14:solidFill>
                    <w14:schemeClr w14:val="tx1"/>
                  </w14:solidFill>
                </w14:textFill>
              </w:rPr>
              <w:t>供应商202</w:t>
            </w:r>
            <w:r>
              <w:rPr>
                <w:rFonts w:hint="eastAsia" w:ascii="Calibri" w:hAnsi="宋体" w:cs="宋体"/>
                <w:bCs/>
                <w:color w:val="000000" w:themeColor="text1"/>
                <w:szCs w:val="21"/>
                <w:highlight w:val="none"/>
                <w:u w:val="none"/>
                <w:lang w:val="en-US" w:eastAsia="zh-CN"/>
                <w14:textFill>
                  <w14:solidFill>
                    <w14:schemeClr w14:val="tx1"/>
                  </w14:solidFill>
                </w14:textFill>
              </w:rPr>
              <w:t>2</w:t>
            </w:r>
            <w:r>
              <w:rPr>
                <w:rFonts w:hint="eastAsia" w:ascii="Calibri" w:hAnsi="宋体" w:eastAsia="宋体" w:cs="宋体"/>
                <w:bCs/>
                <w:color w:val="000000" w:themeColor="text1"/>
                <w:szCs w:val="21"/>
                <w:highlight w:val="none"/>
                <w:u w:val="none"/>
                <w14:textFill>
                  <w14:solidFill>
                    <w14:schemeClr w14:val="tx1"/>
                  </w14:solidFill>
                </w14:textFill>
              </w:rPr>
              <w:t>年01月01日（含1日）以来每具有一个已完成或新承接或正在实施的类似项目业绩的得</w:t>
            </w:r>
            <w:r>
              <w:rPr>
                <w:rFonts w:hint="eastAsia" w:ascii="Calibri" w:hAnsi="宋体" w:cs="宋体"/>
                <w:bCs/>
                <w:color w:val="000000" w:themeColor="text1"/>
                <w:szCs w:val="21"/>
                <w:highlight w:val="none"/>
                <w:u w:val="none"/>
                <w:lang w:val="en-US" w:eastAsia="zh-CN"/>
                <w14:textFill>
                  <w14:solidFill>
                    <w14:schemeClr w14:val="tx1"/>
                  </w14:solidFill>
                </w14:textFill>
              </w:rPr>
              <w:t>9</w:t>
            </w:r>
            <w:r>
              <w:rPr>
                <w:rFonts w:hint="eastAsia" w:ascii="Calibri" w:hAnsi="宋体" w:eastAsia="宋体" w:cs="宋体"/>
                <w:bCs/>
                <w:color w:val="000000" w:themeColor="text1"/>
                <w:szCs w:val="21"/>
                <w:highlight w:val="none"/>
                <w:u w:val="none"/>
                <w14:textFill>
                  <w14:solidFill>
                    <w14:schemeClr w14:val="tx1"/>
                  </w14:solidFill>
                </w14:textFill>
              </w:rPr>
              <w:t>分，最多得</w:t>
            </w:r>
            <w:r>
              <w:rPr>
                <w:rFonts w:hint="eastAsia" w:ascii="Calibri" w:hAnsi="宋体" w:cs="宋体"/>
                <w:bCs/>
                <w:color w:val="000000" w:themeColor="text1"/>
                <w:szCs w:val="21"/>
                <w:highlight w:val="none"/>
                <w:u w:val="none"/>
                <w:lang w:val="en-US" w:eastAsia="zh-CN"/>
                <w14:textFill>
                  <w14:solidFill>
                    <w14:schemeClr w14:val="tx1"/>
                  </w14:solidFill>
                </w14:textFill>
              </w:rPr>
              <w:t>9</w:t>
            </w:r>
            <w:r>
              <w:rPr>
                <w:rFonts w:hint="eastAsia" w:ascii="Calibri" w:hAnsi="宋体" w:eastAsia="宋体" w:cs="宋体"/>
                <w:bCs/>
                <w:color w:val="000000" w:themeColor="text1"/>
                <w:szCs w:val="21"/>
                <w:highlight w:val="none"/>
                <w:u w:val="none"/>
                <w14:textFill>
                  <w14:solidFill>
                    <w14:schemeClr w14:val="tx1"/>
                  </w14:solidFill>
                </w14:textFill>
              </w:rPr>
              <w:t>分（类似工程业绩是指：</w:t>
            </w:r>
            <w:r>
              <w:rPr>
                <w:rFonts w:hint="eastAsia" w:ascii="Calibri" w:hAnsi="宋体" w:cs="宋体"/>
                <w:bCs/>
                <w:color w:val="000000" w:themeColor="text1"/>
                <w:szCs w:val="21"/>
                <w14:textFill>
                  <w14:solidFill>
                    <w14:schemeClr w14:val="tx1"/>
                  </w14:solidFill>
                </w14:textFill>
              </w:rPr>
              <w:t>单项合同额不低于</w:t>
            </w:r>
            <w:r>
              <w:rPr>
                <w:rFonts w:hint="eastAsia" w:ascii="Calibri" w:hAnsi="宋体" w:cs="宋体"/>
                <w:bCs/>
                <w:color w:val="000000" w:themeColor="text1"/>
                <w:szCs w:val="21"/>
                <w:lang w:val="en-US" w:eastAsia="zh-CN"/>
                <w14:textFill>
                  <w14:solidFill>
                    <w14:schemeClr w14:val="tx1"/>
                  </w14:solidFill>
                </w14:textFill>
              </w:rPr>
              <w:t>9</w:t>
            </w:r>
            <w:r>
              <w:rPr>
                <w:rFonts w:hint="eastAsia" w:ascii="Calibri" w:hAnsi="宋体" w:cs="宋体"/>
                <w:bCs/>
                <w:color w:val="000000" w:themeColor="text1"/>
                <w:szCs w:val="21"/>
                <w14:textFill>
                  <w14:solidFill>
                    <w14:schemeClr w14:val="tx1"/>
                  </w14:solidFill>
                </w14:textFill>
              </w:rPr>
              <w:t>万元的</w:t>
            </w:r>
            <w:r>
              <w:rPr>
                <w:rFonts w:hint="eastAsia" w:ascii="Calibri" w:hAnsi="宋体" w:cs="宋体"/>
                <w:bCs/>
                <w:color w:val="000000" w:themeColor="text1"/>
                <w:szCs w:val="21"/>
                <w:lang w:val="en-US" w:eastAsia="zh-CN"/>
                <w14:textFill>
                  <w14:solidFill>
                    <w14:schemeClr w14:val="tx1"/>
                  </w14:solidFill>
                </w14:textFill>
              </w:rPr>
              <w:t>装修</w:t>
            </w:r>
            <w:r>
              <w:rPr>
                <w:rFonts w:hint="eastAsia" w:ascii="Calibri" w:hAnsi="宋体" w:cs="宋体"/>
                <w:bCs/>
                <w:color w:val="000000" w:themeColor="text1"/>
                <w:szCs w:val="21"/>
                <w:lang w:eastAsia="zh-CN"/>
                <w14:textFill>
                  <w14:solidFill>
                    <w14:schemeClr w14:val="tx1"/>
                  </w14:solidFill>
                </w14:textFill>
              </w:rPr>
              <w:t>工程</w:t>
            </w:r>
            <w:r>
              <w:rPr>
                <w:rFonts w:hint="eastAsia" w:ascii="Calibri" w:hAnsi="宋体" w:cs="宋体"/>
                <w:bCs/>
                <w:color w:val="000000" w:themeColor="text1"/>
                <w:szCs w:val="21"/>
                <w:lang w:val="en-US" w:eastAsia="zh-CN"/>
                <w14:textFill>
                  <w14:solidFill>
                    <w14:schemeClr w14:val="tx1"/>
                  </w14:solidFill>
                </w14:textFill>
              </w:rPr>
              <w:t>项目</w:t>
            </w:r>
            <w:r>
              <w:rPr>
                <w:rFonts w:hint="eastAsia" w:ascii="Calibri" w:hAnsi="宋体" w:cs="宋体"/>
                <w:bCs/>
                <w:color w:val="000000" w:themeColor="text1"/>
                <w:szCs w:val="21"/>
                <w14:textFill>
                  <w14:solidFill>
                    <w14:schemeClr w14:val="tx1"/>
                  </w14:solidFill>
                </w14:textFill>
              </w:rPr>
              <w:t>业绩</w:t>
            </w:r>
            <w:r>
              <w:rPr>
                <w:rFonts w:hint="eastAsia" w:ascii="Calibri" w:hAnsi="宋体" w:eastAsia="宋体" w:cs="宋体"/>
                <w:bCs/>
                <w:color w:val="000000" w:themeColor="text1"/>
                <w:szCs w:val="21"/>
                <w:highlight w:val="none"/>
                <w:u w:val="none"/>
                <w14:textFill>
                  <w14:solidFill>
                    <w14:schemeClr w14:val="tx1"/>
                  </w14:solidFill>
                </w14:textFill>
              </w:rPr>
              <w:t>）。</w:t>
            </w:r>
          </w:p>
          <w:p w14:paraId="14AE2D8C">
            <w:pPr>
              <w:adjustRightInd w:val="0"/>
              <w:snapToGrid w:val="0"/>
              <w:spacing w:line="360" w:lineRule="auto"/>
              <w:jc w:val="left"/>
              <w:rPr>
                <w:rFonts w:hint="eastAsia" w:ascii="Calibri" w:hAnsi="宋体" w:eastAsia="宋体" w:cs="宋体"/>
                <w:bCs/>
                <w:color w:val="000000" w:themeColor="text1"/>
                <w:szCs w:val="21"/>
                <w:highlight w:val="none"/>
                <w:u w:val="none"/>
                <w14:textFill>
                  <w14:solidFill>
                    <w14:schemeClr w14:val="tx1"/>
                  </w14:solidFill>
                </w14:textFill>
              </w:rPr>
            </w:pPr>
            <w:r>
              <w:rPr>
                <w:rFonts w:hint="eastAsia" w:ascii="Calibri" w:hAnsi="宋体" w:eastAsia="宋体" w:cs="宋体"/>
                <w:bCs/>
                <w:color w:val="000000" w:themeColor="text1"/>
                <w:szCs w:val="21"/>
                <w:highlight w:val="none"/>
                <w:u w:val="none"/>
                <w14:textFill>
                  <w14:solidFill>
                    <w14:schemeClr w14:val="tx1"/>
                  </w14:solidFill>
                </w14:textFill>
              </w:rPr>
              <w:t>注：提供中标/成交通知书或施工合同复印件加盖投标人公章。</w:t>
            </w:r>
          </w:p>
        </w:tc>
        <w:tc>
          <w:tcPr>
            <w:tcW w:w="815" w:type="dxa"/>
            <w:tcBorders>
              <w:top w:val="single" w:color="auto" w:sz="4" w:space="0"/>
              <w:left w:val="single" w:color="auto" w:sz="4" w:space="0"/>
              <w:bottom w:val="single" w:color="auto" w:sz="4" w:space="0"/>
              <w:right w:val="single" w:color="auto" w:sz="4" w:space="0"/>
            </w:tcBorders>
            <w:vAlign w:val="center"/>
          </w:tcPr>
          <w:p w14:paraId="342B70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Calibri" w:hAnsi="宋体" w:cs="宋体"/>
                <w:color w:val="000000" w:themeColor="text1"/>
                <w:szCs w:val="21"/>
                <w:highlight w:val="none"/>
                <w:u w:val="none"/>
                <w14:textFill>
                  <w14:solidFill>
                    <w14:schemeClr w14:val="tx1"/>
                  </w14:solidFill>
                </w14:textFill>
              </w:rPr>
            </w:pPr>
            <w:r>
              <w:rPr>
                <w:rFonts w:hint="eastAsia" w:asciiTheme="minorEastAsia" w:hAnsiTheme="minorEastAsia" w:eastAsiaTheme="minorEastAsia" w:cstheme="minorEastAsia"/>
                <w:color w:val="000000"/>
                <w:highlight w:val="none"/>
                <w:u w:val="none"/>
              </w:rPr>
              <w:t>共同评分因素</w:t>
            </w:r>
          </w:p>
        </w:tc>
      </w:tr>
    </w:tbl>
    <w:p w14:paraId="451454CE">
      <w:pPr>
        <w:spacing w:line="360" w:lineRule="auto"/>
        <w:ind w:firstLine="360" w:firstLineChars="150"/>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注：评分的取值按四舍五入法，保留小数点后两位。</w:t>
      </w:r>
      <w:bookmarkEnd w:id="97"/>
      <w:bookmarkEnd w:id="98"/>
      <w:bookmarkEnd w:id="99"/>
      <w:bookmarkEnd w:id="100"/>
    </w:p>
    <w:p w14:paraId="753BB21E">
      <w:pPr>
        <w:tabs>
          <w:tab w:val="left" w:pos="851"/>
        </w:tabs>
        <w:spacing w:line="360" w:lineRule="auto"/>
        <w:ind w:firstLine="482" w:firstLineChars="200"/>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4.</w:t>
      </w:r>
      <w:r>
        <w:rPr>
          <w:rFonts w:hint="eastAsia" w:asciiTheme="minorEastAsia" w:hAnsiTheme="minorEastAsia" w:eastAsiaTheme="minorEastAsia"/>
          <w:b/>
          <w:color w:val="000000" w:themeColor="text1"/>
          <w:sz w:val="24"/>
          <w:highlight w:val="none"/>
          <w14:textFill>
            <w14:solidFill>
              <w14:schemeClr w14:val="tx1"/>
            </w14:solidFill>
          </w14:textFill>
        </w:rPr>
        <w:t>磋商纪律及注意事项</w:t>
      </w:r>
    </w:p>
    <w:p w14:paraId="70B8121A">
      <w:pPr>
        <w:tabs>
          <w:tab w:val="left" w:pos="851"/>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4.1</w:t>
      </w:r>
      <w:r>
        <w:rPr>
          <w:rFonts w:hint="eastAsia" w:asciiTheme="minorEastAsia" w:hAnsiTheme="minorEastAsia" w:eastAsiaTheme="minorEastAsia"/>
          <w:color w:val="000000" w:themeColor="text1"/>
          <w:sz w:val="24"/>
          <w:highlight w:val="none"/>
          <w14:textFill>
            <w14:solidFill>
              <w14:schemeClr w14:val="tx1"/>
            </w14:solidFill>
          </w14:textFill>
        </w:rPr>
        <w:t>磋商小组内部讨论的情况和意见必须保密，任何人不得以任何形式透露给供应商或与供应商有关的单位或个人。</w:t>
      </w:r>
    </w:p>
    <w:p w14:paraId="6454B485">
      <w:pPr>
        <w:tabs>
          <w:tab w:val="left" w:pos="851"/>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4.2</w:t>
      </w:r>
      <w:r>
        <w:rPr>
          <w:rFonts w:hint="eastAsia" w:asciiTheme="minorEastAsia" w:hAnsiTheme="minorEastAsia" w:eastAsiaTheme="minorEastAsia"/>
          <w:color w:val="000000" w:themeColor="text1"/>
          <w:sz w:val="24"/>
          <w:highlight w:val="none"/>
          <w14:textFill>
            <w14:solidFill>
              <w14:schemeClr w14:val="tx1"/>
            </w14:solidFill>
          </w14:textFill>
        </w:rPr>
        <w:t>在磋商过程中，供应商不得以任何形式对磋商小组成员进行旨在影响磋商结果的私下接触，否则将取消其参与磋商的资格。</w:t>
      </w:r>
    </w:p>
    <w:p w14:paraId="5F27BB6F">
      <w:pPr>
        <w:tabs>
          <w:tab w:val="left" w:pos="851"/>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4.3</w:t>
      </w:r>
      <w:r>
        <w:rPr>
          <w:rFonts w:hint="eastAsia" w:asciiTheme="minorEastAsia" w:hAnsiTheme="minorEastAsia" w:eastAsiaTheme="minorEastAsia"/>
          <w:color w:val="000000" w:themeColor="text1"/>
          <w:sz w:val="24"/>
          <w:highlight w:val="none"/>
          <w14:textFill>
            <w14:solidFill>
              <w14:schemeClr w14:val="tx1"/>
            </w14:solidFill>
          </w14:textFill>
        </w:rPr>
        <w:t>对各供应商的商业秘密，磋商小组成员应予以保密，不得泄露给其他供应商。</w:t>
      </w:r>
    </w:p>
    <w:p w14:paraId="5E4B3C0E">
      <w:pPr>
        <w:tabs>
          <w:tab w:val="left" w:pos="851"/>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4.4 </w:t>
      </w:r>
      <w:r>
        <w:rPr>
          <w:rFonts w:hint="eastAsia" w:asciiTheme="minorEastAsia" w:hAnsiTheme="minorEastAsia" w:eastAsiaTheme="minorEastAsia"/>
          <w:color w:val="000000" w:themeColor="text1"/>
          <w:sz w:val="24"/>
          <w:highlight w:val="none"/>
          <w14:textFill>
            <w14:solidFill>
              <w14:schemeClr w14:val="tx1"/>
            </w14:solidFill>
          </w14:textFill>
        </w:rPr>
        <w:t>磋商小组独立评判，推荐成交候选人，并写出书面报告。</w:t>
      </w:r>
    </w:p>
    <w:p w14:paraId="4D10B3FF">
      <w:pPr>
        <w:tabs>
          <w:tab w:val="left" w:pos="851"/>
        </w:tabs>
        <w:spacing w:line="360" w:lineRule="auto"/>
        <w:ind w:firstLine="480" w:firstLineChars="200"/>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4.5 </w:t>
      </w:r>
      <w:r>
        <w:rPr>
          <w:rFonts w:hint="eastAsia" w:asciiTheme="minorEastAsia" w:hAnsiTheme="minorEastAsia" w:eastAsiaTheme="minorEastAsia"/>
          <w:color w:val="000000" w:themeColor="text1"/>
          <w:sz w:val="24"/>
          <w:highlight w:val="none"/>
          <w14:textFill>
            <w14:solidFill>
              <w14:schemeClr w14:val="tx1"/>
            </w14:solidFill>
          </w14:textFill>
        </w:rPr>
        <w:t>磋商小组可根据需要对供应商进行实地考察。</w:t>
      </w:r>
    </w:p>
    <w:p w14:paraId="372F4F97">
      <w:pPr>
        <w:tabs>
          <w:tab w:val="left" w:pos="851"/>
        </w:tabs>
        <w:spacing w:line="360" w:lineRule="auto"/>
        <w:ind w:firstLine="480" w:firstLineChars="200"/>
        <w:rPr>
          <w:rFonts w:hint="eastAsia" w:cs="Times New Roman" w:asciiTheme="minorEastAsia" w:hAnsiTheme="minorEastAsia" w:eastAsiaTheme="minorEastAsia"/>
          <w:color w:val="000000" w:themeColor="text1"/>
          <w:sz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highlight w:val="none"/>
          <w14:textFill>
            <w14:solidFill>
              <w14:schemeClr w14:val="tx1"/>
            </w14:solidFill>
          </w14:textFill>
        </w:rPr>
        <w:t>注：评分的取值按四舍五入法，保留小数点后两位。</w:t>
      </w:r>
    </w:p>
    <w:p w14:paraId="493D1E03">
      <w:pPr>
        <w:tabs>
          <w:tab w:val="left" w:pos="7665"/>
        </w:tabs>
        <w:spacing w:line="360" w:lineRule="auto"/>
        <w:ind w:firstLine="480" w:firstLineChars="200"/>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5.</w:t>
      </w:r>
      <w:bookmarkEnd w:id="101"/>
      <w:r>
        <w:rPr>
          <w:rFonts w:hint="eastAsia" w:asciiTheme="minorEastAsia" w:hAnsiTheme="minorEastAsia" w:eastAsiaTheme="minorEastAsia"/>
          <w:b/>
          <w:color w:val="000000" w:themeColor="text1"/>
          <w:sz w:val="24"/>
          <w:highlight w:val="none"/>
          <w14:textFill>
            <w14:solidFill>
              <w14:schemeClr w14:val="tx1"/>
            </w14:solidFill>
          </w14:textFill>
        </w:rPr>
        <w:t>磋商小组在采购活动中承担以下义务：</w:t>
      </w:r>
    </w:p>
    <w:p w14:paraId="7A3C7CF9">
      <w:pPr>
        <w:tabs>
          <w:tab w:val="left" w:pos="7665"/>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（一）遵守评审工作纪律；</w:t>
      </w:r>
    </w:p>
    <w:p w14:paraId="6B222470">
      <w:pPr>
        <w:tabs>
          <w:tab w:val="left" w:pos="7665"/>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（二）按照客观、公正、审慎的原则，根据磋商文件规定的评审程序、评审方法和评审标准进行独立评审；</w:t>
      </w:r>
    </w:p>
    <w:p w14:paraId="3FA28873">
      <w:pPr>
        <w:tabs>
          <w:tab w:val="left" w:pos="7665"/>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（三）不得泄露评审文件、评审情况和在评审过程中获悉的商业秘密；</w:t>
      </w:r>
    </w:p>
    <w:p w14:paraId="15089D40">
      <w:pPr>
        <w:tabs>
          <w:tab w:val="left" w:pos="7665"/>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（四）发现磋商文件内容违反国家有关强制性规定或者磋商文件存在歧义、重大缺陷导致评审工作无法进行时，停止评审并向采购人书面说明情况；</w:t>
      </w:r>
    </w:p>
    <w:p w14:paraId="11196DB6">
      <w:pPr>
        <w:tabs>
          <w:tab w:val="left" w:pos="7665"/>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五</w:t>
      </w:r>
      <w:r>
        <w:rPr>
          <w:rFonts w:hint="eastAsia" w:asciiTheme="minorEastAsia" w:hAnsiTheme="minorEastAsia" w:eastAsiaTheme="minorEastAsia"/>
          <w:color w:val="000000" w:themeColor="text1"/>
          <w:sz w:val="24"/>
          <w:highlight w:val="none"/>
          <w14:textFill>
            <w14:solidFill>
              <w14:schemeClr w14:val="tx1"/>
            </w14:solidFill>
          </w14:textFill>
        </w:rPr>
        <w:t>）及时向监察等部门举报在评审过程中受到非法干预的情况；</w:t>
      </w:r>
    </w:p>
    <w:p w14:paraId="37201ED2">
      <w:pPr>
        <w:tabs>
          <w:tab w:val="left" w:pos="7665"/>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六</w:t>
      </w:r>
      <w:r>
        <w:rPr>
          <w:rFonts w:hint="eastAsia" w:asciiTheme="minorEastAsia" w:hAnsiTheme="minorEastAsia" w:eastAsiaTheme="minorEastAsia"/>
          <w:color w:val="000000" w:themeColor="text1"/>
          <w:sz w:val="24"/>
          <w:highlight w:val="none"/>
          <w14:textFill>
            <w14:solidFill>
              <w14:schemeClr w14:val="tx1"/>
            </w14:solidFill>
          </w14:textFill>
        </w:rPr>
        <w:t>）配合答复处理供应商的询问、质疑和投诉等事项；</w:t>
      </w:r>
    </w:p>
    <w:p w14:paraId="0753757C">
      <w:pPr>
        <w:tabs>
          <w:tab w:val="left" w:pos="7665"/>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七</w:t>
      </w:r>
      <w:r>
        <w:rPr>
          <w:rFonts w:hint="eastAsia" w:asciiTheme="minorEastAsia" w:hAnsiTheme="minorEastAsia" w:eastAsiaTheme="minorEastAsia"/>
          <w:color w:val="000000" w:themeColor="text1"/>
          <w:sz w:val="24"/>
          <w:highlight w:val="none"/>
          <w14:textFill>
            <w14:solidFill>
              <w14:schemeClr w14:val="tx1"/>
            </w14:solidFill>
          </w14:textFill>
        </w:rPr>
        <w:t>）法律、法规和规章规定的其他义务。</w:t>
      </w:r>
    </w:p>
    <w:p w14:paraId="168F4D67">
      <w:pPr>
        <w:tabs>
          <w:tab w:val="left" w:pos="7665"/>
        </w:tabs>
        <w:spacing w:line="360" w:lineRule="auto"/>
        <w:ind w:firstLine="482" w:firstLineChars="200"/>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6.</w:t>
      </w:r>
      <w:r>
        <w:rPr>
          <w:rFonts w:hint="eastAsia" w:asciiTheme="minorEastAsia" w:hAnsiTheme="minorEastAsia" w:eastAsiaTheme="minorEastAsia"/>
          <w:b/>
          <w:color w:val="000000" w:themeColor="text1"/>
          <w:sz w:val="24"/>
          <w:highlight w:val="none"/>
          <w14:textFill>
            <w14:solidFill>
              <w14:schemeClr w14:val="tx1"/>
            </w14:solidFill>
          </w14:textFill>
        </w:rPr>
        <w:t>评审专家在采购活动中应当遵守以下工作纪律：</w:t>
      </w:r>
    </w:p>
    <w:p w14:paraId="79D41882">
      <w:pPr>
        <w:tabs>
          <w:tab w:val="left" w:pos="7665"/>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（一）不得参加与自己有《中华人民共和国政府采购法实施条例》第九条规定的利害关系的采购项目的评审活动。发现参加了与自己有利害关系的评审活动，须主动提出回避，退出评审；</w:t>
      </w:r>
    </w:p>
    <w:p w14:paraId="3D37CA22">
      <w:pPr>
        <w:tabs>
          <w:tab w:val="left" w:pos="7665"/>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（二）评审前，应当将通讯工具或者相关电子设备交由</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监督代表</w:t>
      </w:r>
      <w:r>
        <w:rPr>
          <w:rFonts w:hint="eastAsia" w:asciiTheme="minorEastAsia" w:hAnsiTheme="minorEastAsia" w:eastAsiaTheme="minorEastAsia"/>
          <w:color w:val="000000" w:themeColor="text1"/>
          <w:sz w:val="24"/>
          <w:highlight w:val="none"/>
          <w14:textFill>
            <w14:solidFill>
              <w14:schemeClr w14:val="tx1"/>
            </w14:solidFill>
          </w14:textFill>
        </w:rPr>
        <w:t>统一保管；</w:t>
      </w:r>
    </w:p>
    <w:p w14:paraId="790F0BDD">
      <w:pPr>
        <w:tabs>
          <w:tab w:val="left" w:pos="7665"/>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（三）评审过程中，不得与外界联系，因发生不可预见情况，确实需要与外界联系的，应当在监督</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代表</w:t>
      </w:r>
      <w:r>
        <w:rPr>
          <w:rFonts w:hint="eastAsia" w:asciiTheme="minorEastAsia" w:hAnsiTheme="minorEastAsia" w:eastAsiaTheme="minorEastAsia"/>
          <w:color w:val="000000" w:themeColor="text1"/>
          <w:sz w:val="24"/>
          <w:highlight w:val="none"/>
          <w14:textFill>
            <w14:solidFill>
              <w14:schemeClr w14:val="tx1"/>
            </w14:solidFill>
          </w14:textFill>
        </w:rPr>
        <w:t>监督之下办理；</w:t>
      </w:r>
    </w:p>
    <w:p w14:paraId="721E0AE2">
      <w:pPr>
        <w:tabs>
          <w:tab w:val="left" w:pos="7665"/>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42D14A4A">
      <w:pPr>
        <w:tabs>
          <w:tab w:val="left" w:pos="7665"/>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（五）在评审过程中和评审结束后，不得记录、复制或带走任何评审资料，不得向外界透露评审内容；</w:t>
      </w:r>
    </w:p>
    <w:p w14:paraId="15314817">
      <w:pPr>
        <w:tabs>
          <w:tab w:val="left" w:pos="7665"/>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（六）评审现场服从</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采购人</w:t>
      </w:r>
      <w:r>
        <w:rPr>
          <w:rFonts w:hint="eastAsia" w:asciiTheme="minorEastAsia" w:hAnsiTheme="minorEastAsia" w:eastAsiaTheme="minorEastAsia"/>
          <w:color w:val="000000" w:themeColor="text1"/>
          <w:sz w:val="24"/>
          <w:highlight w:val="none"/>
          <w14:textFill>
            <w14:solidFill>
              <w14:schemeClr w14:val="tx1"/>
            </w14:solidFill>
          </w14:textFill>
        </w:rPr>
        <w:t>的管理，接受现场监督人员的合法监督；</w:t>
      </w:r>
    </w:p>
    <w:p w14:paraId="095B188E">
      <w:pPr>
        <w:tabs>
          <w:tab w:val="left" w:pos="7665"/>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（七）遵守有关廉洁自律规定，不得私下接触供应商，不得收受供应商及有关业务单位和个人的财物或好处。</w:t>
      </w:r>
    </w:p>
    <w:p w14:paraId="161FBCAB">
      <w:pPr>
        <w:tabs>
          <w:tab w:val="left" w:pos="7665"/>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p>
    <w:p w14:paraId="5A218B24">
      <w:pPr>
        <w:tabs>
          <w:tab w:val="left" w:pos="7665"/>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p>
    <w:p w14:paraId="57659E18">
      <w:pPr>
        <w:tabs>
          <w:tab w:val="left" w:pos="7665"/>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p>
    <w:p w14:paraId="4608CAE0">
      <w:pPr>
        <w:tabs>
          <w:tab w:val="left" w:pos="7665"/>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p>
    <w:p w14:paraId="578C6F83">
      <w:pPr>
        <w:tabs>
          <w:tab w:val="left" w:pos="7665"/>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p>
    <w:p w14:paraId="3CD7EBA9">
      <w:pPr>
        <w:tabs>
          <w:tab w:val="left" w:pos="7665"/>
        </w:tabs>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p>
    <w:p w14:paraId="484FB699">
      <w:pPr>
        <w:pStyle w:val="9"/>
        <w:rPr>
          <w:rFonts w:asciiTheme="minorEastAsia" w:hAnsiTheme="minorEastAsia" w:eastAsiaTheme="minorEastAsia"/>
          <w:color w:val="000000" w:themeColor="text1"/>
          <w:sz w:val="24"/>
          <w:highlight w:val="none"/>
          <w14:textFill>
            <w14:solidFill>
              <w14:schemeClr w14:val="tx1"/>
            </w14:solidFill>
          </w14:textFill>
        </w:rPr>
      </w:pPr>
    </w:p>
    <w:p w14:paraId="214A29C7">
      <w:pPr>
        <w:rPr>
          <w:rFonts w:asciiTheme="minorEastAsia" w:hAnsiTheme="minorEastAsia" w:eastAsiaTheme="minorEastAsia"/>
          <w:color w:val="000000" w:themeColor="text1"/>
          <w:sz w:val="24"/>
          <w:highlight w:val="none"/>
          <w14:textFill>
            <w14:solidFill>
              <w14:schemeClr w14:val="tx1"/>
            </w14:solidFill>
          </w14:textFill>
        </w:rPr>
      </w:pPr>
    </w:p>
    <w:p w14:paraId="3ADC809E">
      <w:pPr>
        <w:pStyle w:val="9"/>
        <w:rPr>
          <w:rFonts w:asciiTheme="minorEastAsia" w:hAnsiTheme="minorEastAsia" w:eastAsiaTheme="minorEastAsia"/>
          <w:color w:val="000000" w:themeColor="text1"/>
          <w:sz w:val="24"/>
          <w:highlight w:val="none"/>
          <w14:textFill>
            <w14:solidFill>
              <w14:schemeClr w14:val="tx1"/>
            </w14:solidFill>
          </w14:textFill>
        </w:rPr>
      </w:pPr>
    </w:p>
    <w:bookmarkEnd w:id="50"/>
    <w:bookmarkEnd w:id="87"/>
    <w:bookmarkEnd w:id="88"/>
    <w:bookmarkEnd w:id="89"/>
    <w:p w14:paraId="61F36817">
      <w:pPr>
        <w:pStyle w:val="17"/>
        <w:rPr>
          <w:rFonts w:asciiTheme="minorEastAsia" w:hAnsiTheme="minorEastAsia" w:eastAsiaTheme="minorEastAsia"/>
          <w:color w:val="000000" w:themeColor="text1"/>
          <w:highlight w:val="none"/>
          <w14:textFill>
            <w14:solidFill>
              <w14:schemeClr w14:val="tx1"/>
            </w14:solidFill>
          </w14:textFill>
        </w:rPr>
      </w:pPr>
      <w:bookmarkStart w:id="102" w:name="_Toc509579148"/>
      <w:bookmarkStart w:id="103" w:name="_Toc531596554"/>
    </w:p>
    <w:p w14:paraId="2F9F594C">
      <w:pPr>
        <w:rPr>
          <w:rFonts w:asciiTheme="minorEastAsia" w:hAnsiTheme="minorEastAsia" w:eastAsiaTheme="minorEastAsia"/>
          <w:color w:val="000000" w:themeColor="text1"/>
          <w:highlight w:val="none"/>
          <w14:textFill>
            <w14:solidFill>
              <w14:schemeClr w14:val="tx1"/>
            </w14:solidFill>
          </w14:textFill>
        </w:rPr>
      </w:pPr>
    </w:p>
    <w:p w14:paraId="4BF8CC26">
      <w:pPr>
        <w:rPr>
          <w:rFonts w:asciiTheme="minorEastAsia" w:hAnsiTheme="minorEastAsia" w:eastAsiaTheme="minorEastAsia"/>
          <w:color w:val="000000" w:themeColor="text1"/>
          <w:highlight w:val="none"/>
          <w14:textFill>
            <w14:solidFill>
              <w14:schemeClr w14:val="tx1"/>
            </w14:solidFill>
          </w14:textFill>
        </w:rPr>
      </w:pPr>
    </w:p>
    <w:p w14:paraId="7AAB9D67">
      <w:pPr>
        <w:rPr>
          <w:rFonts w:asciiTheme="minorEastAsia" w:hAnsiTheme="minorEastAsia" w:eastAsiaTheme="minorEastAsia"/>
          <w:color w:val="000000" w:themeColor="text1"/>
          <w:highlight w:val="none"/>
          <w14:textFill>
            <w14:solidFill>
              <w14:schemeClr w14:val="tx1"/>
            </w14:solidFill>
          </w14:textFill>
        </w:rPr>
      </w:pPr>
    </w:p>
    <w:p w14:paraId="7FA8C93E">
      <w:pPr>
        <w:rPr>
          <w:rFonts w:asciiTheme="minorEastAsia" w:hAnsiTheme="minorEastAsia" w:eastAsiaTheme="minorEastAsia"/>
          <w:color w:val="000000" w:themeColor="text1"/>
          <w:highlight w:val="none"/>
          <w14:textFill>
            <w14:solidFill>
              <w14:schemeClr w14:val="tx1"/>
            </w14:solidFill>
          </w14:textFill>
        </w:rPr>
      </w:pPr>
    </w:p>
    <w:p w14:paraId="298B7C2D">
      <w:pPr>
        <w:rPr>
          <w:rFonts w:asciiTheme="minorEastAsia" w:hAnsiTheme="minorEastAsia" w:eastAsiaTheme="minorEastAsia"/>
          <w:color w:val="000000" w:themeColor="text1"/>
          <w:highlight w:val="none"/>
          <w14:textFill>
            <w14:solidFill>
              <w14:schemeClr w14:val="tx1"/>
            </w14:solidFill>
          </w14:textFill>
        </w:rPr>
      </w:pPr>
    </w:p>
    <w:p w14:paraId="601096E3">
      <w:pPr>
        <w:rPr>
          <w:rFonts w:asciiTheme="minorEastAsia" w:hAnsiTheme="minorEastAsia" w:eastAsiaTheme="minorEastAsia"/>
          <w:color w:val="000000" w:themeColor="text1"/>
          <w:highlight w:val="none"/>
          <w14:textFill>
            <w14:solidFill>
              <w14:schemeClr w14:val="tx1"/>
            </w14:solidFill>
          </w14:textFill>
        </w:rPr>
      </w:pPr>
    </w:p>
    <w:p w14:paraId="070C587E">
      <w:pPr>
        <w:rPr>
          <w:rFonts w:asciiTheme="minorEastAsia" w:hAnsiTheme="minorEastAsia" w:eastAsiaTheme="minorEastAsia"/>
          <w:color w:val="000000" w:themeColor="text1"/>
          <w:highlight w:val="none"/>
          <w14:textFill>
            <w14:solidFill>
              <w14:schemeClr w14:val="tx1"/>
            </w14:solidFill>
          </w14:textFill>
        </w:rPr>
      </w:pPr>
    </w:p>
    <w:p w14:paraId="4B0FD9EA">
      <w:pPr>
        <w:rPr>
          <w:rFonts w:asciiTheme="minorEastAsia" w:hAnsiTheme="minorEastAsia" w:eastAsiaTheme="minorEastAsia"/>
          <w:color w:val="000000" w:themeColor="text1"/>
          <w:highlight w:val="none"/>
          <w14:textFill>
            <w14:solidFill>
              <w14:schemeClr w14:val="tx1"/>
            </w14:solidFill>
          </w14:textFill>
        </w:rPr>
      </w:pPr>
    </w:p>
    <w:p w14:paraId="1800BDA2">
      <w:pPr>
        <w:rPr>
          <w:rFonts w:asciiTheme="minorEastAsia" w:hAnsiTheme="minorEastAsia" w:eastAsiaTheme="minorEastAsia"/>
          <w:color w:val="000000" w:themeColor="text1"/>
          <w:highlight w:val="none"/>
          <w14:textFill>
            <w14:solidFill>
              <w14:schemeClr w14:val="tx1"/>
            </w14:solidFill>
          </w14:textFill>
        </w:rPr>
      </w:pPr>
    </w:p>
    <w:p w14:paraId="25268289">
      <w:pPr>
        <w:pStyle w:val="17"/>
        <w:rPr>
          <w:rFonts w:asciiTheme="minorEastAsia" w:hAnsiTheme="minorEastAsia" w:eastAsiaTheme="minorEastAsia"/>
          <w:color w:val="000000" w:themeColor="text1"/>
          <w:highlight w:val="none"/>
          <w14:textFill>
            <w14:solidFill>
              <w14:schemeClr w14:val="tx1"/>
            </w14:solidFill>
          </w14:textFill>
        </w:rPr>
      </w:pPr>
    </w:p>
    <w:p w14:paraId="766E648F">
      <w:pPr>
        <w:pStyle w:val="17"/>
        <w:jc w:val="both"/>
        <w:rPr>
          <w:rFonts w:hint="eastAsia" w:asciiTheme="minorEastAsia" w:hAnsiTheme="minorEastAsia" w:eastAsiaTheme="minorEastAsia"/>
          <w:color w:val="000000" w:themeColor="text1"/>
          <w:highlight w:val="none"/>
          <w14:textFill>
            <w14:solidFill>
              <w14:schemeClr w14:val="tx1"/>
            </w14:solidFill>
          </w14:textFill>
        </w:rPr>
      </w:pPr>
    </w:p>
    <w:p w14:paraId="5E75B426">
      <w:pPr>
        <w:rPr>
          <w:rFonts w:hint="eastAsia" w:asciiTheme="minorEastAsia" w:hAnsiTheme="minorEastAsia" w:eastAsiaTheme="minorEastAsia"/>
          <w:color w:val="000000" w:themeColor="text1"/>
          <w:highlight w:val="none"/>
          <w14:textFill>
            <w14:solidFill>
              <w14:schemeClr w14:val="tx1"/>
            </w14:solidFill>
          </w14:textFill>
        </w:rPr>
      </w:pPr>
    </w:p>
    <w:p w14:paraId="696181D2">
      <w:pPr>
        <w:rPr>
          <w:rFonts w:hint="eastAsia" w:asciiTheme="minorEastAsia" w:hAnsiTheme="minorEastAsia" w:eastAsiaTheme="minorEastAsia"/>
          <w:color w:val="000000" w:themeColor="text1"/>
          <w:highlight w:val="none"/>
          <w14:textFill>
            <w14:solidFill>
              <w14:schemeClr w14:val="tx1"/>
            </w14:solidFill>
          </w14:textFill>
        </w:rPr>
      </w:pPr>
    </w:p>
    <w:p w14:paraId="17706C7C">
      <w:pPr>
        <w:pStyle w:val="17"/>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第九章  合同及附件（草案）</w:t>
      </w:r>
      <w:bookmarkEnd w:id="102"/>
      <w:bookmarkEnd w:id="103"/>
    </w:p>
    <w:p w14:paraId="30FE8906">
      <w:pPr>
        <w:widowControl/>
        <w:kinsoku w:val="0"/>
        <w:overflowPunct w:val="0"/>
        <w:autoSpaceDE w:val="0"/>
        <w:autoSpaceDN w:val="0"/>
        <w:adjustRightInd w:val="0"/>
        <w:snapToGrid w:val="0"/>
        <w:spacing w:line="312" w:lineRule="auto"/>
        <w:jc w:val="left"/>
        <w:rPr>
          <w:rFonts w:ascii="仿宋" w:hAnsi="仿宋" w:eastAsia="仿宋" w:cs="仿宋"/>
          <w:szCs w:val="21"/>
          <w:highlight w:val="none"/>
        </w:rPr>
      </w:pPr>
    </w:p>
    <w:p w14:paraId="6467B8A5">
      <w:pPr>
        <w:pStyle w:val="4"/>
        <w:jc w:val="center"/>
        <w:rPr>
          <w:rFonts w:hint="eastAsia" w:ascii="仿宋" w:hAnsi="仿宋" w:eastAsia="仿宋" w:cs="仿宋"/>
          <w:b w:val="0"/>
          <w:color w:val="auto"/>
          <w:sz w:val="30"/>
          <w:szCs w:val="30"/>
          <w:highlight w:val="none"/>
        </w:rPr>
      </w:pPr>
      <w:r>
        <w:rPr>
          <w:rFonts w:hint="eastAsia" w:ascii="仿宋" w:hAnsi="仿宋" w:eastAsia="仿宋" w:cs="仿宋"/>
          <w:color w:val="auto"/>
          <w:sz w:val="30"/>
          <w:szCs w:val="30"/>
          <w:highlight w:val="none"/>
        </w:rPr>
        <w:t>第一部分 合同协议书</w:t>
      </w:r>
    </w:p>
    <w:p w14:paraId="40FC3524">
      <w:pPr>
        <w:spacing w:line="400" w:lineRule="exact"/>
        <w:rPr>
          <w:rFonts w:hint="eastAsia" w:ascii="仿宋" w:hAnsi="仿宋" w:eastAsia="仿宋" w:cs="仿宋"/>
          <w:b/>
          <w:bCs/>
          <w:color w:val="auto"/>
          <w:highlight w:val="none"/>
          <w:u w:val="single"/>
        </w:rPr>
      </w:pPr>
      <w:r>
        <w:rPr>
          <w:rFonts w:hint="eastAsia" w:ascii="仿宋" w:hAnsi="仿宋" w:eastAsia="仿宋" w:cs="仿宋"/>
          <w:b/>
          <w:color w:val="auto"/>
          <w:highlight w:val="none"/>
        </w:rPr>
        <w:t>发包人（全称）：</w:t>
      </w:r>
      <w:r>
        <w:rPr>
          <w:rFonts w:hint="eastAsia" w:ascii="仿宋" w:hAnsi="仿宋" w:eastAsia="仿宋" w:cs="仿宋"/>
          <w:b/>
          <w:bCs/>
          <w:color w:val="auto"/>
          <w:highlight w:val="none"/>
          <w:u w:val="single"/>
          <w:lang w:val="en-US" w:eastAsia="zh-CN"/>
        </w:rPr>
        <w:t>金堂县第一人民医院</w:t>
      </w:r>
      <w:r>
        <w:rPr>
          <w:rFonts w:hint="eastAsia" w:ascii="仿宋" w:hAnsi="仿宋" w:eastAsia="仿宋" w:cs="仿宋"/>
          <w:b/>
          <w:bCs/>
          <w:color w:val="auto"/>
          <w:highlight w:val="none"/>
          <w:u w:val="single"/>
        </w:rPr>
        <w:t xml:space="preserve"> </w:t>
      </w:r>
    </w:p>
    <w:p w14:paraId="25D6AAA3">
      <w:pPr>
        <w:spacing w:line="400" w:lineRule="exact"/>
        <w:jc w:val="left"/>
        <w:rPr>
          <w:rFonts w:hint="default" w:ascii="仿宋" w:hAnsi="仿宋" w:eastAsia="仿宋" w:cs="仿宋"/>
          <w:color w:val="auto"/>
          <w:highlight w:val="none"/>
          <w:u w:val="single"/>
          <w:lang w:val="en-US"/>
        </w:rPr>
      </w:pPr>
      <w:r>
        <w:rPr>
          <w:rFonts w:hint="eastAsia" w:ascii="仿宋" w:hAnsi="仿宋" w:eastAsia="仿宋" w:cs="仿宋"/>
          <w:b/>
          <w:color w:val="auto"/>
          <w:highlight w:val="none"/>
        </w:rPr>
        <w:t>承包人（全称）：</w:t>
      </w:r>
      <w:r>
        <w:rPr>
          <w:rFonts w:hint="eastAsia" w:ascii="仿宋" w:hAnsi="仿宋" w:eastAsia="仿宋" w:cs="仿宋"/>
          <w:b/>
          <w:bCs/>
          <w:color w:val="auto"/>
          <w:highlight w:val="none"/>
          <w:u w:val="single"/>
          <w:lang w:val="en-US" w:eastAsia="zh-CN"/>
        </w:rPr>
        <w:t xml:space="preserve">                </w:t>
      </w:r>
    </w:p>
    <w:p w14:paraId="7D2A9234">
      <w:pPr>
        <w:spacing w:line="40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根据《中华人民共和国民法典》、《中华人民共和国建筑法》及有关法律规定，遵循平等、自愿、公平和诚实信用的原则，双方就</w:t>
      </w:r>
      <w:r>
        <w:rPr>
          <w:rFonts w:hint="eastAsia" w:ascii="仿宋" w:hAnsi="仿宋" w:eastAsia="仿宋" w:cs="仿宋"/>
          <w:b/>
          <w:bCs/>
          <w:color w:val="auto"/>
          <w:szCs w:val="21"/>
          <w:highlight w:val="none"/>
          <w:u w:val="single"/>
          <w:lang w:val="en-US" w:eastAsia="zh-CN"/>
        </w:rPr>
        <w:t xml:space="preserve">              </w:t>
      </w:r>
      <w:r>
        <w:rPr>
          <w:rFonts w:hint="eastAsia" w:ascii="仿宋" w:hAnsi="仿宋" w:eastAsia="仿宋" w:cs="仿宋"/>
          <w:b/>
          <w:bCs/>
          <w:color w:val="auto"/>
          <w:szCs w:val="21"/>
          <w:highlight w:val="none"/>
          <w:u w:val="single"/>
        </w:rPr>
        <w:t xml:space="preserve"> </w:t>
      </w:r>
      <w:r>
        <w:rPr>
          <w:rFonts w:hint="eastAsia" w:ascii="仿宋" w:hAnsi="仿宋" w:eastAsia="仿宋" w:cs="仿宋"/>
          <w:color w:val="auto"/>
          <w:highlight w:val="none"/>
        </w:rPr>
        <w:t>施工及有关事项协商一致，共同达成如下协议：</w:t>
      </w:r>
    </w:p>
    <w:p w14:paraId="61B2FD00">
      <w:pPr>
        <w:pStyle w:val="5"/>
        <w:spacing w:before="120" w:line="400" w:lineRule="exact"/>
        <w:rPr>
          <w:rFonts w:hint="eastAsia" w:ascii="仿宋" w:hAnsi="仿宋" w:eastAsia="仿宋" w:cs="仿宋"/>
          <w:bCs w:val="0"/>
          <w:color w:val="auto"/>
          <w:highlight w:val="none"/>
        </w:rPr>
      </w:pPr>
      <w:bookmarkStart w:id="104" w:name="_Toc371945989"/>
      <w:r>
        <w:rPr>
          <w:rFonts w:hint="eastAsia" w:ascii="仿宋" w:hAnsi="仿宋" w:eastAsia="仿宋" w:cs="仿宋"/>
          <w:color w:val="auto"/>
          <w:szCs w:val="21"/>
          <w:highlight w:val="none"/>
        </w:rPr>
        <w:t>一、工程概况</w:t>
      </w:r>
      <w:bookmarkEnd w:id="104"/>
    </w:p>
    <w:p w14:paraId="08CEBDBE">
      <w:pPr>
        <w:spacing w:line="400" w:lineRule="exact"/>
        <w:ind w:firstLine="411" w:firstLineChars="196"/>
        <w:rPr>
          <w:rFonts w:hint="eastAsia" w:ascii="仿宋" w:hAnsi="仿宋" w:eastAsia="仿宋" w:cs="仿宋"/>
          <w:b/>
          <w:color w:val="auto"/>
          <w:highlight w:val="none"/>
          <w:u w:val="single"/>
        </w:rPr>
      </w:pPr>
      <w:r>
        <w:rPr>
          <w:rFonts w:hint="eastAsia" w:ascii="仿宋" w:hAnsi="仿宋" w:eastAsia="仿宋" w:cs="仿宋"/>
          <w:bCs/>
          <w:color w:val="auto"/>
          <w:highlight w:val="none"/>
        </w:rPr>
        <w:t>1.工程名称</w:t>
      </w:r>
      <w:r>
        <w:rPr>
          <w:rFonts w:hint="eastAsia" w:ascii="仿宋" w:hAnsi="仿宋" w:eastAsia="仿宋" w:cs="仿宋"/>
          <w:color w:val="auto"/>
          <w:highlight w:val="none"/>
        </w:rPr>
        <w:t>：</w:t>
      </w:r>
      <w:r>
        <w:rPr>
          <w:rFonts w:hint="eastAsia" w:ascii="仿宋" w:hAnsi="仿宋" w:eastAsia="仿宋" w:cs="仿宋"/>
          <w:b/>
          <w:bCs/>
          <w:color w:val="auto"/>
          <w:szCs w:val="21"/>
          <w:highlight w:val="none"/>
          <w:u w:val="single"/>
          <w:lang w:val="en-US" w:eastAsia="zh-CN"/>
        </w:rPr>
        <w:t xml:space="preserve">             </w:t>
      </w:r>
      <w:r>
        <w:rPr>
          <w:rFonts w:hint="eastAsia" w:ascii="仿宋" w:hAnsi="仿宋" w:eastAsia="仿宋" w:cs="仿宋"/>
          <w:b/>
          <w:bCs/>
          <w:color w:val="auto"/>
          <w:szCs w:val="21"/>
          <w:highlight w:val="none"/>
          <w:u w:val="single"/>
        </w:rPr>
        <w:t xml:space="preserve"> </w:t>
      </w:r>
      <w:r>
        <w:rPr>
          <w:rFonts w:hint="eastAsia" w:ascii="仿宋" w:hAnsi="仿宋" w:eastAsia="仿宋" w:cs="仿宋"/>
          <w:color w:val="auto"/>
          <w:highlight w:val="none"/>
        </w:rPr>
        <w:t>。</w:t>
      </w:r>
    </w:p>
    <w:p w14:paraId="02ADE286">
      <w:pPr>
        <w:spacing w:line="400" w:lineRule="exact"/>
        <w:ind w:firstLine="411" w:firstLineChars="196"/>
        <w:rPr>
          <w:rFonts w:hint="eastAsia" w:ascii="仿宋" w:hAnsi="仿宋" w:eastAsia="仿宋" w:cs="仿宋"/>
          <w:bCs/>
          <w:color w:val="auto"/>
          <w:highlight w:val="none"/>
        </w:rPr>
      </w:pPr>
      <w:r>
        <w:rPr>
          <w:rFonts w:hint="eastAsia" w:ascii="仿宋" w:hAnsi="仿宋" w:eastAsia="仿宋" w:cs="仿宋"/>
          <w:bCs/>
          <w:color w:val="auto"/>
          <w:highlight w:val="none"/>
        </w:rPr>
        <w:t>2.工程地点：</w:t>
      </w:r>
      <w:r>
        <w:rPr>
          <w:rFonts w:hint="eastAsia" w:ascii="仿宋" w:hAnsi="仿宋" w:eastAsia="仿宋" w:cs="仿宋"/>
          <w:bCs/>
          <w:color w:val="auto"/>
          <w:highlight w:val="none"/>
          <w:u w:val="single"/>
        </w:rPr>
        <w:t xml:space="preserve"> 金堂县</w:t>
      </w:r>
      <w:r>
        <w:rPr>
          <w:rFonts w:hint="eastAsia" w:ascii="仿宋" w:hAnsi="仿宋" w:eastAsia="仿宋" w:cs="仿宋"/>
          <w:bCs/>
          <w:color w:val="auto"/>
          <w:highlight w:val="none"/>
          <w:u w:val="single"/>
          <w:lang w:val="en-US" w:eastAsia="zh-CN"/>
        </w:rPr>
        <w:t>第一人民医院</w:t>
      </w:r>
      <w:r>
        <w:rPr>
          <w:rFonts w:hint="eastAsia" w:ascii="仿宋" w:hAnsi="仿宋" w:eastAsia="仿宋" w:cs="仿宋"/>
          <w:bCs/>
          <w:color w:val="auto"/>
          <w:highlight w:val="none"/>
          <w:u w:val="single"/>
        </w:rPr>
        <w:t xml:space="preserve">   </w:t>
      </w:r>
    </w:p>
    <w:p w14:paraId="03B3FF2F">
      <w:pPr>
        <w:spacing w:line="400" w:lineRule="exact"/>
        <w:ind w:firstLine="411" w:firstLineChars="196"/>
        <w:rPr>
          <w:rFonts w:hint="eastAsia" w:ascii="仿宋" w:hAnsi="仿宋" w:eastAsia="仿宋" w:cs="仿宋"/>
          <w:bCs/>
          <w:color w:val="auto"/>
          <w:highlight w:val="none"/>
        </w:rPr>
      </w:pPr>
      <w:r>
        <w:rPr>
          <w:rFonts w:hint="eastAsia" w:ascii="仿宋" w:hAnsi="仿宋" w:eastAsia="仿宋" w:cs="仿宋"/>
          <w:bCs/>
          <w:color w:val="auto"/>
          <w:highlight w:val="none"/>
        </w:rPr>
        <w:t>3.资金来源：</w:t>
      </w:r>
      <w:r>
        <w:rPr>
          <w:rFonts w:hint="eastAsia" w:ascii="仿宋" w:hAnsi="仿宋" w:eastAsia="仿宋" w:cs="仿宋"/>
          <w:bCs/>
          <w:color w:val="auto"/>
          <w:highlight w:val="none"/>
          <w:u w:val="single"/>
        </w:rPr>
        <w:t xml:space="preserve">   </w:t>
      </w:r>
      <w:r>
        <w:rPr>
          <w:rFonts w:hint="eastAsia" w:ascii="仿宋" w:hAnsi="仿宋" w:eastAsia="仿宋" w:cs="仿宋"/>
          <w:bCs/>
          <w:color w:val="auto"/>
          <w:highlight w:val="none"/>
          <w:u w:val="single"/>
          <w:lang w:val="en-US" w:eastAsia="zh-CN"/>
        </w:rPr>
        <w:t>自筹</w:t>
      </w:r>
      <w:r>
        <w:rPr>
          <w:rFonts w:hint="eastAsia" w:ascii="仿宋" w:hAnsi="仿宋" w:eastAsia="仿宋" w:cs="仿宋"/>
          <w:bCs/>
          <w:color w:val="auto"/>
          <w:highlight w:val="none"/>
          <w:u w:val="single"/>
        </w:rPr>
        <w:t xml:space="preserve">    </w:t>
      </w:r>
    </w:p>
    <w:p w14:paraId="7D6368BE">
      <w:pPr>
        <w:spacing w:line="400" w:lineRule="exact"/>
        <w:ind w:firstLine="411" w:firstLineChars="196"/>
        <w:rPr>
          <w:rFonts w:hint="eastAsia" w:ascii="仿宋" w:hAnsi="仿宋" w:eastAsia="仿宋" w:cs="仿宋"/>
          <w:color w:val="auto"/>
          <w:highlight w:val="none"/>
          <w:u w:val="single"/>
        </w:rPr>
      </w:pPr>
      <w:r>
        <w:rPr>
          <w:rFonts w:hint="eastAsia" w:ascii="仿宋" w:hAnsi="仿宋" w:eastAsia="仿宋" w:cs="仿宋"/>
          <w:bCs/>
          <w:color w:val="auto"/>
          <w:highlight w:val="none"/>
        </w:rPr>
        <w:t>4.工程内容：</w:t>
      </w:r>
      <w:r>
        <w:rPr>
          <w:rFonts w:hint="eastAsia" w:ascii="仿宋" w:hAnsi="仿宋" w:eastAsia="仿宋" w:cs="仿宋"/>
          <w:b/>
          <w:color w:val="auto"/>
          <w:szCs w:val="21"/>
          <w:highlight w:val="none"/>
          <w:u w:val="single"/>
        </w:rPr>
        <w:t xml:space="preserve"> （</w:t>
      </w:r>
      <w:r>
        <w:rPr>
          <w:rFonts w:hint="eastAsia" w:ascii="仿宋" w:hAnsi="仿宋" w:eastAsia="仿宋" w:cs="仿宋"/>
          <w:b/>
          <w:color w:val="auto"/>
          <w:highlight w:val="none"/>
          <w:u w:val="single"/>
        </w:rPr>
        <w:t>本招标项目建设工程施工图纸及工程量清单范围全部施工内容和保修等阶段的相关服务</w:t>
      </w:r>
      <w:r>
        <w:rPr>
          <w:rFonts w:hint="eastAsia" w:ascii="仿宋" w:hAnsi="仿宋" w:eastAsia="仿宋" w:cs="仿宋"/>
          <w:b/>
          <w:color w:val="auto"/>
          <w:szCs w:val="21"/>
          <w:highlight w:val="none"/>
          <w:u w:val="single"/>
        </w:rPr>
        <w:t>）</w:t>
      </w:r>
      <w:r>
        <w:rPr>
          <w:rFonts w:hint="eastAsia" w:ascii="仿宋" w:hAnsi="仿宋" w:eastAsia="仿宋" w:cs="仿宋"/>
          <w:b/>
          <w:color w:val="auto"/>
          <w:highlight w:val="none"/>
          <w:u w:val="single"/>
        </w:rPr>
        <w:t>。</w:t>
      </w:r>
    </w:p>
    <w:p w14:paraId="07AA2AFA">
      <w:pPr>
        <w:spacing w:line="400" w:lineRule="exact"/>
        <w:ind w:firstLine="411" w:firstLineChars="196"/>
        <w:rPr>
          <w:rStyle w:val="31"/>
          <w:rFonts w:hint="eastAsia" w:ascii="仿宋" w:hAnsi="仿宋" w:eastAsia="仿宋" w:cs="仿宋"/>
          <w:color w:val="auto"/>
          <w:highlight w:val="none"/>
        </w:rPr>
      </w:pPr>
      <w:r>
        <w:rPr>
          <w:rFonts w:hint="eastAsia" w:ascii="仿宋" w:hAnsi="仿宋" w:eastAsia="仿宋" w:cs="仿宋"/>
          <w:bCs/>
          <w:color w:val="auto"/>
          <w:highlight w:val="none"/>
        </w:rPr>
        <w:t>5.工程承包范围：</w:t>
      </w:r>
      <w:r>
        <w:rPr>
          <w:rFonts w:hint="eastAsia" w:ascii="仿宋" w:hAnsi="仿宋" w:eastAsia="仿宋" w:cs="仿宋"/>
          <w:b/>
          <w:bCs/>
          <w:color w:val="auto"/>
          <w:highlight w:val="none"/>
          <w:u w:val="single"/>
        </w:rPr>
        <w:t>施工标段为本次工程施工图及工程量清单所示范围内的所有工程</w:t>
      </w:r>
      <w:r>
        <w:rPr>
          <w:rFonts w:hint="eastAsia" w:ascii="仿宋" w:hAnsi="仿宋" w:eastAsia="仿宋" w:cs="仿宋"/>
          <w:color w:val="auto"/>
          <w:highlight w:val="none"/>
        </w:rPr>
        <w:t>。</w:t>
      </w:r>
    </w:p>
    <w:p w14:paraId="549CFADA">
      <w:pPr>
        <w:pStyle w:val="5"/>
        <w:spacing w:before="120" w:line="400" w:lineRule="exact"/>
        <w:rPr>
          <w:rFonts w:hint="eastAsia" w:ascii="仿宋" w:hAnsi="仿宋" w:eastAsia="仿宋" w:cs="仿宋"/>
          <w:color w:val="auto"/>
          <w:highlight w:val="none"/>
        </w:rPr>
      </w:pPr>
      <w:bookmarkStart w:id="105" w:name="_Toc371945990"/>
      <w:r>
        <w:rPr>
          <w:rFonts w:hint="eastAsia" w:ascii="仿宋" w:hAnsi="仿宋" w:eastAsia="仿宋" w:cs="仿宋"/>
          <w:color w:val="auto"/>
          <w:szCs w:val="21"/>
          <w:highlight w:val="none"/>
        </w:rPr>
        <w:t>二、合同工期</w:t>
      </w:r>
      <w:bookmarkEnd w:id="105"/>
    </w:p>
    <w:p w14:paraId="30F3A305">
      <w:pPr>
        <w:spacing w:line="400" w:lineRule="exact"/>
        <w:ind w:firstLine="459"/>
        <w:rPr>
          <w:rFonts w:hint="eastAsia" w:ascii="仿宋" w:hAnsi="仿宋" w:eastAsia="仿宋" w:cs="仿宋"/>
          <w:color w:val="auto"/>
          <w:highlight w:val="none"/>
        </w:rPr>
      </w:pPr>
      <w:r>
        <w:rPr>
          <w:rFonts w:hint="eastAsia" w:ascii="仿宋" w:hAnsi="仿宋" w:eastAsia="仿宋" w:cs="仿宋"/>
          <w:color w:val="auto"/>
          <w:highlight w:val="none"/>
        </w:rPr>
        <w:t>计划开工日期</w:t>
      </w:r>
      <w:r>
        <w:rPr>
          <w:rFonts w:hint="eastAsia" w:ascii="仿宋" w:hAnsi="仿宋" w:eastAsia="仿宋" w:cs="仿宋"/>
          <w:color w:val="auto"/>
          <w:szCs w:val="21"/>
          <w:highlight w:val="none"/>
        </w:rPr>
        <w:t>：</w:t>
      </w:r>
      <w:r>
        <w:rPr>
          <w:rFonts w:hint="eastAsia" w:ascii="仿宋" w:hAnsi="仿宋" w:eastAsia="仿宋" w:cs="仿宋"/>
          <w:b/>
          <w:bCs/>
          <w:color w:val="auto"/>
          <w:szCs w:val="21"/>
          <w:highlight w:val="none"/>
          <w:u w:val="single"/>
          <w:lang w:val="en-US" w:eastAsia="zh-CN"/>
        </w:rPr>
        <w:t xml:space="preserve">      </w:t>
      </w:r>
      <w:r>
        <w:rPr>
          <w:rFonts w:hint="eastAsia" w:ascii="仿宋" w:hAnsi="仿宋" w:eastAsia="仿宋" w:cs="仿宋"/>
          <w:color w:val="auto"/>
          <w:szCs w:val="21"/>
          <w:highlight w:val="none"/>
        </w:rPr>
        <w:t>年</w:t>
      </w:r>
      <w:r>
        <w:rPr>
          <w:rFonts w:hint="eastAsia" w:ascii="仿宋" w:hAnsi="仿宋" w:eastAsia="仿宋" w:cs="仿宋"/>
          <w:b/>
          <w:bCs/>
          <w:color w:val="auto"/>
          <w:szCs w:val="21"/>
          <w:highlight w:val="none"/>
          <w:u w:val="single"/>
        </w:rPr>
        <w:t></w:t>
      </w:r>
      <w:r>
        <w:rPr>
          <w:rFonts w:hint="eastAsia" w:ascii="仿宋" w:hAnsi="仿宋" w:eastAsia="仿宋" w:cs="仿宋"/>
          <w:color w:val="auto"/>
          <w:highlight w:val="none"/>
          <w:u w:val="single"/>
        </w:rPr>
        <w:t xml:space="preserve"> </w:t>
      </w:r>
      <w:r>
        <w:rPr>
          <w:rFonts w:hint="eastAsia" w:ascii="仿宋" w:hAnsi="仿宋" w:eastAsia="仿宋" w:cs="仿宋"/>
          <w:b/>
          <w:bCs/>
          <w:color w:val="auto"/>
          <w:highlight w:val="none"/>
          <w:u w:val="single"/>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b/>
          <w:color w:val="auto"/>
          <w:szCs w:val="21"/>
          <w:highlight w:val="none"/>
          <w:u w:val="single"/>
        </w:rPr>
        <w:t xml:space="preserve">   </w:t>
      </w:r>
      <w:r>
        <w:rPr>
          <w:rFonts w:hint="eastAsia" w:ascii="仿宋" w:hAnsi="仿宋" w:eastAsia="仿宋" w:cs="仿宋"/>
          <w:color w:val="auto"/>
          <w:highlight w:val="none"/>
        </w:rPr>
        <w:t>日。</w:t>
      </w:r>
    </w:p>
    <w:p w14:paraId="6064F9B4">
      <w:pPr>
        <w:spacing w:line="400" w:lineRule="exact"/>
        <w:ind w:firstLine="459"/>
        <w:rPr>
          <w:rFonts w:hint="eastAsia" w:ascii="仿宋" w:hAnsi="仿宋" w:eastAsia="仿宋" w:cs="仿宋"/>
          <w:color w:val="auto"/>
          <w:highlight w:val="none"/>
        </w:rPr>
      </w:pPr>
      <w:r>
        <w:rPr>
          <w:rFonts w:hint="eastAsia" w:ascii="仿宋" w:hAnsi="仿宋" w:eastAsia="仿宋" w:cs="仿宋"/>
          <w:color w:val="auto"/>
          <w:highlight w:val="none"/>
        </w:rPr>
        <w:t>计划竣工日期</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u w:val="single"/>
        </w:rPr>
        <w:t xml:space="preserve">  </w:t>
      </w:r>
      <w:r>
        <w:rPr>
          <w:rFonts w:hint="eastAsia" w:ascii="仿宋" w:hAnsi="仿宋" w:eastAsia="仿宋" w:cs="仿宋"/>
          <w:b/>
          <w:bCs/>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b/>
          <w:color w:val="auto"/>
          <w:szCs w:val="21"/>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b/>
          <w:color w:val="auto"/>
          <w:szCs w:val="21"/>
          <w:highlight w:val="none"/>
          <w:u w:val="single"/>
        </w:rPr>
        <w:t xml:space="preserve">   </w:t>
      </w:r>
      <w:r>
        <w:rPr>
          <w:rFonts w:hint="eastAsia" w:ascii="仿宋" w:hAnsi="仿宋" w:eastAsia="仿宋" w:cs="仿宋"/>
          <w:color w:val="auto"/>
          <w:highlight w:val="none"/>
        </w:rPr>
        <w:t>日。</w:t>
      </w:r>
    </w:p>
    <w:p w14:paraId="419A4BB7">
      <w:pPr>
        <w:spacing w:line="400" w:lineRule="exact"/>
        <w:ind w:firstLine="459"/>
        <w:rPr>
          <w:rFonts w:hint="eastAsia" w:ascii="仿宋" w:hAnsi="仿宋" w:eastAsia="仿宋" w:cs="仿宋"/>
          <w:color w:val="auto"/>
          <w:highlight w:val="none"/>
        </w:rPr>
      </w:pPr>
      <w:r>
        <w:rPr>
          <w:rFonts w:hint="eastAsia" w:ascii="仿宋" w:hAnsi="仿宋" w:eastAsia="仿宋" w:cs="仿宋"/>
          <w:color w:val="auto"/>
          <w:highlight w:val="none"/>
        </w:rPr>
        <w:t>工期总日历天数</w:t>
      </w:r>
      <w:r>
        <w:rPr>
          <w:rFonts w:hint="eastAsia" w:ascii="仿宋" w:hAnsi="仿宋" w:eastAsia="仿宋" w:cs="仿宋"/>
          <w:color w:val="auto"/>
          <w:szCs w:val="21"/>
          <w:highlight w:val="none"/>
        </w:rPr>
        <w:t>：</w:t>
      </w:r>
      <w:r>
        <w:rPr>
          <w:rFonts w:hint="eastAsia" w:ascii="仿宋" w:hAnsi="仿宋" w:eastAsia="仿宋" w:cs="仿宋"/>
          <w:b/>
          <w:bCs/>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b/>
          <w:bCs/>
          <w:color w:val="auto"/>
          <w:szCs w:val="21"/>
          <w:highlight w:val="none"/>
          <w:u w:val="single"/>
        </w:rPr>
        <w:t xml:space="preserve">  </w:t>
      </w:r>
      <w:r>
        <w:rPr>
          <w:rFonts w:hint="eastAsia" w:ascii="仿宋" w:hAnsi="仿宋" w:eastAsia="仿宋" w:cs="仿宋"/>
          <w:color w:val="auto"/>
          <w:highlight w:val="none"/>
        </w:rPr>
        <w:t>日历天。实际开工时间以开工令为准。</w:t>
      </w:r>
    </w:p>
    <w:p w14:paraId="64DAB532">
      <w:pPr>
        <w:pStyle w:val="5"/>
        <w:spacing w:before="120" w:line="400" w:lineRule="exact"/>
        <w:rPr>
          <w:rFonts w:hint="eastAsia" w:ascii="仿宋" w:hAnsi="仿宋" w:eastAsia="仿宋" w:cs="仿宋"/>
          <w:bCs w:val="0"/>
          <w:color w:val="auto"/>
          <w:highlight w:val="none"/>
        </w:rPr>
      </w:pPr>
      <w:bookmarkStart w:id="106" w:name="_Toc371945991"/>
      <w:r>
        <w:rPr>
          <w:rFonts w:hint="eastAsia" w:ascii="仿宋" w:hAnsi="仿宋" w:eastAsia="仿宋" w:cs="仿宋"/>
          <w:color w:val="auto"/>
          <w:szCs w:val="21"/>
          <w:highlight w:val="none"/>
        </w:rPr>
        <w:t>三、质量标准</w:t>
      </w:r>
      <w:bookmarkEnd w:id="106"/>
    </w:p>
    <w:p w14:paraId="40BFAB3D">
      <w:pPr>
        <w:spacing w:line="400" w:lineRule="exact"/>
        <w:ind w:firstLine="411" w:firstLineChars="196"/>
        <w:rPr>
          <w:rFonts w:hint="eastAsia" w:ascii="仿宋" w:hAnsi="仿宋" w:eastAsia="仿宋" w:cs="仿宋"/>
          <w:b/>
          <w:color w:val="auto"/>
          <w:highlight w:val="none"/>
          <w:u w:val="single"/>
        </w:rPr>
      </w:pPr>
      <w:r>
        <w:rPr>
          <w:rFonts w:hint="eastAsia" w:ascii="仿宋" w:hAnsi="仿宋" w:eastAsia="仿宋" w:cs="仿宋"/>
          <w:color w:val="auto"/>
          <w:highlight w:val="none"/>
        </w:rPr>
        <w:t>工程质量符合</w:t>
      </w:r>
      <w:r>
        <w:rPr>
          <w:rFonts w:hint="eastAsia" w:ascii="仿宋" w:hAnsi="仿宋" w:eastAsia="仿宋" w:cs="仿宋"/>
          <w:b/>
          <w:color w:val="auto"/>
          <w:highlight w:val="none"/>
          <w:u w:val="single"/>
        </w:rPr>
        <w:t>现行国家有关工程施工质量验收规范和标准的合格要求，并满足本工程设计文件和</w:t>
      </w:r>
      <w:r>
        <w:rPr>
          <w:rFonts w:hint="default" w:ascii="仿宋" w:hAnsi="仿宋" w:eastAsia="仿宋" w:cs="仿宋"/>
          <w:b/>
          <w:color w:val="auto"/>
          <w:highlight w:val="none"/>
          <w:u w:val="single"/>
          <w:lang w:val="en-US"/>
        </w:rPr>
        <w:t>招标</w:t>
      </w:r>
      <w:r>
        <w:rPr>
          <w:rFonts w:hint="eastAsia" w:ascii="仿宋" w:hAnsi="仿宋" w:eastAsia="仿宋" w:cs="仿宋"/>
          <w:b/>
          <w:color w:val="auto"/>
          <w:highlight w:val="none"/>
          <w:u w:val="single"/>
        </w:rPr>
        <w:t>文件约定的技术标准和要求。</w:t>
      </w:r>
    </w:p>
    <w:p w14:paraId="423434BF">
      <w:pPr>
        <w:pStyle w:val="5"/>
        <w:spacing w:before="120" w:line="400" w:lineRule="exact"/>
        <w:rPr>
          <w:rFonts w:hint="eastAsia" w:ascii="仿宋" w:hAnsi="仿宋" w:eastAsia="仿宋" w:cs="仿宋"/>
          <w:bCs w:val="0"/>
          <w:color w:val="auto"/>
          <w:highlight w:val="none"/>
        </w:rPr>
      </w:pPr>
      <w:bookmarkStart w:id="107" w:name="_Toc371945992"/>
      <w:r>
        <w:rPr>
          <w:rFonts w:hint="eastAsia" w:ascii="仿宋" w:hAnsi="仿宋" w:eastAsia="仿宋" w:cs="仿宋"/>
          <w:color w:val="auto"/>
          <w:szCs w:val="21"/>
          <w:highlight w:val="none"/>
        </w:rPr>
        <w:t>四、签约合同价与合同价格形式</w:t>
      </w:r>
      <w:bookmarkEnd w:id="107"/>
      <w:r>
        <w:rPr>
          <w:rFonts w:hint="eastAsia" w:ascii="仿宋" w:hAnsi="仿宋" w:eastAsia="仿宋" w:cs="仿宋"/>
          <w:color w:val="auto"/>
          <w:szCs w:val="21"/>
          <w:highlight w:val="none"/>
        </w:rPr>
        <w:tab/>
      </w:r>
    </w:p>
    <w:p w14:paraId="2055D73C">
      <w:pPr>
        <w:spacing w:line="40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1.签约合同价为：</w:t>
      </w:r>
    </w:p>
    <w:p w14:paraId="154A54C6">
      <w:pPr>
        <w:spacing w:line="400" w:lineRule="exact"/>
        <w:ind w:firstLine="210" w:firstLineChars="100"/>
        <w:rPr>
          <w:rFonts w:hint="eastAsia" w:ascii="仿宋" w:hAnsi="仿宋" w:eastAsia="仿宋" w:cs="仿宋"/>
          <w:color w:val="auto"/>
          <w:highlight w:val="none"/>
        </w:rPr>
      </w:pPr>
      <w:r>
        <w:rPr>
          <w:rFonts w:hint="eastAsia" w:ascii="仿宋" w:hAnsi="仿宋" w:eastAsia="仿宋" w:cs="仿宋"/>
          <w:color w:val="auto"/>
          <w:highlight w:val="none"/>
        </w:rPr>
        <w:t>人民币（大写）</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rPr>
        <w:t>(¥</w:t>
      </w:r>
      <w:r>
        <w:rPr>
          <w:rFonts w:hint="eastAsia" w:ascii="Arial" w:hAnsi="Arial" w:eastAsia="宋体" w:cs="Arial"/>
          <w:i w:val="0"/>
          <w:iCs w:val="0"/>
          <w:caps w:val="0"/>
          <w:color w:val="333333"/>
          <w:spacing w:val="0"/>
          <w:sz w:val="21"/>
          <w:szCs w:val="21"/>
          <w:u w:val="single"/>
          <w:shd w:val="clear" w:fill="FFFFFF"/>
          <w:lang w:val="en-US" w:eastAsia="zh-CN"/>
        </w:rPr>
        <w:t xml:space="preserve">              </w:t>
      </w:r>
      <w:r>
        <w:rPr>
          <w:rFonts w:hint="eastAsia" w:ascii="仿宋" w:hAnsi="仿宋" w:eastAsia="仿宋" w:cs="仿宋"/>
          <w:color w:val="auto"/>
          <w:highlight w:val="none"/>
          <w:u w:val="single"/>
        </w:rPr>
        <w:t xml:space="preserve">元 </w:t>
      </w:r>
      <w:r>
        <w:rPr>
          <w:rFonts w:hint="eastAsia" w:ascii="仿宋" w:hAnsi="仿宋" w:eastAsia="仿宋" w:cs="仿宋"/>
          <w:color w:val="auto"/>
          <w:highlight w:val="none"/>
        </w:rPr>
        <w:t>)；</w:t>
      </w:r>
    </w:p>
    <w:p w14:paraId="4A06BC53">
      <w:pPr>
        <w:spacing w:line="40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其中：</w:t>
      </w:r>
    </w:p>
    <w:p w14:paraId="5E106DD4">
      <w:pPr>
        <w:spacing w:line="40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（1）安全文明施工费：</w:t>
      </w:r>
    </w:p>
    <w:p w14:paraId="33382CFD">
      <w:pPr>
        <w:spacing w:line="400" w:lineRule="exact"/>
        <w:ind w:firstLine="210" w:firstLineChars="100"/>
        <w:rPr>
          <w:rFonts w:hint="eastAsia" w:ascii="仿宋" w:hAnsi="仿宋" w:eastAsia="仿宋" w:cs="仿宋"/>
          <w:color w:val="auto"/>
          <w:highlight w:val="none"/>
        </w:rPr>
      </w:pPr>
      <w:r>
        <w:rPr>
          <w:rFonts w:hint="eastAsia" w:ascii="仿宋" w:hAnsi="仿宋" w:eastAsia="仿宋" w:cs="仿宋"/>
          <w:color w:val="auto"/>
          <w:highlight w:val="none"/>
        </w:rPr>
        <w:t>人民币（大写）</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 </w:t>
      </w:r>
      <w:r>
        <w:rPr>
          <w:rFonts w:hint="eastAsia" w:ascii="仿宋" w:hAnsi="仿宋" w:eastAsia="仿宋" w:cs="仿宋"/>
          <w:color w:val="auto"/>
          <w:highlight w:val="none"/>
          <w:u w:val="single"/>
        </w:rPr>
        <w:t xml:space="preserve">    元</w:t>
      </w:r>
      <w:r>
        <w:rPr>
          <w:rFonts w:hint="eastAsia" w:ascii="仿宋" w:hAnsi="仿宋" w:eastAsia="仿宋" w:cs="仿宋"/>
          <w:color w:val="auto"/>
          <w:highlight w:val="none"/>
        </w:rPr>
        <w:t>)；</w:t>
      </w:r>
    </w:p>
    <w:p w14:paraId="466A6A1D">
      <w:pPr>
        <w:spacing w:line="40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（2）材料和工程设备暂估价金额：</w:t>
      </w:r>
    </w:p>
    <w:p w14:paraId="4EC110DE">
      <w:pPr>
        <w:spacing w:line="400" w:lineRule="exact"/>
        <w:ind w:firstLine="210" w:firstLineChars="100"/>
        <w:rPr>
          <w:rFonts w:hint="eastAsia" w:ascii="仿宋" w:hAnsi="仿宋" w:eastAsia="仿宋" w:cs="仿宋"/>
          <w:color w:val="auto"/>
          <w:highlight w:val="none"/>
        </w:rPr>
      </w:pPr>
      <w:r>
        <w:rPr>
          <w:rFonts w:hint="eastAsia" w:ascii="仿宋" w:hAnsi="仿宋" w:eastAsia="仿宋" w:cs="仿宋"/>
          <w:color w:val="auto"/>
          <w:highlight w:val="none"/>
        </w:rPr>
        <w:t>人民币（大写）</w:t>
      </w:r>
      <w:r>
        <w:rPr>
          <w:rFonts w:hint="eastAsia" w:ascii="仿宋" w:hAnsi="仿宋" w:eastAsia="仿宋" w:cs="仿宋"/>
          <w:color w:val="auto"/>
          <w:highlight w:val="none"/>
          <w:u w:val="single"/>
        </w:rPr>
        <w:t xml:space="preserve">     /     </w:t>
      </w:r>
      <w:r>
        <w:rPr>
          <w:rFonts w:hint="eastAsia" w:ascii="仿宋" w:hAnsi="仿宋" w:eastAsia="仿宋" w:cs="仿宋"/>
          <w:color w:val="auto"/>
          <w:highlight w:val="none"/>
        </w:rPr>
        <w:t xml:space="preserve">(¥ </w:t>
      </w:r>
      <w:r>
        <w:rPr>
          <w:rFonts w:hint="eastAsia" w:ascii="仿宋" w:hAnsi="仿宋" w:eastAsia="仿宋" w:cs="仿宋"/>
          <w:color w:val="auto"/>
          <w:highlight w:val="none"/>
          <w:u w:val="single"/>
        </w:rPr>
        <w:t xml:space="preserve">      /      </w:t>
      </w:r>
      <w:r>
        <w:rPr>
          <w:rFonts w:hint="eastAsia" w:ascii="仿宋" w:hAnsi="仿宋" w:eastAsia="仿宋" w:cs="仿宋"/>
          <w:color w:val="auto"/>
          <w:highlight w:val="none"/>
        </w:rPr>
        <w:t>元)；</w:t>
      </w:r>
    </w:p>
    <w:p w14:paraId="30DA5AA2">
      <w:pPr>
        <w:spacing w:line="40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（3）专业工程暂估价金额：</w:t>
      </w:r>
    </w:p>
    <w:p w14:paraId="21A9E251">
      <w:pPr>
        <w:spacing w:line="400" w:lineRule="exact"/>
        <w:ind w:firstLine="210" w:firstLineChars="100"/>
        <w:rPr>
          <w:rFonts w:hint="eastAsia" w:ascii="仿宋" w:hAnsi="仿宋" w:eastAsia="仿宋" w:cs="仿宋"/>
          <w:color w:val="auto"/>
          <w:highlight w:val="none"/>
        </w:rPr>
      </w:pPr>
      <w:r>
        <w:rPr>
          <w:rFonts w:hint="eastAsia" w:ascii="仿宋" w:hAnsi="仿宋" w:eastAsia="仿宋" w:cs="仿宋"/>
          <w:color w:val="auto"/>
          <w:highlight w:val="none"/>
        </w:rPr>
        <w:t>人民币（大写）</w:t>
      </w:r>
      <w:r>
        <w:rPr>
          <w:rFonts w:hint="eastAsia" w:ascii="仿宋" w:hAnsi="仿宋" w:eastAsia="仿宋" w:cs="仿宋"/>
          <w:color w:val="auto"/>
          <w:highlight w:val="none"/>
          <w:u w:val="single"/>
        </w:rPr>
        <w:t xml:space="preserve">          元整</w:t>
      </w:r>
      <w:r>
        <w:rPr>
          <w:rFonts w:hint="eastAsia" w:ascii="仿宋" w:hAnsi="仿宋" w:eastAsia="仿宋" w:cs="仿宋"/>
          <w:color w:val="auto"/>
          <w:highlight w:val="none"/>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元)；</w:t>
      </w:r>
    </w:p>
    <w:p w14:paraId="50B2BB8A">
      <w:pPr>
        <w:spacing w:line="40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（4）暂列金额（风险金）：</w:t>
      </w:r>
    </w:p>
    <w:p w14:paraId="729203C3">
      <w:pPr>
        <w:spacing w:line="400" w:lineRule="exact"/>
        <w:ind w:firstLine="210" w:firstLineChars="100"/>
        <w:rPr>
          <w:rFonts w:hint="eastAsia" w:ascii="仿宋" w:hAnsi="仿宋" w:eastAsia="仿宋" w:cs="仿宋"/>
          <w:b/>
          <w:color w:val="auto"/>
          <w:highlight w:val="none"/>
          <w:u w:val="single"/>
        </w:rPr>
      </w:pPr>
      <w:r>
        <w:rPr>
          <w:rFonts w:hint="eastAsia" w:ascii="仿宋" w:hAnsi="仿宋" w:eastAsia="仿宋" w:cs="仿宋"/>
          <w:color w:val="auto"/>
          <w:highlight w:val="none"/>
        </w:rPr>
        <w:t>人民币（大写）</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 </w:t>
      </w:r>
      <w:r>
        <w:rPr>
          <w:rFonts w:hint="eastAsia" w:ascii="仿宋" w:hAnsi="仿宋" w:eastAsia="仿宋" w:cs="仿宋"/>
          <w:color w:val="auto"/>
          <w:highlight w:val="none"/>
          <w:u w:val="single"/>
        </w:rPr>
        <w:t xml:space="preserve">      元</w:t>
      </w:r>
      <w:r>
        <w:rPr>
          <w:rFonts w:hint="eastAsia" w:ascii="仿宋" w:hAnsi="仿宋" w:eastAsia="仿宋" w:cs="仿宋"/>
          <w:color w:val="auto"/>
          <w:highlight w:val="none"/>
        </w:rPr>
        <w:t>)</w:t>
      </w:r>
      <w:r>
        <w:rPr>
          <w:rFonts w:hint="eastAsia" w:ascii="仿宋" w:hAnsi="仿宋" w:eastAsia="仿宋" w:cs="仿宋"/>
          <w:b/>
          <w:color w:val="auto"/>
          <w:highlight w:val="none"/>
        </w:rPr>
        <w:t>。</w:t>
      </w:r>
    </w:p>
    <w:p w14:paraId="6BD346A9">
      <w:pPr>
        <w:spacing w:line="400" w:lineRule="exact"/>
        <w:ind w:firstLine="420" w:firstLineChars="200"/>
        <w:rPr>
          <w:rFonts w:hint="eastAsia" w:ascii="仿宋" w:hAnsi="仿宋" w:eastAsia="仿宋" w:cs="仿宋"/>
          <w:bCs/>
          <w:color w:val="auto"/>
          <w:highlight w:val="none"/>
        </w:rPr>
      </w:pPr>
      <w:r>
        <w:rPr>
          <w:rFonts w:hint="eastAsia" w:ascii="仿宋" w:hAnsi="仿宋" w:eastAsia="仿宋" w:cs="仿宋"/>
          <w:color w:val="auto"/>
          <w:highlight w:val="none"/>
        </w:rPr>
        <w:t>2.合同价格形式：</w:t>
      </w:r>
      <w:r>
        <w:rPr>
          <w:rFonts w:hint="eastAsia" w:ascii="仿宋" w:hAnsi="仿宋" w:eastAsia="仿宋" w:cs="仿宋"/>
          <w:b/>
          <w:color w:val="auto"/>
          <w:highlight w:val="none"/>
          <w:u w:val="single"/>
        </w:rPr>
        <w:t xml:space="preserve">单价合同 </w:t>
      </w:r>
      <w:r>
        <w:rPr>
          <w:rFonts w:hint="eastAsia" w:ascii="仿宋" w:hAnsi="仿宋" w:eastAsia="仿宋" w:cs="仿宋"/>
          <w:color w:val="auto"/>
          <w:highlight w:val="none"/>
        </w:rPr>
        <w:t>。</w:t>
      </w:r>
      <w:r>
        <w:rPr>
          <w:rFonts w:hint="eastAsia" w:ascii="仿宋" w:hAnsi="仿宋" w:eastAsia="仿宋" w:cs="仿宋"/>
          <w:bCs/>
          <w:color w:val="auto"/>
          <w:highlight w:val="none"/>
        </w:rPr>
        <w:t>本合同施工工程费结算价参照第三方审计咨询机构出具的竣工结算审核报告审定价款或发包人根据内审结果向审计部门的备案价款作为结算价款</w:t>
      </w:r>
      <w:r>
        <w:rPr>
          <w:rFonts w:hint="eastAsia" w:ascii="仿宋" w:hAnsi="仿宋" w:eastAsia="仿宋" w:cs="仿宋"/>
          <w:bCs/>
          <w:color w:val="auto"/>
          <w:highlight w:val="none"/>
          <w:lang w:eastAsia="zh-CN"/>
        </w:rPr>
        <w:t>，</w:t>
      </w:r>
      <w:r>
        <w:rPr>
          <w:rFonts w:hint="eastAsia" w:ascii="仿宋" w:hAnsi="仿宋" w:eastAsia="仿宋" w:cs="仿宋"/>
          <w:bCs/>
          <w:color w:val="auto"/>
          <w:highlight w:val="none"/>
          <w:lang w:val="en-US" w:eastAsia="zh-CN"/>
        </w:rPr>
        <w:t>且在本项目预算内支付</w:t>
      </w:r>
      <w:r>
        <w:rPr>
          <w:rFonts w:hint="eastAsia" w:ascii="仿宋" w:hAnsi="仿宋" w:eastAsia="仿宋" w:cs="仿宋"/>
          <w:bCs/>
          <w:color w:val="auto"/>
          <w:highlight w:val="none"/>
        </w:rPr>
        <w:t>。</w:t>
      </w:r>
    </w:p>
    <w:p w14:paraId="670F7F89">
      <w:pPr>
        <w:pStyle w:val="5"/>
        <w:spacing w:before="120" w:line="400" w:lineRule="exact"/>
        <w:rPr>
          <w:rFonts w:hint="eastAsia" w:ascii="仿宋" w:hAnsi="仿宋" w:eastAsia="仿宋" w:cs="仿宋"/>
          <w:color w:val="auto"/>
          <w:highlight w:val="none"/>
        </w:rPr>
      </w:pPr>
      <w:bookmarkStart w:id="108" w:name="_Toc371945993"/>
      <w:r>
        <w:rPr>
          <w:rFonts w:hint="eastAsia" w:ascii="仿宋" w:hAnsi="仿宋" w:eastAsia="仿宋" w:cs="仿宋"/>
          <w:color w:val="auto"/>
          <w:szCs w:val="21"/>
          <w:highlight w:val="none"/>
        </w:rPr>
        <w:t>五、项目经理</w:t>
      </w:r>
      <w:bookmarkEnd w:id="108"/>
    </w:p>
    <w:p w14:paraId="0EE8644D">
      <w:pPr>
        <w:spacing w:line="40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承包人项目经理：</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 。</w:t>
      </w:r>
    </w:p>
    <w:p w14:paraId="493F037F">
      <w:pPr>
        <w:pStyle w:val="5"/>
        <w:spacing w:before="120" w:line="400" w:lineRule="exact"/>
        <w:rPr>
          <w:rFonts w:hint="eastAsia" w:ascii="仿宋" w:hAnsi="仿宋" w:eastAsia="仿宋" w:cs="仿宋"/>
          <w:bCs w:val="0"/>
          <w:color w:val="auto"/>
          <w:highlight w:val="none"/>
        </w:rPr>
      </w:pPr>
      <w:bookmarkStart w:id="109" w:name="_Toc371945994"/>
      <w:r>
        <w:rPr>
          <w:rFonts w:hint="eastAsia" w:ascii="仿宋" w:hAnsi="仿宋" w:eastAsia="仿宋" w:cs="仿宋"/>
          <w:color w:val="auto"/>
          <w:szCs w:val="21"/>
          <w:highlight w:val="none"/>
        </w:rPr>
        <w:t>六、合同文件构成</w:t>
      </w:r>
      <w:bookmarkEnd w:id="109"/>
    </w:p>
    <w:p w14:paraId="337A6E2C">
      <w:pPr>
        <w:spacing w:line="400" w:lineRule="exact"/>
        <w:ind w:firstLine="420" w:firstLineChars="200"/>
        <w:rPr>
          <w:rFonts w:hint="eastAsia" w:ascii="仿宋" w:hAnsi="仿宋" w:eastAsia="仿宋" w:cs="仿宋"/>
          <w:bCs/>
          <w:color w:val="auto"/>
          <w:highlight w:val="none"/>
        </w:rPr>
      </w:pPr>
      <w:r>
        <w:rPr>
          <w:rFonts w:hint="eastAsia" w:ascii="仿宋" w:hAnsi="仿宋" w:eastAsia="仿宋" w:cs="仿宋"/>
          <w:bCs/>
          <w:color w:val="auto"/>
          <w:highlight w:val="none"/>
        </w:rPr>
        <w:t>本协议书与下列文件一起构成合同文件：</w:t>
      </w:r>
    </w:p>
    <w:p w14:paraId="4EC40C43">
      <w:pPr>
        <w:spacing w:line="40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（1）中标通知书；</w:t>
      </w:r>
    </w:p>
    <w:p w14:paraId="4DC4655F">
      <w:pPr>
        <w:spacing w:line="40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（2）投标函及其附录； </w:t>
      </w:r>
    </w:p>
    <w:p w14:paraId="07BE55B3">
      <w:pPr>
        <w:spacing w:line="40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（3）专用合同条款及其附件；</w:t>
      </w:r>
    </w:p>
    <w:p w14:paraId="1BBEB1CE">
      <w:pPr>
        <w:spacing w:line="40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（4）通用合同条款；</w:t>
      </w:r>
    </w:p>
    <w:p w14:paraId="5C3C2B02">
      <w:pPr>
        <w:spacing w:line="40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（5）技术标准和要求；</w:t>
      </w:r>
    </w:p>
    <w:p w14:paraId="18D0FB1E">
      <w:pPr>
        <w:spacing w:line="40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（6）图纸；</w:t>
      </w:r>
    </w:p>
    <w:p w14:paraId="7D4DA1F1">
      <w:pPr>
        <w:spacing w:line="40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（7）已标价工程量清单；</w:t>
      </w:r>
    </w:p>
    <w:p w14:paraId="756FA83E">
      <w:pPr>
        <w:spacing w:line="40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（8）其他合同文件。</w:t>
      </w:r>
    </w:p>
    <w:p w14:paraId="53C554EF">
      <w:pPr>
        <w:spacing w:line="40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在合同订立及履行过程中形成的与合同有关的文件均构成合同文件组成部分。</w:t>
      </w:r>
    </w:p>
    <w:p w14:paraId="47E84258">
      <w:pPr>
        <w:spacing w:line="40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上述各项合同文件包括合同当事人就该项合同文件所作出的补充和修改，属于同一类内容的文件，应以最新签署的为准。专用合同条款及其附件须经合同当事人签字或盖章。</w:t>
      </w:r>
    </w:p>
    <w:p w14:paraId="17FAE63C">
      <w:pPr>
        <w:pStyle w:val="5"/>
        <w:spacing w:before="120" w:line="400" w:lineRule="exact"/>
        <w:ind w:firstLine="562" w:firstLineChars="200"/>
        <w:rPr>
          <w:rFonts w:hint="eastAsia" w:ascii="仿宋" w:hAnsi="仿宋" w:eastAsia="仿宋" w:cs="仿宋"/>
          <w:bCs w:val="0"/>
          <w:color w:val="auto"/>
          <w:highlight w:val="none"/>
        </w:rPr>
      </w:pPr>
      <w:bookmarkStart w:id="110" w:name="_Toc371945995"/>
      <w:r>
        <w:rPr>
          <w:rFonts w:hint="eastAsia" w:ascii="仿宋" w:hAnsi="仿宋" w:eastAsia="仿宋" w:cs="仿宋"/>
          <w:color w:val="auto"/>
          <w:szCs w:val="21"/>
          <w:highlight w:val="none"/>
        </w:rPr>
        <w:t>七、承诺</w:t>
      </w:r>
      <w:bookmarkEnd w:id="110"/>
    </w:p>
    <w:p w14:paraId="1052CB4B">
      <w:pPr>
        <w:spacing w:line="400" w:lineRule="exact"/>
        <w:ind w:firstLine="420" w:firstLineChars="200"/>
        <w:rPr>
          <w:rFonts w:hint="eastAsia" w:ascii="仿宋" w:hAnsi="仿宋" w:eastAsia="仿宋" w:cs="仿宋"/>
          <w:bCs/>
          <w:color w:val="auto"/>
          <w:highlight w:val="none"/>
        </w:rPr>
      </w:pPr>
      <w:r>
        <w:rPr>
          <w:rFonts w:hint="eastAsia" w:ascii="仿宋" w:hAnsi="仿宋" w:eastAsia="仿宋" w:cs="仿宋"/>
          <w:bCs/>
          <w:color w:val="auto"/>
          <w:highlight w:val="none"/>
        </w:rPr>
        <w:t>1.发包人承诺按照法律规定履行项目审批手续、筹集工程建设资金并按照合同约定的期限和方式支付合同价款。</w:t>
      </w:r>
    </w:p>
    <w:p w14:paraId="66873EAC">
      <w:pPr>
        <w:spacing w:line="400" w:lineRule="exact"/>
        <w:ind w:firstLine="420" w:firstLineChars="200"/>
        <w:rPr>
          <w:rFonts w:hint="eastAsia" w:ascii="仿宋" w:hAnsi="仿宋" w:eastAsia="仿宋" w:cs="仿宋"/>
          <w:bCs/>
          <w:color w:val="auto"/>
          <w:highlight w:val="none"/>
        </w:rPr>
      </w:pPr>
      <w:r>
        <w:rPr>
          <w:rFonts w:hint="eastAsia" w:ascii="仿宋" w:hAnsi="仿宋" w:eastAsia="仿宋" w:cs="仿宋"/>
          <w:bCs/>
          <w:color w:val="auto"/>
          <w:highlight w:val="none"/>
        </w:rPr>
        <w:t>2.承包人承诺按照法律规定及合同约定组织完成工程施工，确保工程质量和安全，不进行转包及违法分包，并在缺陷责任期及保修期内承担相应的工程维修责任。</w:t>
      </w:r>
    </w:p>
    <w:p w14:paraId="632FCF0B">
      <w:pPr>
        <w:spacing w:line="400" w:lineRule="exact"/>
        <w:ind w:firstLine="420" w:firstLineChars="200"/>
        <w:rPr>
          <w:rFonts w:hint="eastAsia" w:ascii="仿宋" w:hAnsi="仿宋" w:eastAsia="仿宋" w:cs="仿宋"/>
          <w:bCs/>
          <w:color w:val="auto"/>
          <w:highlight w:val="none"/>
        </w:rPr>
      </w:pPr>
      <w:r>
        <w:rPr>
          <w:rFonts w:hint="eastAsia" w:ascii="仿宋" w:hAnsi="仿宋" w:eastAsia="仿宋" w:cs="仿宋"/>
          <w:bCs/>
          <w:color w:val="auto"/>
          <w:highlight w:val="none"/>
        </w:rPr>
        <w:t>3.发包人和承包人通过招投标形式签订合同的，双方理解并承诺不再就同一工程另行签订与合同实质性内容相背离的协议。</w:t>
      </w:r>
    </w:p>
    <w:p w14:paraId="34C7F9FC">
      <w:pPr>
        <w:spacing w:line="400" w:lineRule="exact"/>
        <w:rPr>
          <w:rFonts w:hint="eastAsia" w:ascii="仿宋" w:hAnsi="仿宋" w:eastAsia="仿宋" w:cs="仿宋"/>
          <w:bCs/>
          <w:color w:val="auto"/>
          <w:highlight w:val="none"/>
        </w:rPr>
      </w:pPr>
      <w:r>
        <w:rPr>
          <w:rFonts w:hint="eastAsia" w:ascii="仿宋" w:hAnsi="仿宋" w:eastAsia="仿宋" w:cs="仿宋"/>
          <w:b/>
          <w:color w:val="auto"/>
          <w:highlight w:val="none"/>
        </w:rPr>
        <w:t>八、词语含义</w:t>
      </w:r>
    </w:p>
    <w:p w14:paraId="3D25BC21">
      <w:pPr>
        <w:spacing w:line="400" w:lineRule="exact"/>
        <w:ind w:firstLine="420" w:firstLineChars="200"/>
        <w:rPr>
          <w:rFonts w:hint="eastAsia" w:ascii="仿宋" w:hAnsi="仿宋" w:eastAsia="仿宋" w:cs="仿宋"/>
          <w:bCs/>
          <w:color w:val="auto"/>
          <w:highlight w:val="none"/>
        </w:rPr>
      </w:pPr>
      <w:r>
        <w:rPr>
          <w:rFonts w:hint="eastAsia" w:ascii="仿宋" w:hAnsi="仿宋" w:eastAsia="仿宋" w:cs="仿宋"/>
          <w:bCs/>
          <w:color w:val="auto"/>
          <w:highlight w:val="none"/>
        </w:rPr>
        <w:t>本协议书中词语含义与第二部分通用合同条款中赋予的含义相同。</w:t>
      </w:r>
    </w:p>
    <w:p w14:paraId="1FBDF3FC">
      <w:pPr>
        <w:pStyle w:val="5"/>
        <w:spacing w:before="120" w:line="400" w:lineRule="exact"/>
        <w:rPr>
          <w:rFonts w:hint="eastAsia" w:ascii="仿宋" w:hAnsi="仿宋" w:eastAsia="仿宋" w:cs="仿宋"/>
          <w:bCs w:val="0"/>
          <w:color w:val="auto"/>
          <w:highlight w:val="none"/>
        </w:rPr>
      </w:pPr>
      <w:bookmarkStart w:id="111" w:name="_Toc371945996"/>
      <w:r>
        <w:rPr>
          <w:rFonts w:hint="eastAsia" w:ascii="仿宋" w:hAnsi="仿宋" w:eastAsia="仿宋" w:cs="仿宋"/>
          <w:color w:val="auto"/>
          <w:szCs w:val="21"/>
          <w:highlight w:val="none"/>
        </w:rPr>
        <w:t>九、签订时间</w:t>
      </w:r>
      <w:bookmarkEnd w:id="111"/>
    </w:p>
    <w:p w14:paraId="7AE48386">
      <w:pPr>
        <w:spacing w:line="400" w:lineRule="exact"/>
        <w:ind w:firstLine="420" w:firstLineChars="200"/>
        <w:rPr>
          <w:rFonts w:hint="eastAsia" w:ascii="仿宋" w:hAnsi="仿宋" w:eastAsia="仿宋" w:cs="仿宋"/>
          <w:bCs/>
          <w:color w:val="auto"/>
          <w:highlight w:val="none"/>
        </w:rPr>
      </w:pPr>
      <w:r>
        <w:rPr>
          <w:rFonts w:hint="eastAsia" w:ascii="仿宋" w:hAnsi="仿宋" w:eastAsia="仿宋" w:cs="仿宋"/>
          <w:bCs/>
          <w:color w:val="auto"/>
          <w:highlight w:val="none"/>
        </w:rPr>
        <w:t>本合同于</w:t>
      </w:r>
      <w:r>
        <w:rPr>
          <w:rFonts w:hint="eastAsia" w:ascii="仿宋" w:hAnsi="仿宋" w:eastAsia="仿宋" w:cs="仿宋"/>
          <w:bCs/>
          <w:color w:val="auto"/>
          <w:highlight w:val="none"/>
          <w:u w:val="single"/>
        </w:rPr>
        <w:t xml:space="preserve">       </w:t>
      </w:r>
      <w:r>
        <w:rPr>
          <w:rFonts w:hint="eastAsia" w:ascii="仿宋" w:hAnsi="仿宋" w:eastAsia="仿宋" w:cs="仿宋"/>
          <w:bCs/>
          <w:color w:val="auto"/>
          <w:highlight w:val="none"/>
        </w:rPr>
        <w:t>年</w:t>
      </w:r>
      <w:r>
        <w:rPr>
          <w:rFonts w:hint="eastAsia" w:ascii="仿宋" w:hAnsi="仿宋" w:eastAsia="仿宋" w:cs="仿宋"/>
          <w:bCs/>
          <w:color w:val="auto"/>
          <w:highlight w:val="none"/>
          <w:u w:val="single"/>
        </w:rPr>
        <w:t xml:space="preserve">    </w:t>
      </w:r>
      <w:r>
        <w:rPr>
          <w:rFonts w:hint="eastAsia" w:ascii="仿宋" w:hAnsi="仿宋" w:eastAsia="仿宋" w:cs="仿宋"/>
          <w:bCs/>
          <w:color w:val="auto"/>
          <w:highlight w:val="none"/>
        </w:rPr>
        <w:t>月</w:t>
      </w:r>
      <w:r>
        <w:rPr>
          <w:rFonts w:hint="eastAsia" w:ascii="仿宋" w:hAnsi="仿宋" w:eastAsia="仿宋" w:cs="仿宋"/>
          <w:bCs/>
          <w:color w:val="auto"/>
          <w:highlight w:val="none"/>
          <w:u w:val="single"/>
        </w:rPr>
        <w:t xml:space="preserve">    </w:t>
      </w:r>
      <w:r>
        <w:rPr>
          <w:rFonts w:hint="eastAsia" w:ascii="仿宋" w:hAnsi="仿宋" w:eastAsia="仿宋" w:cs="仿宋"/>
          <w:bCs/>
          <w:color w:val="auto"/>
          <w:highlight w:val="none"/>
        </w:rPr>
        <w:t>日签订。</w:t>
      </w:r>
    </w:p>
    <w:p w14:paraId="126906E7">
      <w:pPr>
        <w:pStyle w:val="5"/>
        <w:spacing w:before="120" w:line="400" w:lineRule="exact"/>
        <w:rPr>
          <w:rFonts w:hint="eastAsia" w:ascii="仿宋" w:hAnsi="仿宋" w:eastAsia="仿宋" w:cs="仿宋"/>
          <w:bCs w:val="0"/>
          <w:color w:val="auto"/>
          <w:highlight w:val="none"/>
        </w:rPr>
      </w:pPr>
      <w:bookmarkStart w:id="112" w:name="_Toc371945997"/>
      <w:r>
        <w:rPr>
          <w:rFonts w:hint="eastAsia" w:ascii="仿宋" w:hAnsi="仿宋" w:eastAsia="仿宋" w:cs="仿宋"/>
          <w:color w:val="auto"/>
          <w:szCs w:val="21"/>
          <w:highlight w:val="none"/>
        </w:rPr>
        <w:t>十、签订地点</w:t>
      </w:r>
      <w:bookmarkEnd w:id="112"/>
    </w:p>
    <w:p w14:paraId="6F47D9D2">
      <w:pPr>
        <w:spacing w:line="400" w:lineRule="exact"/>
        <w:ind w:firstLine="420" w:firstLineChars="200"/>
        <w:rPr>
          <w:rFonts w:hint="eastAsia" w:ascii="仿宋" w:hAnsi="仿宋" w:eastAsia="仿宋" w:cs="仿宋"/>
          <w:bCs/>
          <w:color w:val="auto"/>
          <w:highlight w:val="none"/>
        </w:rPr>
      </w:pPr>
      <w:r>
        <w:rPr>
          <w:rFonts w:hint="eastAsia" w:ascii="仿宋" w:hAnsi="仿宋" w:eastAsia="仿宋" w:cs="仿宋"/>
          <w:bCs/>
          <w:color w:val="auto"/>
          <w:highlight w:val="none"/>
        </w:rPr>
        <w:t>本合同在</w:t>
      </w:r>
      <w:r>
        <w:rPr>
          <w:rFonts w:hint="eastAsia" w:ascii="仿宋" w:hAnsi="仿宋" w:eastAsia="仿宋" w:cs="仿宋"/>
          <w:b/>
          <w:bCs/>
          <w:color w:val="auto"/>
          <w:highlight w:val="none"/>
          <w:u w:val="single"/>
        </w:rPr>
        <w:t>金堂县</w:t>
      </w:r>
      <w:r>
        <w:rPr>
          <w:rFonts w:hint="eastAsia" w:ascii="仿宋" w:hAnsi="仿宋" w:eastAsia="仿宋" w:cs="仿宋"/>
          <w:b/>
          <w:bCs/>
          <w:color w:val="auto"/>
          <w:highlight w:val="none"/>
          <w:u w:val="single"/>
          <w:lang w:val="en-US" w:eastAsia="zh-CN"/>
        </w:rPr>
        <w:t>第一人民医院</w:t>
      </w:r>
      <w:r>
        <w:rPr>
          <w:rFonts w:hint="eastAsia" w:ascii="仿宋" w:hAnsi="仿宋" w:eastAsia="仿宋" w:cs="仿宋"/>
          <w:b/>
          <w:bCs/>
          <w:color w:val="auto"/>
          <w:highlight w:val="none"/>
          <w:u w:val="single"/>
        </w:rPr>
        <w:t xml:space="preserve"> </w:t>
      </w:r>
      <w:r>
        <w:rPr>
          <w:rFonts w:hint="eastAsia" w:ascii="仿宋" w:hAnsi="仿宋" w:eastAsia="仿宋" w:cs="仿宋"/>
          <w:bCs/>
          <w:color w:val="auto"/>
          <w:highlight w:val="none"/>
        </w:rPr>
        <w:t>签订。</w:t>
      </w:r>
    </w:p>
    <w:p w14:paraId="0A457C82">
      <w:pPr>
        <w:pStyle w:val="5"/>
        <w:spacing w:before="120" w:line="400" w:lineRule="exact"/>
        <w:rPr>
          <w:rFonts w:hint="eastAsia" w:ascii="仿宋" w:hAnsi="仿宋" w:eastAsia="仿宋" w:cs="仿宋"/>
          <w:bCs w:val="0"/>
          <w:color w:val="auto"/>
          <w:highlight w:val="none"/>
        </w:rPr>
      </w:pPr>
      <w:bookmarkStart w:id="113" w:name="_Toc371945998"/>
      <w:r>
        <w:rPr>
          <w:rFonts w:hint="eastAsia" w:ascii="仿宋" w:hAnsi="仿宋" w:eastAsia="仿宋" w:cs="仿宋"/>
          <w:color w:val="auto"/>
          <w:szCs w:val="21"/>
          <w:highlight w:val="none"/>
        </w:rPr>
        <w:t>十一、补充协议</w:t>
      </w:r>
      <w:bookmarkEnd w:id="113"/>
    </w:p>
    <w:p w14:paraId="0D7FA6CB">
      <w:pPr>
        <w:spacing w:line="400" w:lineRule="exact"/>
        <w:ind w:firstLine="420" w:firstLineChars="200"/>
        <w:rPr>
          <w:rFonts w:hint="eastAsia" w:ascii="仿宋" w:hAnsi="仿宋" w:eastAsia="仿宋" w:cs="仿宋"/>
          <w:b/>
          <w:bCs/>
          <w:color w:val="auto"/>
          <w:highlight w:val="none"/>
        </w:rPr>
      </w:pPr>
      <w:r>
        <w:rPr>
          <w:rFonts w:hint="eastAsia" w:ascii="仿宋" w:hAnsi="仿宋" w:eastAsia="仿宋" w:cs="仿宋"/>
          <w:bCs/>
          <w:color w:val="auto"/>
          <w:highlight w:val="none"/>
        </w:rPr>
        <w:t>合同未尽事宜，合同当事人另行签订补充协议，补充协议是合同的组成部分。</w:t>
      </w:r>
    </w:p>
    <w:p w14:paraId="1141648F">
      <w:pPr>
        <w:pStyle w:val="5"/>
        <w:spacing w:before="120" w:line="400" w:lineRule="exact"/>
        <w:rPr>
          <w:rFonts w:hint="eastAsia" w:ascii="仿宋" w:hAnsi="仿宋" w:eastAsia="仿宋" w:cs="仿宋"/>
          <w:bCs w:val="0"/>
          <w:color w:val="auto"/>
          <w:highlight w:val="none"/>
        </w:rPr>
      </w:pPr>
      <w:bookmarkStart w:id="114" w:name="_Toc371945999"/>
      <w:r>
        <w:rPr>
          <w:rFonts w:hint="eastAsia" w:ascii="仿宋" w:hAnsi="仿宋" w:eastAsia="仿宋" w:cs="仿宋"/>
          <w:color w:val="auto"/>
          <w:szCs w:val="21"/>
          <w:highlight w:val="none"/>
        </w:rPr>
        <w:t>十二、合同生效</w:t>
      </w:r>
      <w:bookmarkEnd w:id="114"/>
    </w:p>
    <w:p w14:paraId="24ED7BE6">
      <w:pPr>
        <w:spacing w:line="400" w:lineRule="exact"/>
        <w:ind w:firstLine="420" w:firstLineChars="200"/>
        <w:rPr>
          <w:rFonts w:hint="eastAsia" w:ascii="仿宋" w:hAnsi="仿宋" w:eastAsia="仿宋" w:cs="仿宋"/>
          <w:bCs/>
          <w:color w:val="auto"/>
          <w:highlight w:val="none"/>
        </w:rPr>
      </w:pPr>
      <w:r>
        <w:rPr>
          <w:rFonts w:hint="eastAsia" w:ascii="仿宋" w:hAnsi="仿宋" w:eastAsia="仿宋" w:cs="仿宋"/>
          <w:bCs/>
          <w:color w:val="auto"/>
          <w:highlight w:val="none"/>
        </w:rPr>
        <w:t>本合同自</w:t>
      </w:r>
      <w:r>
        <w:rPr>
          <w:rFonts w:hint="eastAsia" w:ascii="仿宋" w:hAnsi="仿宋" w:eastAsia="仿宋" w:cs="仿宋"/>
          <w:b/>
          <w:bCs/>
          <w:color w:val="auto"/>
          <w:highlight w:val="none"/>
          <w:u w:val="single"/>
        </w:rPr>
        <w:t>双方</w:t>
      </w:r>
      <w:r>
        <w:rPr>
          <w:rFonts w:hint="eastAsia" w:ascii="仿宋" w:hAnsi="仿宋" w:eastAsia="仿宋" w:cs="仿宋"/>
          <w:b/>
          <w:color w:val="auto"/>
          <w:highlight w:val="none"/>
          <w:u w:val="single"/>
        </w:rPr>
        <w:t>法定代表人或其委托</w:t>
      </w:r>
      <w:r>
        <w:rPr>
          <w:rFonts w:hint="eastAsia" w:ascii="仿宋" w:hAnsi="仿宋" w:eastAsia="仿宋" w:cs="仿宋"/>
          <w:b/>
          <w:color w:val="auto"/>
          <w:highlight w:val="none"/>
          <w:u w:val="single"/>
          <w:lang w:val="en-US" w:eastAsia="zh-CN"/>
        </w:rPr>
        <w:t>代表</w:t>
      </w:r>
      <w:r>
        <w:rPr>
          <w:rFonts w:hint="eastAsia" w:ascii="仿宋" w:hAnsi="仿宋" w:eastAsia="仿宋" w:cs="仿宋"/>
          <w:b/>
          <w:color w:val="auto"/>
          <w:highlight w:val="none"/>
          <w:u w:val="single"/>
        </w:rPr>
        <w:t xml:space="preserve">签字（盖章）并加盖单位公章后 </w:t>
      </w:r>
      <w:r>
        <w:rPr>
          <w:rFonts w:hint="eastAsia" w:ascii="仿宋" w:hAnsi="仿宋" w:eastAsia="仿宋" w:cs="仿宋"/>
          <w:bCs/>
          <w:color w:val="auto"/>
          <w:highlight w:val="none"/>
        </w:rPr>
        <w:t>生效。</w:t>
      </w:r>
    </w:p>
    <w:p w14:paraId="35D61A88">
      <w:pPr>
        <w:pStyle w:val="5"/>
        <w:spacing w:before="120" w:line="400" w:lineRule="exact"/>
        <w:rPr>
          <w:rFonts w:hint="eastAsia" w:ascii="仿宋" w:hAnsi="仿宋" w:eastAsia="仿宋" w:cs="仿宋"/>
          <w:bCs w:val="0"/>
          <w:color w:val="auto"/>
          <w:highlight w:val="none"/>
        </w:rPr>
      </w:pPr>
      <w:bookmarkStart w:id="115" w:name="_Toc371946000"/>
      <w:r>
        <w:rPr>
          <w:rFonts w:hint="eastAsia" w:ascii="仿宋" w:hAnsi="仿宋" w:eastAsia="仿宋" w:cs="仿宋"/>
          <w:color w:val="auto"/>
          <w:szCs w:val="21"/>
          <w:highlight w:val="none"/>
        </w:rPr>
        <w:t>十三、合同份数</w:t>
      </w:r>
      <w:bookmarkEnd w:id="115"/>
    </w:p>
    <w:p w14:paraId="2AA0C8A3">
      <w:pPr>
        <w:spacing w:line="40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highlight w:val="none"/>
        </w:rPr>
        <w:t>本合同一式</w:t>
      </w:r>
      <w:r>
        <w:rPr>
          <w:rFonts w:hint="eastAsia" w:ascii="仿宋" w:hAnsi="仿宋" w:eastAsia="仿宋" w:cs="仿宋"/>
          <w:bCs/>
          <w:color w:val="auto"/>
          <w:highlight w:val="none"/>
          <w:u w:val="single"/>
          <w:lang w:val="en-US" w:eastAsia="zh-CN"/>
        </w:rPr>
        <w:t xml:space="preserve"> </w:t>
      </w:r>
      <w:r>
        <w:rPr>
          <w:rFonts w:hint="eastAsia" w:ascii="仿宋" w:hAnsi="仿宋" w:eastAsia="仿宋" w:cs="仿宋"/>
          <w:b/>
          <w:bCs/>
          <w:color w:val="auto"/>
          <w:szCs w:val="21"/>
          <w:highlight w:val="none"/>
          <w:u w:val="single"/>
          <w:lang w:val="en-US" w:eastAsia="zh-CN"/>
        </w:rPr>
        <w:t xml:space="preserve">陆 </w:t>
      </w:r>
      <w:r>
        <w:rPr>
          <w:rFonts w:hint="eastAsia" w:ascii="仿宋" w:hAnsi="仿宋" w:eastAsia="仿宋" w:cs="仿宋"/>
          <w:bCs/>
          <w:color w:val="auto"/>
          <w:highlight w:val="none"/>
        </w:rPr>
        <w:t>份，均具有同等法律效力，发包人执</w:t>
      </w:r>
      <w:r>
        <w:rPr>
          <w:rFonts w:hint="eastAsia" w:ascii="仿宋" w:hAnsi="仿宋" w:eastAsia="仿宋" w:cs="仿宋"/>
          <w:bCs/>
          <w:color w:val="auto"/>
          <w:szCs w:val="21"/>
          <w:highlight w:val="none"/>
          <w:u w:val="single"/>
        </w:rPr>
        <w:t xml:space="preserve"> </w:t>
      </w:r>
      <w:r>
        <w:rPr>
          <w:rFonts w:hint="eastAsia" w:ascii="仿宋" w:hAnsi="仿宋" w:eastAsia="仿宋" w:cs="仿宋"/>
          <w:b/>
          <w:bCs/>
          <w:color w:val="auto"/>
          <w:szCs w:val="21"/>
          <w:highlight w:val="none"/>
          <w:u w:val="single"/>
          <w:lang w:val="en-US" w:eastAsia="zh-CN"/>
        </w:rPr>
        <w:t>肆</w:t>
      </w:r>
      <w:r>
        <w:rPr>
          <w:rFonts w:hint="eastAsia" w:ascii="仿宋" w:hAnsi="仿宋" w:eastAsia="仿宋" w:cs="仿宋"/>
          <w:b/>
          <w:bCs/>
          <w:color w:val="auto"/>
          <w:szCs w:val="21"/>
          <w:highlight w:val="none"/>
          <w:u w:val="single"/>
        </w:rPr>
        <w:t xml:space="preserve"> </w:t>
      </w:r>
      <w:r>
        <w:rPr>
          <w:rFonts w:hint="eastAsia" w:ascii="仿宋" w:hAnsi="仿宋" w:eastAsia="仿宋" w:cs="仿宋"/>
          <w:bCs/>
          <w:color w:val="auto"/>
          <w:highlight w:val="none"/>
        </w:rPr>
        <w:t>份，承包人执</w:t>
      </w:r>
      <w:r>
        <w:rPr>
          <w:rFonts w:hint="eastAsia" w:ascii="仿宋" w:hAnsi="仿宋" w:eastAsia="仿宋" w:cs="仿宋"/>
          <w:bCs/>
          <w:color w:val="auto"/>
          <w:highlight w:val="none"/>
          <w:lang w:val="en-US" w:eastAsia="zh-CN"/>
        </w:rPr>
        <w:t xml:space="preserve"> </w:t>
      </w:r>
      <w:r>
        <w:rPr>
          <w:rFonts w:hint="eastAsia" w:ascii="仿宋" w:hAnsi="仿宋" w:eastAsia="仿宋" w:cs="仿宋"/>
          <w:b/>
          <w:color w:val="auto"/>
          <w:szCs w:val="21"/>
          <w:highlight w:val="none"/>
          <w:u w:val="single"/>
          <w:lang w:val="en-US" w:eastAsia="zh-CN"/>
        </w:rPr>
        <w:t xml:space="preserve">贰 </w:t>
      </w:r>
      <w:r>
        <w:rPr>
          <w:rFonts w:hint="eastAsia" w:ascii="仿宋" w:hAnsi="仿宋" w:eastAsia="仿宋" w:cs="仿宋"/>
          <w:bCs/>
          <w:color w:val="auto"/>
          <w:szCs w:val="21"/>
          <w:highlight w:val="none"/>
        </w:rPr>
        <w:t>份。</w:t>
      </w:r>
    </w:p>
    <w:p w14:paraId="3FD77124">
      <w:pPr>
        <w:spacing w:line="400" w:lineRule="exact"/>
        <w:ind w:firstLine="420" w:firstLineChars="200"/>
        <w:rPr>
          <w:rFonts w:hint="eastAsia" w:ascii="仿宋" w:hAnsi="仿宋" w:eastAsia="仿宋" w:cs="仿宋"/>
          <w:bCs/>
          <w:color w:val="auto"/>
          <w:szCs w:val="21"/>
          <w:highlight w:val="none"/>
        </w:rPr>
      </w:pPr>
    </w:p>
    <w:tbl>
      <w:tblPr>
        <w:tblStyle w:val="18"/>
        <w:tblW w:w="9349" w:type="dxa"/>
        <w:tblInd w:w="-270" w:type="dxa"/>
        <w:tblLayout w:type="fixed"/>
        <w:tblCellMar>
          <w:top w:w="0" w:type="dxa"/>
          <w:left w:w="108" w:type="dxa"/>
          <w:bottom w:w="0" w:type="dxa"/>
          <w:right w:w="108" w:type="dxa"/>
        </w:tblCellMar>
      </w:tblPr>
      <w:tblGrid>
        <w:gridCol w:w="4597"/>
        <w:gridCol w:w="4752"/>
      </w:tblGrid>
      <w:tr w14:paraId="0E68115E">
        <w:tblPrEx>
          <w:tblCellMar>
            <w:top w:w="0" w:type="dxa"/>
            <w:left w:w="108" w:type="dxa"/>
            <w:bottom w:w="0" w:type="dxa"/>
            <w:right w:w="108" w:type="dxa"/>
          </w:tblCellMar>
        </w:tblPrEx>
        <w:trPr>
          <w:trHeight w:val="719" w:hRule="atLeast"/>
        </w:trPr>
        <w:tc>
          <w:tcPr>
            <w:tcW w:w="4597" w:type="dxa"/>
            <w:noWrap w:val="0"/>
            <w:vAlign w:val="center"/>
          </w:tcPr>
          <w:p w14:paraId="7581BEA1">
            <w:pPr>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发包人：</w:t>
            </w:r>
            <w:r>
              <w:rPr>
                <w:rFonts w:hint="eastAsia" w:ascii="仿宋" w:hAnsi="仿宋" w:eastAsia="仿宋" w:cs="仿宋"/>
                <w:bCs/>
                <w:color w:val="auto"/>
                <w:szCs w:val="21"/>
                <w:highlight w:val="none"/>
                <w:lang w:val="en-US" w:eastAsia="zh-CN"/>
              </w:rPr>
              <w:t>金堂县第一人民医院</w:t>
            </w:r>
            <w:r>
              <w:rPr>
                <w:rFonts w:hint="eastAsia" w:ascii="仿宋" w:hAnsi="仿宋" w:eastAsia="仿宋" w:cs="仿宋"/>
                <w:bCs/>
                <w:color w:val="auto"/>
                <w:szCs w:val="21"/>
                <w:highlight w:val="none"/>
              </w:rPr>
              <w:t>（盖章）</w:t>
            </w:r>
          </w:p>
        </w:tc>
        <w:tc>
          <w:tcPr>
            <w:tcW w:w="4752" w:type="dxa"/>
            <w:noWrap w:val="0"/>
            <w:vAlign w:val="center"/>
          </w:tcPr>
          <w:p w14:paraId="2241C376">
            <w:pPr>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承包人：（盖章）</w:t>
            </w:r>
          </w:p>
        </w:tc>
      </w:tr>
      <w:tr w14:paraId="60D9F986">
        <w:tblPrEx>
          <w:tblCellMar>
            <w:top w:w="0" w:type="dxa"/>
            <w:left w:w="108" w:type="dxa"/>
            <w:bottom w:w="0" w:type="dxa"/>
            <w:right w:w="108" w:type="dxa"/>
          </w:tblCellMar>
        </w:tblPrEx>
        <w:trPr>
          <w:trHeight w:val="719" w:hRule="atLeast"/>
        </w:trPr>
        <w:tc>
          <w:tcPr>
            <w:tcW w:w="4597" w:type="dxa"/>
            <w:noWrap w:val="0"/>
            <w:vAlign w:val="center"/>
          </w:tcPr>
          <w:p w14:paraId="30876482">
            <w:pPr>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法定代表人或授权代表人（签字或盖章）：</w:t>
            </w:r>
          </w:p>
        </w:tc>
        <w:tc>
          <w:tcPr>
            <w:tcW w:w="4752" w:type="dxa"/>
            <w:noWrap w:val="0"/>
            <w:vAlign w:val="center"/>
          </w:tcPr>
          <w:p w14:paraId="686E0BBC">
            <w:pPr>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法定代表人或授权代表人（签字或盖章）：</w:t>
            </w:r>
          </w:p>
        </w:tc>
      </w:tr>
      <w:tr w14:paraId="1C017058">
        <w:tblPrEx>
          <w:tblCellMar>
            <w:top w:w="0" w:type="dxa"/>
            <w:left w:w="108" w:type="dxa"/>
            <w:bottom w:w="0" w:type="dxa"/>
            <w:right w:w="108" w:type="dxa"/>
          </w:tblCellMar>
        </w:tblPrEx>
        <w:trPr>
          <w:trHeight w:val="719" w:hRule="atLeast"/>
        </w:trPr>
        <w:tc>
          <w:tcPr>
            <w:tcW w:w="4597" w:type="dxa"/>
            <w:noWrap w:val="0"/>
            <w:vAlign w:val="center"/>
          </w:tcPr>
          <w:p w14:paraId="6DA9BA1F">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统一社会信用代码：</w:t>
            </w:r>
            <w:r>
              <w:rPr>
                <w:rFonts w:hint="eastAsia" w:ascii="仿宋" w:hAnsi="仿宋" w:eastAsia="仿宋" w:cs="仿宋"/>
                <w:bCs/>
                <w:color w:val="auto"/>
                <w:szCs w:val="21"/>
                <w:highlight w:val="none"/>
                <w:lang w:val="en-US" w:eastAsia="zh-CN"/>
              </w:rPr>
              <w:t xml:space="preserve"> </w:t>
            </w:r>
          </w:p>
        </w:tc>
        <w:tc>
          <w:tcPr>
            <w:tcW w:w="4752" w:type="dxa"/>
            <w:noWrap w:val="0"/>
            <w:vAlign w:val="center"/>
          </w:tcPr>
          <w:p w14:paraId="1FDAD74E">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统一社会信用代码：</w:t>
            </w:r>
          </w:p>
        </w:tc>
      </w:tr>
      <w:tr w14:paraId="4E3AC2F9">
        <w:tblPrEx>
          <w:tblCellMar>
            <w:top w:w="0" w:type="dxa"/>
            <w:left w:w="108" w:type="dxa"/>
            <w:bottom w:w="0" w:type="dxa"/>
            <w:right w:w="108" w:type="dxa"/>
          </w:tblCellMar>
        </w:tblPrEx>
        <w:trPr>
          <w:trHeight w:val="719" w:hRule="atLeast"/>
        </w:trPr>
        <w:tc>
          <w:tcPr>
            <w:tcW w:w="4597" w:type="dxa"/>
            <w:noWrap w:val="0"/>
            <w:vAlign w:val="center"/>
          </w:tcPr>
          <w:p w14:paraId="3F54EB03">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地址</w:t>
            </w:r>
            <w:r>
              <w:rPr>
                <w:rFonts w:hint="eastAsia" w:ascii="仿宋" w:hAnsi="仿宋" w:eastAsia="仿宋" w:cs="仿宋"/>
                <w:bCs/>
                <w:color w:val="auto"/>
                <w:szCs w:val="21"/>
                <w:highlight w:val="none"/>
              </w:rPr>
              <w:t>：</w:t>
            </w:r>
            <w:r>
              <w:rPr>
                <w:rFonts w:hint="eastAsia" w:ascii="仿宋" w:hAnsi="仿宋" w:eastAsia="仿宋" w:cs="仿宋"/>
                <w:bCs/>
                <w:color w:val="auto"/>
                <w:szCs w:val="21"/>
                <w:highlight w:val="none"/>
                <w:lang w:val="en-US" w:eastAsia="zh-CN"/>
              </w:rPr>
              <w:t xml:space="preserve"> </w:t>
            </w:r>
          </w:p>
        </w:tc>
        <w:tc>
          <w:tcPr>
            <w:tcW w:w="4752" w:type="dxa"/>
            <w:noWrap w:val="0"/>
            <w:vAlign w:val="center"/>
          </w:tcPr>
          <w:p w14:paraId="6FA1D123">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地址</w:t>
            </w:r>
            <w:r>
              <w:rPr>
                <w:rFonts w:hint="eastAsia" w:ascii="仿宋" w:hAnsi="仿宋" w:eastAsia="仿宋" w:cs="仿宋"/>
                <w:bCs/>
                <w:color w:val="auto"/>
                <w:szCs w:val="21"/>
                <w:highlight w:val="none"/>
              </w:rPr>
              <w:t>：</w:t>
            </w:r>
          </w:p>
        </w:tc>
      </w:tr>
      <w:tr w14:paraId="09305CD8">
        <w:tblPrEx>
          <w:tblCellMar>
            <w:top w:w="0" w:type="dxa"/>
            <w:left w:w="108" w:type="dxa"/>
            <w:bottom w:w="0" w:type="dxa"/>
            <w:right w:w="108" w:type="dxa"/>
          </w:tblCellMar>
        </w:tblPrEx>
        <w:trPr>
          <w:trHeight w:val="719" w:hRule="atLeast"/>
        </w:trPr>
        <w:tc>
          <w:tcPr>
            <w:tcW w:w="4597" w:type="dxa"/>
            <w:noWrap w:val="0"/>
            <w:vAlign w:val="center"/>
          </w:tcPr>
          <w:p w14:paraId="6A2E89EE">
            <w:pPr>
              <w:spacing w:line="400" w:lineRule="exact"/>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rPr>
              <w:t>邮政编码：</w:t>
            </w:r>
            <w:r>
              <w:rPr>
                <w:rFonts w:hint="eastAsia" w:ascii="仿宋" w:hAnsi="仿宋" w:eastAsia="仿宋" w:cs="仿宋"/>
                <w:bCs/>
                <w:color w:val="auto"/>
                <w:szCs w:val="21"/>
                <w:highlight w:val="none"/>
                <w:lang w:val="en-US" w:eastAsia="zh-CN"/>
              </w:rPr>
              <w:t xml:space="preserve"> </w:t>
            </w:r>
          </w:p>
        </w:tc>
        <w:tc>
          <w:tcPr>
            <w:tcW w:w="4752" w:type="dxa"/>
            <w:noWrap w:val="0"/>
            <w:vAlign w:val="center"/>
          </w:tcPr>
          <w:p w14:paraId="71B9C08C">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邮政编码：</w:t>
            </w:r>
          </w:p>
        </w:tc>
      </w:tr>
      <w:tr w14:paraId="6A0EDCA6">
        <w:tblPrEx>
          <w:tblCellMar>
            <w:top w:w="0" w:type="dxa"/>
            <w:left w:w="108" w:type="dxa"/>
            <w:bottom w:w="0" w:type="dxa"/>
            <w:right w:w="108" w:type="dxa"/>
          </w:tblCellMar>
        </w:tblPrEx>
        <w:trPr>
          <w:trHeight w:val="719" w:hRule="atLeast"/>
        </w:trPr>
        <w:tc>
          <w:tcPr>
            <w:tcW w:w="4597" w:type="dxa"/>
            <w:noWrap w:val="0"/>
            <w:vAlign w:val="center"/>
          </w:tcPr>
          <w:p w14:paraId="20FA007F">
            <w:pPr>
              <w:spacing w:line="400" w:lineRule="exact"/>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rPr>
              <w:t>电话：</w:t>
            </w:r>
            <w:r>
              <w:rPr>
                <w:rFonts w:hint="eastAsia" w:ascii="仿宋" w:hAnsi="仿宋" w:eastAsia="仿宋" w:cs="仿宋"/>
                <w:bCs/>
                <w:color w:val="auto"/>
                <w:szCs w:val="21"/>
                <w:highlight w:val="none"/>
                <w:lang w:val="en-US" w:eastAsia="zh-CN"/>
              </w:rPr>
              <w:t xml:space="preserve"> </w:t>
            </w:r>
          </w:p>
        </w:tc>
        <w:tc>
          <w:tcPr>
            <w:tcW w:w="4752" w:type="dxa"/>
            <w:noWrap w:val="0"/>
            <w:vAlign w:val="center"/>
          </w:tcPr>
          <w:p w14:paraId="2F0651F0">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电话：</w:t>
            </w:r>
          </w:p>
        </w:tc>
      </w:tr>
      <w:tr w14:paraId="3D0B2232">
        <w:tblPrEx>
          <w:tblCellMar>
            <w:top w:w="0" w:type="dxa"/>
            <w:left w:w="108" w:type="dxa"/>
            <w:bottom w:w="0" w:type="dxa"/>
            <w:right w:w="108" w:type="dxa"/>
          </w:tblCellMar>
        </w:tblPrEx>
        <w:trPr>
          <w:trHeight w:val="719" w:hRule="atLeast"/>
        </w:trPr>
        <w:tc>
          <w:tcPr>
            <w:tcW w:w="4597" w:type="dxa"/>
            <w:noWrap w:val="0"/>
            <w:vAlign w:val="center"/>
          </w:tcPr>
          <w:p w14:paraId="1DA676A1">
            <w:pPr>
              <w:spacing w:line="400" w:lineRule="exact"/>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rPr>
              <w:t>传真：</w:t>
            </w:r>
            <w:r>
              <w:rPr>
                <w:rFonts w:hint="eastAsia" w:ascii="仿宋" w:hAnsi="仿宋" w:eastAsia="仿宋" w:cs="仿宋"/>
                <w:bCs/>
                <w:color w:val="auto"/>
                <w:szCs w:val="21"/>
                <w:highlight w:val="none"/>
                <w:lang w:val="en-US" w:eastAsia="zh-CN"/>
              </w:rPr>
              <w:t>/</w:t>
            </w:r>
          </w:p>
        </w:tc>
        <w:tc>
          <w:tcPr>
            <w:tcW w:w="4752" w:type="dxa"/>
            <w:noWrap w:val="0"/>
            <w:vAlign w:val="center"/>
          </w:tcPr>
          <w:p w14:paraId="49743F69">
            <w:pPr>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传真： /</w:t>
            </w:r>
          </w:p>
        </w:tc>
      </w:tr>
      <w:tr w14:paraId="1377BEA5">
        <w:tblPrEx>
          <w:tblCellMar>
            <w:top w:w="0" w:type="dxa"/>
            <w:left w:w="108" w:type="dxa"/>
            <w:bottom w:w="0" w:type="dxa"/>
            <w:right w:w="108" w:type="dxa"/>
          </w:tblCellMar>
        </w:tblPrEx>
        <w:trPr>
          <w:trHeight w:val="719" w:hRule="atLeast"/>
        </w:trPr>
        <w:tc>
          <w:tcPr>
            <w:tcW w:w="4597" w:type="dxa"/>
            <w:noWrap w:val="0"/>
            <w:vAlign w:val="center"/>
          </w:tcPr>
          <w:p w14:paraId="205216D4">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开户银行：</w:t>
            </w:r>
            <w:r>
              <w:rPr>
                <w:rFonts w:hint="eastAsia" w:ascii="仿宋" w:hAnsi="仿宋" w:eastAsia="仿宋" w:cs="仿宋"/>
                <w:bCs/>
                <w:color w:val="auto"/>
                <w:szCs w:val="21"/>
                <w:highlight w:val="none"/>
                <w:lang w:val="en-US" w:eastAsia="zh-CN"/>
              </w:rPr>
              <w:t xml:space="preserve"> </w:t>
            </w:r>
          </w:p>
        </w:tc>
        <w:tc>
          <w:tcPr>
            <w:tcW w:w="4752" w:type="dxa"/>
            <w:noWrap w:val="0"/>
            <w:vAlign w:val="center"/>
          </w:tcPr>
          <w:p w14:paraId="353D82F7">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开户银行：</w:t>
            </w:r>
          </w:p>
        </w:tc>
      </w:tr>
      <w:tr w14:paraId="3DCF80AE">
        <w:tblPrEx>
          <w:tblCellMar>
            <w:top w:w="0" w:type="dxa"/>
            <w:left w:w="108" w:type="dxa"/>
            <w:bottom w:w="0" w:type="dxa"/>
            <w:right w:w="108" w:type="dxa"/>
          </w:tblCellMar>
        </w:tblPrEx>
        <w:trPr>
          <w:trHeight w:val="719" w:hRule="atLeast"/>
        </w:trPr>
        <w:tc>
          <w:tcPr>
            <w:tcW w:w="4597" w:type="dxa"/>
            <w:noWrap w:val="0"/>
            <w:vAlign w:val="center"/>
          </w:tcPr>
          <w:p w14:paraId="5954FBF2">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银行账号</w:t>
            </w:r>
            <w:r>
              <w:rPr>
                <w:rFonts w:hint="eastAsia" w:ascii="仿宋" w:hAnsi="仿宋" w:eastAsia="仿宋" w:cs="仿宋"/>
                <w:bCs/>
                <w:color w:val="auto"/>
                <w:szCs w:val="21"/>
                <w:highlight w:val="none"/>
                <w:lang w:val="en-US" w:eastAsia="zh-CN"/>
              </w:rPr>
              <w:t xml:space="preserve">： </w:t>
            </w:r>
          </w:p>
        </w:tc>
        <w:tc>
          <w:tcPr>
            <w:tcW w:w="4752" w:type="dxa"/>
            <w:noWrap w:val="0"/>
            <w:vAlign w:val="center"/>
          </w:tcPr>
          <w:p w14:paraId="5B0CACED">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银行账号：</w:t>
            </w:r>
          </w:p>
        </w:tc>
      </w:tr>
    </w:tbl>
    <w:p w14:paraId="5C4A0FAD"/>
    <w:p w14:paraId="247BB158"/>
    <w:p w14:paraId="64AE7DEB"/>
    <w:p w14:paraId="2F9EC327"/>
    <w:p w14:paraId="1D0F9714">
      <w:pPr>
        <w:pStyle w:val="4"/>
        <w:jc w:val="cente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第二部分 通用合同条款</w:t>
      </w:r>
      <w:bookmarkStart w:id="116" w:name="_Toc337558727"/>
    </w:p>
    <w:p w14:paraId="4616F290">
      <w:pPr>
        <w:pStyle w:val="5"/>
        <w:spacing w:before="120" w:line="360" w:lineRule="exact"/>
        <w:rPr>
          <w:rFonts w:hint="eastAsia" w:ascii="仿宋" w:hAnsi="仿宋" w:eastAsia="仿宋" w:cs="仿宋"/>
          <w:b w:val="0"/>
          <w:color w:val="auto"/>
          <w:highlight w:val="none"/>
        </w:rPr>
      </w:pPr>
      <w:bookmarkStart w:id="117" w:name="_Toc371946002"/>
      <w:r>
        <w:rPr>
          <w:rFonts w:hint="eastAsia" w:ascii="仿宋" w:hAnsi="仿宋" w:eastAsia="仿宋" w:cs="仿宋"/>
          <w:b w:val="0"/>
          <w:color w:val="auto"/>
          <w:szCs w:val="21"/>
          <w:highlight w:val="none"/>
        </w:rPr>
        <w:t>1.</w:t>
      </w:r>
      <w:bookmarkStart w:id="118" w:name="_Toc303538972"/>
      <w:bookmarkEnd w:id="118"/>
      <w:bookmarkStart w:id="119" w:name="_Toc303538976"/>
      <w:bookmarkEnd w:id="119"/>
      <w:bookmarkStart w:id="120" w:name="_Toc303538975"/>
      <w:bookmarkEnd w:id="120"/>
      <w:bookmarkStart w:id="121" w:name="_Toc303538973"/>
      <w:bookmarkEnd w:id="121"/>
      <w:bookmarkStart w:id="122" w:name="_Toc303538974"/>
      <w:bookmarkEnd w:id="122"/>
      <w:bookmarkStart w:id="123" w:name="_Toc296346528"/>
      <w:bookmarkStart w:id="124" w:name="_Toc296503027"/>
      <w:r>
        <w:rPr>
          <w:rFonts w:hint="eastAsia" w:ascii="仿宋" w:hAnsi="仿宋" w:eastAsia="仿宋" w:cs="仿宋"/>
          <w:b w:val="0"/>
          <w:color w:val="auto"/>
          <w:szCs w:val="21"/>
          <w:highlight w:val="none"/>
        </w:rPr>
        <w:t xml:space="preserve"> 一般约定</w:t>
      </w:r>
      <w:bookmarkEnd w:id="116"/>
      <w:bookmarkEnd w:id="117"/>
      <w:bookmarkEnd w:id="123"/>
      <w:bookmarkEnd w:id="124"/>
    </w:p>
    <w:p w14:paraId="2F8DC639">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125" w:name="_Toc296346529"/>
      <w:bookmarkStart w:id="126" w:name="_Toc337558728"/>
      <w:bookmarkStart w:id="127" w:name="_Toc296503028"/>
      <w:bookmarkStart w:id="128" w:name="_Toc371946003"/>
      <w:r>
        <w:rPr>
          <w:rFonts w:hint="eastAsia" w:ascii="仿宋" w:hAnsi="仿宋" w:eastAsia="仿宋" w:cs="仿宋"/>
          <w:b w:val="0"/>
          <w:color w:val="auto"/>
          <w:sz w:val="21"/>
          <w:szCs w:val="21"/>
          <w:highlight w:val="none"/>
        </w:rPr>
        <w:t>1.1词语定义</w:t>
      </w:r>
      <w:bookmarkEnd w:id="125"/>
      <w:bookmarkEnd w:id="126"/>
      <w:bookmarkEnd w:id="127"/>
      <w:r>
        <w:rPr>
          <w:rFonts w:hint="eastAsia" w:ascii="仿宋" w:hAnsi="仿宋" w:eastAsia="仿宋" w:cs="仿宋"/>
          <w:b w:val="0"/>
          <w:color w:val="auto"/>
          <w:sz w:val="21"/>
          <w:szCs w:val="21"/>
          <w:highlight w:val="none"/>
        </w:rPr>
        <w:t>与解释</w:t>
      </w:r>
      <w:bookmarkEnd w:id="128"/>
    </w:p>
    <w:p w14:paraId="255F8F3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合同协议书、通用合同条款、专用合同条款中的下列词语具有本款所赋予的含义：</w:t>
      </w:r>
    </w:p>
    <w:p w14:paraId="022BE017">
      <w:pPr>
        <w:spacing w:line="360" w:lineRule="exact"/>
        <w:rPr>
          <w:rFonts w:hint="eastAsia" w:ascii="仿宋" w:hAnsi="仿宋" w:eastAsia="仿宋" w:cs="仿宋"/>
          <w:color w:val="auto"/>
          <w:highlight w:val="none"/>
        </w:rPr>
      </w:pPr>
      <w:r>
        <w:rPr>
          <w:rFonts w:hint="eastAsia" w:ascii="仿宋" w:hAnsi="仿宋" w:eastAsia="仿宋" w:cs="仿宋"/>
          <w:color w:val="auto"/>
          <w:highlight w:val="none"/>
        </w:rPr>
        <w:t xml:space="preserve">    1.1.1 合同</w:t>
      </w:r>
    </w:p>
    <w:p w14:paraId="10114DB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1.1.1.1 合同：是指根据法律规定和合同当事人约定具有约束力的文件，构成合同的文件包括合同协议书、中标通知书（如果有）、投标函及其附录（如果有）、专用合同条款及其附件、通用合同条款、技术标准和要求、图纸、已标价工程量清单或预算书以及其他合同文件。</w:t>
      </w:r>
    </w:p>
    <w:p w14:paraId="6CA758C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1.1.1.2 合同协议书：是指构成合同的由发包人和承包人共同签署的称为“合同协议书”的书面文件。</w:t>
      </w:r>
    </w:p>
    <w:p w14:paraId="07E7A05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1.1.1.3 中标通知书：是指构成合同的由发包人通知承包人中标的书面文件。</w:t>
      </w:r>
    </w:p>
    <w:p w14:paraId="0EA7F3A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1.1.1.4 投标函：是指构成合同的由承包人填写并签署的用于投标的称为“投标函”的文件。</w:t>
      </w:r>
    </w:p>
    <w:p w14:paraId="6FD3F9A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1.1.1.5 投标函附录：是指构成合同的附在投标函后的称为“投标函附录”的文件。</w:t>
      </w:r>
    </w:p>
    <w:p w14:paraId="2F4DD64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1.1.1.6 技术标准和要求：是指构成合同的施工应当遵守的或指导施工的国家、行业或地方的技术标准和要求，以及合同约定的技术标准和要求。</w:t>
      </w:r>
    </w:p>
    <w:p w14:paraId="1AE3A77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1.1.1.7 图纸：是指构成合同的图纸，包括由发包人按照合同约定提供或经发包人批准的设计文件、施工图、鸟瞰图及模型等，以及在合同履行过程中形成的图纸文件。图纸应当按照法律规定审查合格。</w:t>
      </w:r>
    </w:p>
    <w:p w14:paraId="1E0AE0CB">
      <w:pPr>
        <w:spacing w:line="360" w:lineRule="exact"/>
        <w:ind w:firstLine="409" w:firstLineChars="195"/>
        <w:rPr>
          <w:rFonts w:hint="eastAsia" w:ascii="仿宋" w:hAnsi="仿宋" w:eastAsia="仿宋" w:cs="仿宋"/>
          <w:color w:val="auto"/>
          <w:highlight w:val="none"/>
        </w:rPr>
      </w:pPr>
      <w:r>
        <w:rPr>
          <w:rFonts w:hint="eastAsia" w:ascii="仿宋" w:hAnsi="仿宋" w:eastAsia="仿宋" w:cs="仿宋"/>
          <w:color w:val="auto"/>
          <w:highlight w:val="none"/>
        </w:rPr>
        <w:t>1.1.1.8 已标价工程量清单：是指构成合同的由承包人按照规定的格式和要求填写并标明价格的工程量清单，包括说明和表格。</w:t>
      </w:r>
    </w:p>
    <w:p w14:paraId="4DADB503">
      <w:pPr>
        <w:spacing w:line="360" w:lineRule="exact"/>
        <w:ind w:firstLine="409" w:firstLineChars="195"/>
        <w:rPr>
          <w:rFonts w:hint="eastAsia" w:ascii="仿宋" w:hAnsi="仿宋" w:eastAsia="仿宋" w:cs="仿宋"/>
          <w:color w:val="auto"/>
          <w:highlight w:val="none"/>
        </w:rPr>
      </w:pPr>
      <w:r>
        <w:rPr>
          <w:rFonts w:hint="eastAsia" w:ascii="仿宋" w:hAnsi="仿宋" w:eastAsia="仿宋" w:cs="仿宋"/>
          <w:color w:val="auto"/>
          <w:highlight w:val="none"/>
        </w:rPr>
        <w:t>1.1.1.9 预算书：是指构成合同的由承包人按照发包人规定的格式和要求编制的工程预算文件。</w:t>
      </w:r>
    </w:p>
    <w:p w14:paraId="7A5C7E3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1.1.1.10 其他合同文件：是指经合同当事人约定的与工程施工有关的具有合同约束力的文件或书面协议。合同当事人可以在专用合同条款中进行约定。</w:t>
      </w:r>
    </w:p>
    <w:p w14:paraId="0EA7111D">
      <w:pPr>
        <w:spacing w:line="360" w:lineRule="exact"/>
        <w:rPr>
          <w:rFonts w:hint="eastAsia" w:ascii="仿宋" w:hAnsi="仿宋" w:eastAsia="仿宋" w:cs="仿宋"/>
          <w:color w:val="auto"/>
          <w:highlight w:val="none"/>
        </w:rPr>
      </w:pPr>
      <w:r>
        <w:rPr>
          <w:rFonts w:hint="eastAsia" w:ascii="仿宋" w:hAnsi="仿宋" w:eastAsia="仿宋" w:cs="仿宋"/>
          <w:color w:val="auto"/>
          <w:highlight w:val="none"/>
        </w:rPr>
        <w:t xml:space="preserve">    1.1.2 合同当事人及其他相关方</w:t>
      </w:r>
    </w:p>
    <w:p w14:paraId="2E8A7E8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1.1.2.1 合同当事人：是指发包人和（或）承包人。</w:t>
      </w:r>
    </w:p>
    <w:p w14:paraId="5688284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1.1.2.2 发包人：是指与承包人签订合同协议书的当事人及取得该当事人资格的合法继承人。</w:t>
      </w:r>
    </w:p>
    <w:p w14:paraId="3CE879B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1.1.2.3 承包人：是指与发包人签订合同协议书的，具有相应工程施工承包资质的当事人及取得该当事人资格的合法继承人。</w:t>
      </w:r>
    </w:p>
    <w:p w14:paraId="52A0475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1.1.2.4 监理人：是指在专用合同条款中指明的，受发包人委托按照法律规定进行工程监督管理的法人或其他组织。</w:t>
      </w:r>
    </w:p>
    <w:p w14:paraId="3512B8E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1.1.2.5 设计人：是指在专用合同条款中指明的，受发包人委托负责工程设计并具备相应工程设计资质的法人或其他组织。</w:t>
      </w:r>
    </w:p>
    <w:p w14:paraId="68882F72">
      <w:pPr>
        <w:spacing w:line="360" w:lineRule="exact"/>
        <w:ind w:firstLine="409" w:firstLineChars="195"/>
        <w:rPr>
          <w:rFonts w:hint="eastAsia" w:ascii="仿宋" w:hAnsi="仿宋" w:eastAsia="仿宋" w:cs="仿宋"/>
          <w:color w:val="auto"/>
          <w:highlight w:val="none"/>
        </w:rPr>
      </w:pPr>
      <w:r>
        <w:rPr>
          <w:rFonts w:hint="eastAsia" w:ascii="仿宋" w:hAnsi="仿宋" w:eastAsia="仿宋" w:cs="仿宋"/>
          <w:color w:val="auto"/>
          <w:highlight w:val="none"/>
        </w:rPr>
        <w:t>1.1.2.6 分包人：</w:t>
      </w:r>
      <w:bookmarkStart w:id="129" w:name="#go5"/>
      <w:bookmarkEnd w:id="129"/>
      <w:r>
        <w:rPr>
          <w:rFonts w:hint="eastAsia" w:ascii="仿宋" w:hAnsi="仿宋" w:eastAsia="仿宋" w:cs="仿宋"/>
          <w:color w:val="auto"/>
          <w:highlight w:val="none"/>
        </w:rPr>
        <w:t>是指按照法律规定和合同约定，分包部分工程或工作，并与承包人签订分包合同的具有相应资质的法人。</w:t>
      </w:r>
    </w:p>
    <w:p w14:paraId="445225B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1.1.2.7 发包人代表：是指由发包人任命并派驻施工现场在发包人授权范围内行使发包人权利的人。</w:t>
      </w:r>
    </w:p>
    <w:p w14:paraId="751DBFD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1.1.2.8 项目经理：是指由承包人任命并派驻施工现场，在承包人授权范围内负责合同履行，且按照法律规定具有相应资格的项目</w:t>
      </w:r>
      <w:r>
        <w:rPr>
          <w:rFonts w:hint="eastAsia" w:ascii="仿宋" w:hAnsi="仿宋" w:eastAsia="仿宋" w:cs="仿宋"/>
          <w:color w:val="auto"/>
          <w:szCs w:val="21"/>
          <w:highlight w:val="none"/>
        </w:rPr>
        <w:t>负责人</w:t>
      </w:r>
      <w:r>
        <w:rPr>
          <w:rFonts w:hint="eastAsia" w:ascii="仿宋" w:hAnsi="仿宋" w:eastAsia="仿宋" w:cs="仿宋"/>
          <w:color w:val="auto"/>
          <w:highlight w:val="none"/>
        </w:rPr>
        <w:t>。</w:t>
      </w:r>
    </w:p>
    <w:p w14:paraId="6B72DCC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1.1.2.9 ：是指由监理人任命并派驻施工现场进行工程监理的总负责人。</w:t>
      </w:r>
    </w:p>
    <w:p w14:paraId="52A46B8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1.1.3 工程和设备</w:t>
      </w:r>
    </w:p>
    <w:p w14:paraId="787A09E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1.1.3.1 工程：是指与合同协议书中工程承包范围对应的永久工程和（或）临时工程。</w:t>
      </w:r>
    </w:p>
    <w:p w14:paraId="2554D20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1.1.3.2 永久工程：是指按合同约定建造并移交给发包人的工程，包括工程设备。</w:t>
      </w:r>
    </w:p>
    <w:p w14:paraId="298206A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1.1.3.3 临时工程：是指为完成合同约定的永久工程所修建的各类临时性工程，不包括施工设备。</w:t>
      </w:r>
    </w:p>
    <w:p w14:paraId="4357728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1.1.3.4 单位工程：是指在合同协议书中指明的，具备独立施工条件并能形成独立使用功能的永久工程。</w:t>
      </w:r>
    </w:p>
    <w:p w14:paraId="4B411E8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1.1.3.5 工程设备：是指构成永久工程的机电设备、金属结构设备、仪器及其他类似的设备和装置。</w:t>
      </w:r>
    </w:p>
    <w:p w14:paraId="087A15B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1.1.3.6 施工设备：是指为完成合同约定的各项工作所需的设备、器具和其他物品，但不包括工程设备、临时工程和材料。</w:t>
      </w:r>
    </w:p>
    <w:p w14:paraId="4D5D21C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1.1.3.7 施工现场：是指用于工程施工的场所，以及在专用合同条款中指明作为施工场所组成部分的其他场所，包括永久占地和临时占地。</w:t>
      </w:r>
    </w:p>
    <w:p w14:paraId="50DF588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1.1.3.8临时设施：是指为完成合同约定的各项工作所服务的临时性生产和生活设施。</w:t>
      </w:r>
    </w:p>
    <w:p w14:paraId="745EAD7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1.1.3.9 永久占地：是指专用合同条款中指明为实施工程需永久占用的土地。</w:t>
      </w:r>
    </w:p>
    <w:p w14:paraId="78E6016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1.1.3.10 临时占地：是指专用合同条款中指明为实施工程需要临时占用的土地。</w:t>
      </w:r>
    </w:p>
    <w:p w14:paraId="08B9424D">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1.1.4 日期和期限</w:t>
      </w:r>
    </w:p>
    <w:p w14:paraId="08A9FF6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70AAEC4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1.1.4.2 竣工日期：包括计划竣工日期和实际竣工日期。计划竣工日期是指合同协议书约定的竣工日期；实际竣工日期按照第13.2.3项〔竣工日期〕的约定确定。 </w:t>
      </w:r>
    </w:p>
    <w:p w14:paraId="0EBCFCCD">
      <w:pPr>
        <w:spacing w:line="360" w:lineRule="exact"/>
        <w:ind w:firstLine="426" w:firstLineChars="203"/>
        <w:rPr>
          <w:rFonts w:hint="eastAsia" w:ascii="仿宋" w:hAnsi="仿宋" w:eastAsia="仿宋" w:cs="仿宋"/>
          <w:color w:val="auto"/>
          <w:highlight w:val="none"/>
        </w:rPr>
      </w:pPr>
      <w:r>
        <w:rPr>
          <w:rFonts w:hint="eastAsia" w:ascii="仿宋" w:hAnsi="仿宋" w:eastAsia="仿宋" w:cs="仿宋"/>
          <w:color w:val="auto"/>
          <w:highlight w:val="none"/>
        </w:rPr>
        <w:t>1.1.4.3 工期：是指在合同协议书约定的承包人完成工程所需的期限，包括按照合同约定所作的期限变更。</w:t>
      </w:r>
    </w:p>
    <w:p w14:paraId="6171EE3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1.1.4.4 缺陷责任期：是指承包人按照合同约定承担缺陷修复义务，且发包人预留质量保证金（已缴纳的履约保证金除外）的期限，自工程实际竣工日期起计算。</w:t>
      </w:r>
    </w:p>
    <w:p w14:paraId="5349B2C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1.1.4.5 保修期：是指承包人按照合同约定对工程承担保修责任的期限，从工程竣工验收合格之日起计算。</w:t>
      </w:r>
    </w:p>
    <w:p w14:paraId="64E0673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1.1.4.6 基准日期：招标发包的工程以投标截止日前28天的日期为基准日期，直接发包的工程以合同签订日前28天的日期为基准日期。</w:t>
      </w:r>
    </w:p>
    <w:p w14:paraId="789B36A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1.1.4.7 天：除特别指明外，均指日历天。合同中按天计算时间的，开始当天不计入，从次日开始计算，期限最后一天的截止时间为当天24:00时。</w:t>
      </w:r>
    </w:p>
    <w:p w14:paraId="09ADB10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1.1.5 合同价格和费用</w:t>
      </w:r>
    </w:p>
    <w:p w14:paraId="0892012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1.1.5.1 签约合同价：是指发包人和承包人在合同协议书中确定的总金额，包括安全文明施工费、暂估价及暂列金额等。</w:t>
      </w:r>
    </w:p>
    <w:p w14:paraId="6EEF584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1.1.5.2 合同价格：是指发包人用于支付承包人按照合同约定完成承包范围内全部工作的金额，包括合同履行过程中按合同约定发生的价格变化。</w:t>
      </w:r>
    </w:p>
    <w:p w14:paraId="484537E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1.1.5.3 费用：是指为履行合同所发生的或将要发生的所有必需的开支，包括管理费和应分摊的其他费用，但不包括利润。</w:t>
      </w:r>
    </w:p>
    <w:p w14:paraId="6B64D3E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1.1.5.4 暂估价：是指发包人在工程量清单或预算书中提供的用于支付必然发生但暂时不能确定价格的材料、工程设备的单价、专业工程以及服务工作的金额。</w:t>
      </w:r>
    </w:p>
    <w:p w14:paraId="216DB23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0660EC4D">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1.1.5.6 计日工：是指合同履行过程中，承包人完成发包人提出的零星工作或需要采用计日工计价的变更工作时，按合同中约定的单价计价的一种方式。</w:t>
      </w:r>
    </w:p>
    <w:p w14:paraId="6167AD5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1.1.5.7 质量保证金</w:t>
      </w:r>
      <w:bookmarkStart w:id="130" w:name="#go2"/>
      <w:bookmarkEnd w:id="130"/>
      <w:r>
        <w:rPr>
          <w:rFonts w:hint="eastAsia" w:ascii="仿宋" w:hAnsi="仿宋" w:eastAsia="仿宋" w:cs="仿宋"/>
          <w:color w:val="auto"/>
          <w:highlight w:val="none"/>
        </w:rPr>
        <w:t>：是指按照第15.3款〔质量保证金〕约定承包人用于保证其在缺陷责任期内履行缺陷修补义务的担保。</w:t>
      </w:r>
    </w:p>
    <w:p w14:paraId="7CB1673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1.1.5.8 总价项目：是指在现行国家、行业以及地方的计量规则中无工程量计算规则，在已标价工程量清单或预算书中以总价或以费率形式计算的项目。</w:t>
      </w:r>
    </w:p>
    <w:p w14:paraId="207E595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1.1.6 其他</w:t>
      </w:r>
    </w:p>
    <w:p w14:paraId="163D2EF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1.1.6.1 书面形式：是指合同文件、信函、电报、传真等可以有形地表现所载内容的形式。</w:t>
      </w:r>
    </w:p>
    <w:p w14:paraId="5B6276D0">
      <w:pPr>
        <w:pStyle w:val="6"/>
        <w:spacing w:before="120" w:after="120" w:line="360" w:lineRule="exact"/>
        <w:rPr>
          <w:rFonts w:hint="eastAsia" w:ascii="仿宋" w:hAnsi="仿宋" w:eastAsia="仿宋" w:cs="仿宋"/>
          <w:b w:val="0"/>
          <w:color w:val="auto"/>
          <w:sz w:val="21"/>
          <w:szCs w:val="21"/>
          <w:highlight w:val="none"/>
        </w:rPr>
      </w:pPr>
      <w:bookmarkStart w:id="131" w:name="_Toc296503029"/>
      <w:bookmarkStart w:id="132" w:name="_Toc371946004"/>
      <w:bookmarkStart w:id="133" w:name="_Toc337558729"/>
      <w:bookmarkStart w:id="134" w:name="_Toc296346530"/>
      <w:r>
        <w:rPr>
          <w:rFonts w:hint="eastAsia" w:ascii="仿宋" w:hAnsi="仿宋" w:eastAsia="仿宋" w:cs="仿宋"/>
          <w:b w:val="0"/>
          <w:color w:val="auto"/>
          <w:sz w:val="21"/>
          <w:szCs w:val="21"/>
          <w:highlight w:val="none"/>
        </w:rPr>
        <w:t>1.2语言文字</w:t>
      </w:r>
      <w:bookmarkEnd w:id="131"/>
      <w:bookmarkEnd w:id="132"/>
      <w:bookmarkEnd w:id="133"/>
      <w:bookmarkEnd w:id="134"/>
    </w:p>
    <w:p w14:paraId="4177327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合同以中国的汉语简体文字编写、解释和说明。合同当事人在专用合同条款中约定使用两种以上语言时，汉语为优先解释和说明合同的语言。</w:t>
      </w:r>
    </w:p>
    <w:p w14:paraId="1C788F90">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135" w:name="_Toc371946005"/>
      <w:bookmarkStart w:id="136" w:name="_Toc296503030"/>
      <w:bookmarkStart w:id="137" w:name="_Toc296346531"/>
      <w:bookmarkStart w:id="138" w:name="_Toc337558730"/>
      <w:r>
        <w:rPr>
          <w:rFonts w:hint="eastAsia" w:ascii="仿宋" w:hAnsi="仿宋" w:eastAsia="仿宋" w:cs="仿宋"/>
          <w:b w:val="0"/>
          <w:color w:val="auto"/>
          <w:sz w:val="21"/>
          <w:szCs w:val="21"/>
          <w:highlight w:val="none"/>
        </w:rPr>
        <w:t>1.3法律</w:t>
      </w:r>
      <w:bookmarkEnd w:id="135"/>
      <w:bookmarkEnd w:id="136"/>
      <w:bookmarkEnd w:id="137"/>
      <w:bookmarkEnd w:id="138"/>
    </w:p>
    <w:p w14:paraId="60CC0FD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合同所称法律是指中华人民共和国法律、行政法规、部门规章，以及工程所在地的地方性法规、自治条例、单行条例和地方政府规章等。</w:t>
      </w:r>
    </w:p>
    <w:p w14:paraId="77ED51B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合同当事人可以在专用合同条款中约定合同适用的其他规范性文件。</w:t>
      </w:r>
    </w:p>
    <w:p w14:paraId="0AE3616A">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139" w:name="_Toc371946006"/>
      <w:r>
        <w:rPr>
          <w:rFonts w:hint="eastAsia" w:ascii="仿宋" w:hAnsi="仿宋" w:eastAsia="仿宋" w:cs="仿宋"/>
          <w:b w:val="0"/>
          <w:color w:val="auto"/>
          <w:sz w:val="21"/>
          <w:szCs w:val="21"/>
          <w:highlight w:val="none"/>
        </w:rPr>
        <w:t>1.4 标准和规范</w:t>
      </w:r>
      <w:bookmarkEnd w:id="139"/>
    </w:p>
    <w:p w14:paraId="2E8DB41D">
      <w:pPr>
        <w:spacing w:line="360" w:lineRule="exact"/>
        <w:ind w:firstLine="640"/>
        <w:rPr>
          <w:rFonts w:hint="eastAsia" w:ascii="仿宋" w:hAnsi="仿宋" w:eastAsia="仿宋" w:cs="仿宋"/>
          <w:color w:val="auto"/>
          <w:highlight w:val="none"/>
        </w:rPr>
      </w:pPr>
      <w:r>
        <w:rPr>
          <w:rFonts w:hint="eastAsia" w:ascii="仿宋" w:hAnsi="仿宋" w:eastAsia="仿宋" w:cs="仿宋"/>
          <w:color w:val="auto"/>
          <w:highlight w:val="none"/>
        </w:rPr>
        <w:t>1.4.1 适用于工程的国家标准、行业标准、工程所在地的地方性标准，以及相应的规范、规程等，合同当事人有特别要求的，应在专用合同条款中约定。</w:t>
      </w:r>
    </w:p>
    <w:p w14:paraId="7A9FD6A0">
      <w:pPr>
        <w:spacing w:line="360" w:lineRule="exact"/>
        <w:ind w:firstLine="640"/>
        <w:rPr>
          <w:rFonts w:hint="eastAsia" w:ascii="仿宋" w:hAnsi="仿宋" w:eastAsia="仿宋" w:cs="仿宋"/>
          <w:color w:val="auto"/>
          <w:highlight w:val="none"/>
        </w:rPr>
      </w:pPr>
      <w:r>
        <w:rPr>
          <w:rFonts w:hint="eastAsia" w:ascii="仿宋" w:hAnsi="仿宋" w:eastAsia="仿宋" w:cs="仿宋"/>
          <w:color w:val="auto"/>
          <w:highlight w:val="none"/>
        </w:rPr>
        <w:t>1.4.2 发包人要求使用国外标准、规范的，发包人负责提供原文版本和中文译本，并在专用合同条款中约定提供标准规范的名称、份数和时间。</w:t>
      </w:r>
    </w:p>
    <w:p w14:paraId="7BC43A57">
      <w:pPr>
        <w:spacing w:line="360" w:lineRule="exact"/>
        <w:ind w:firstLine="640"/>
        <w:rPr>
          <w:rFonts w:hint="eastAsia" w:ascii="仿宋" w:hAnsi="仿宋" w:eastAsia="仿宋" w:cs="仿宋"/>
          <w:color w:val="auto"/>
          <w:highlight w:val="none"/>
        </w:rPr>
      </w:pPr>
      <w:r>
        <w:rPr>
          <w:rFonts w:hint="eastAsia" w:ascii="仿宋" w:hAnsi="仿宋" w:eastAsia="仿宋" w:cs="仿宋"/>
          <w:color w:val="auto"/>
          <w:highlight w:val="none"/>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3F9A76B8">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140" w:name="_Toc371946007"/>
      <w:r>
        <w:rPr>
          <w:rFonts w:hint="eastAsia" w:ascii="仿宋" w:hAnsi="仿宋" w:eastAsia="仿宋" w:cs="仿宋"/>
          <w:b w:val="0"/>
          <w:color w:val="auto"/>
          <w:sz w:val="21"/>
          <w:szCs w:val="21"/>
          <w:highlight w:val="none"/>
        </w:rPr>
        <w:t>1</w:t>
      </w:r>
      <w:bookmarkStart w:id="141" w:name="_Toc296503031"/>
      <w:bookmarkStart w:id="142" w:name="_Toc337558731"/>
      <w:bookmarkStart w:id="143" w:name="_Toc296346532"/>
      <w:r>
        <w:rPr>
          <w:rFonts w:hint="eastAsia" w:ascii="仿宋" w:hAnsi="仿宋" w:eastAsia="仿宋" w:cs="仿宋"/>
          <w:b w:val="0"/>
          <w:color w:val="auto"/>
          <w:sz w:val="21"/>
          <w:szCs w:val="21"/>
          <w:highlight w:val="none"/>
        </w:rPr>
        <w:t>.5 合同文件的优先顺序</w:t>
      </w:r>
      <w:bookmarkEnd w:id="140"/>
    </w:p>
    <w:bookmarkEnd w:id="141"/>
    <w:bookmarkEnd w:id="142"/>
    <w:bookmarkEnd w:id="143"/>
    <w:p w14:paraId="3247F0B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组成合同的各项文件应互相解释，互为说明。除专用合同条款另有约定外，解释合同文件的优先顺序如下：</w:t>
      </w:r>
    </w:p>
    <w:p w14:paraId="133DF51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（1）合同协议书；</w:t>
      </w:r>
    </w:p>
    <w:p w14:paraId="105D3AA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（2）中标通知书（如果有）；</w:t>
      </w:r>
    </w:p>
    <w:p w14:paraId="0DAA546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（3）投标函及其附录（如果有）；</w:t>
      </w:r>
    </w:p>
    <w:p w14:paraId="0A4AAFD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（4）专用合同条款及其附件；</w:t>
      </w:r>
    </w:p>
    <w:p w14:paraId="269BAED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（5）通用合同条款；</w:t>
      </w:r>
    </w:p>
    <w:p w14:paraId="1309F44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（6）技术标准和要求；</w:t>
      </w:r>
    </w:p>
    <w:p w14:paraId="7853D9C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（7）图纸；</w:t>
      </w:r>
    </w:p>
    <w:p w14:paraId="5534A05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（8）已标价工程量清单或预算书；</w:t>
      </w:r>
    </w:p>
    <w:p w14:paraId="7110BAF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（9）其他合同文件。</w:t>
      </w:r>
    </w:p>
    <w:p w14:paraId="66E4AE8E">
      <w:pPr>
        <w:spacing w:line="360" w:lineRule="exact"/>
        <w:ind w:firstLine="447" w:firstLineChars="213"/>
        <w:rPr>
          <w:rFonts w:hint="eastAsia" w:ascii="仿宋" w:hAnsi="仿宋" w:eastAsia="仿宋" w:cs="仿宋"/>
          <w:color w:val="auto"/>
          <w:highlight w:val="none"/>
        </w:rPr>
      </w:pPr>
      <w:r>
        <w:rPr>
          <w:rFonts w:hint="eastAsia" w:ascii="仿宋" w:hAnsi="仿宋" w:eastAsia="仿宋" w:cs="仿宋"/>
          <w:color w:val="auto"/>
          <w:highlight w:val="none"/>
        </w:rPr>
        <w:t>上述各项合同文件包括合同当事人就该项合同文件所作出的补充和修改，属于同一类内容的文件，应以最新签署的为准。</w:t>
      </w:r>
    </w:p>
    <w:p w14:paraId="5731553D">
      <w:pPr>
        <w:spacing w:line="360" w:lineRule="exact"/>
        <w:ind w:firstLine="447" w:firstLineChars="213"/>
        <w:rPr>
          <w:rFonts w:hint="eastAsia" w:ascii="仿宋" w:hAnsi="仿宋" w:eastAsia="仿宋" w:cs="仿宋"/>
          <w:color w:val="auto"/>
          <w:highlight w:val="none"/>
        </w:rPr>
      </w:pPr>
      <w:r>
        <w:rPr>
          <w:rFonts w:hint="eastAsia" w:ascii="仿宋" w:hAnsi="仿宋" w:eastAsia="仿宋" w:cs="仿宋"/>
          <w:color w:val="auto"/>
          <w:highlight w:val="none"/>
        </w:rPr>
        <w:t>在合同订立及履行过程中形成的与合同有关的文件均构成合同文件组成部分，并根据其性质确定优先解释顺序。</w:t>
      </w:r>
    </w:p>
    <w:p w14:paraId="41B7EDF1">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144" w:name="_Toc371946008"/>
      <w:r>
        <w:rPr>
          <w:rFonts w:hint="eastAsia" w:ascii="仿宋" w:hAnsi="仿宋" w:eastAsia="仿宋" w:cs="仿宋"/>
          <w:b w:val="0"/>
          <w:color w:val="auto"/>
          <w:sz w:val="21"/>
          <w:szCs w:val="21"/>
          <w:highlight w:val="none"/>
        </w:rPr>
        <w:t>1</w:t>
      </w:r>
      <w:bookmarkStart w:id="145" w:name="_Toc296346533"/>
      <w:bookmarkStart w:id="146" w:name="_Toc337558732"/>
      <w:bookmarkStart w:id="147" w:name="_Toc296503032"/>
      <w:r>
        <w:rPr>
          <w:rFonts w:hint="eastAsia" w:ascii="仿宋" w:hAnsi="仿宋" w:eastAsia="仿宋" w:cs="仿宋"/>
          <w:b w:val="0"/>
          <w:color w:val="auto"/>
          <w:sz w:val="21"/>
          <w:szCs w:val="21"/>
          <w:highlight w:val="none"/>
        </w:rPr>
        <w:t>.6图纸和承包人文件</w:t>
      </w:r>
      <w:bookmarkEnd w:id="144"/>
    </w:p>
    <w:bookmarkEnd w:id="145"/>
    <w:bookmarkEnd w:id="146"/>
    <w:bookmarkEnd w:id="147"/>
    <w:p w14:paraId="38CF66D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1.6.1 图纸的提供和交底</w:t>
      </w:r>
    </w:p>
    <w:p w14:paraId="0974132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30EA23A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因发包人未按合同约定提供图纸导致承包人费用增加和（或）工期延误的，按照第7.5.1项〔因发包人原因导致工期延误〕约定办理。</w:t>
      </w:r>
    </w:p>
    <w:p w14:paraId="18EC96ED">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1.6.2 图纸的错误</w:t>
      </w:r>
    </w:p>
    <w:p w14:paraId="7511121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7490543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1.6.3 图纸的修改和补充</w:t>
      </w:r>
    </w:p>
    <w:p w14:paraId="2B2D610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图纸需要修改和补充的，应经图纸原设计人及审批部门同意，并由监理人在工程或工程相应部位施工前将修改后的图纸或补充图纸提交给承包人，承包人应按修改或补充后的图纸施工。</w:t>
      </w:r>
    </w:p>
    <w:p w14:paraId="177B2D2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1.6.4 承包人文件</w:t>
      </w:r>
    </w:p>
    <w:p w14:paraId="6A6ADE3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承包人应按照专用合同条款的约定提供应当由其编制的与工程施工有关的文件，并按照专用合同条款约定的期限、数量和形式提交监理人，并由监理人报送发包人。</w:t>
      </w:r>
    </w:p>
    <w:p w14:paraId="3609E3C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5F59C66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1.6.5 图纸和承包人文件的保管</w:t>
      </w:r>
    </w:p>
    <w:p w14:paraId="6783DE8D">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除专用合同条款另有约定外，承包人应在施工现场另外保存一套完整的图纸和承包人文件，供发包人、监理人及有关人员进行工程检查时使用。</w:t>
      </w:r>
    </w:p>
    <w:p w14:paraId="6776A5CE">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148" w:name="_Toc371946009"/>
      <w:r>
        <w:rPr>
          <w:rFonts w:hint="eastAsia" w:ascii="仿宋" w:hAnsi="仿宋" w:eastAsia="仿宋" w:cs="仿宋"/>
          <w:b w:val="0"/>
          <w:color w:val="auto"/>
          <w:sz w:val="21"/>
          <w:szCs w:val="21"/>
          <w:highlight w:val="none"/>
        </w:rPr>
        <w:t>1</w:t>
      </w:r>
      <w:bookmarkStart w:id="149" w:name="_Toc337558733"/>
      <w:bookmarkStart w:id="150" w:name="_Toc296346534"/>
      <w:bookmarkStart w:id="151" w:name="_Toc296503033"/>
      <w:r>
        <w:rPr>
          <w:rFonts w:hint="eastAsia" w:ascii="仿宋" w:hAnsi="仿宋" w:eastAsia="仿宋" w:cs="仿宋"/>
          <w:b w:val="0"/>
          <w:color w:val="auto"/>
          <w:sz w:val="21"/>
          <w:szCs w:val="21"/>
          <w:highlight w:val="none"/>
        </w:rPr>
        <w:t>.7联络</w:t>
      </w:r>
      <w:bookmarkEnd w:id="148"/>
    </w:p>
    <w:bookmarkEnd w:id="149"/>
    <w:bookmarkEnd w:id="150"/>
    <w:bookmarkEnd w:id="151"/>
    <w:p w14:paraId="138F967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1.7.1 与合同有关的通知、批准、证明、证书、指示、指令、要求、请求、同意、意见、确定和决定等，均应采用书面形式，并应在合同约定的期限内送达接收人和送达地点。</w:t>
      </w:r>
    </w:p>
    <w:p w14:paraId="4457AEE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1.7.2 发包人和承包人应在专用合同条款中约定各自的送达接收人和送达地点。任何一方合同当事人指定的接收人或送达地点发生变动的，应提前3天以书面形式通知对方。</w:t>
      </w:r>
    </w:p>
    <w:p w14:paraId="24DF93C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1.7.3 发包人和承包人应当及时签收另一方送达至送达地点和指定接收人的来往信函。拒不签收的，由此增加的费用和（或）延误的工期由拒绝接收一方承担。</w:t>
      </w:r>
    </w:p>
    <w:p w14:paraId="3D909842">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152" w:name="_Toc371946010"/>
      <w:r>
        <w:rPr>
          <w:rFonts w:hint="eastAsia" w:ascii="仿宋" w:hAnsi="仿宋" w:eastAsia="仿宋" w:cs="仿宋"/>
          <w:b w:val="0"/>
          <w:color w:val="auto"/>
          <w:sz w:val="21"/>
          <w:szCs w:val="21"/>
          <w:highlight w:val="none"/>
        </w:rPr>
        <w:t>1</w:t>
      </w:r>
      <w:bookmarkStart w:id="153" w:name="_Toc296346536"/>
      <w:bookmarkStart w:id="154" w:name="_Toc337558734"/>
      <w:bookmarkStart w:id="155" w:name="_Toc296503035"/>
      <w:r>
        <w:rPr>
          <w:rFonts w:hint="eastAsia" w:ascii="仿宋" w:hAnsi="仿宋" w:eastAsia="仿宋" w:cs="仿宋"/>
          <w:b w:val="0"/>
          <w:color w:val="auto"/>
          <w:sz w:val="21"/>
          <w:szCs w:val="21"/>
          <w:highlight w:val="none"/>
        </w:rPr>
        <w:t>.8严禁贿赂</w:t>
      </w:r>
      <w:bookmarkEnd w:id="152"/>
    </w:p>
    <w:bookmarkEnd w:id="153"/>
    <w:bookmarkEnd w:id="154"/>
    <w:bookmarkEnd w:id="155"/>
    <w:p w14:paraId="55B3B7E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合同当事人不得以贿赂或变相贿赂的方式，谋取非法利益或损害对方权益。因一方合同当事人的贿赂造成对方损失的，应赔偿损失，并承担相应的法律责任。</w:t>
      </w:r>
    </w:p>
    <w:p w14:paraId="03852D0D">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p>
    <w:p w14:paraId="61F91CDE">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156" w:name="_Toc371946011"/>
      <w:r>
        <w:rPr>
          <w:rFonts w:hint="eastAsia" w:ascii="仿宋" w:hAnsi="仿宋" w:eastAsia="仿宋" w:cs="仿宋"/>
          <w:b w:val="0"/>
          <w:color w:val="auto"/>
          <w:sz w:val="21"/>
          <w:szCs w:val="21"/>
          <w:highlight w:val="none"/>
        </w:rPr>
        <w:t>1</w:t>
      </w:r>
      <w:bookmarkStart w:id="157" w:name="_Toc296346537"/>
      <w:bookmarkStart w:id="158" w:name="_Toc337558735"/>
      <w:bookmarkStart w:id="159" w:name="_Toc296503036"/>
      <w:r>
        <w:rPr>
          <w:rFonts w:hint="eastAsia" w:ascii="仿宋" w:hAnsi="仿宋" w:eastAsia="仿宋" w:cs="仿宋"/>
          <w:b w:val="0"/>
          <w:color w:val="auto"/>
          <w:sz w:val="21"/>
          <w:szCs w:val="21"/>
          <w:highlight w:val="none"/>
        </w:rPr>
        <w:t>.9化石、文物</w:t>
      </w:r>
      <w:bookmarkEnd w:id="156"/>
    </w:p>
    <w:bookmarkEnd w:id="157"/>
    <w:bookmarkEnd w:id="158"/>
    <w:bookmarkEnd w:id="159"/>
    <w:p w14:paraId="5BD0FFE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18D0642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发包人、监理人和承包人应按有关政府行政管理部门要求采取妥善的保护措施，由此增加的费用和（或）延误的工期由发包人承担。</w:t>
      </w:r>
    </w:p>
    <w:p w14:paraId="07C480A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承包人发现文物后不及时报告或隐瞒不报，致使文物丢失或损坏的，应赔偿损失，并承担相应的法律责任。</w:t>
      </w:r>
    </w:p>
    <w:p w14:paraId="42772D21">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160" w:name="_Toc371946012"/>
      <w:r>
        <w:rPr>
          <w:rFonts w:hint="eastAsia" w:ascii="仿宋" w:hAnsi="仿宋" w:eastAsia="仿宋" w:cs="仿宋"/>
          <w:b w:val="0"/>
          <w:color w:val="auto"/>
          <w:sz w:val="21"/>
          <w:szCs w:val="21"/>
          <w:highlight w:val="none"/>
        </w:rPr>
        <w:t>1</w:t>
      </w:r>
      <w:bookmarkStart w:id="161" w:name="_Toc337558736"/>
      <w:r>
        <w:rPr>
          <w:rFonts w:hint="eastAsia" w:ascii="仿宋" w:hAnsi="仿宋" w:eastAsia="仿宋" w:cs="仿宋"/>
          <w:b w:val="0"/>
          <w:color w:val="auto"/>
          <w:sz w:val="21"/>
          <w:szCs w:val="21"/>
          <w:highlight w:val="none"/>
        </w:rPr>
        <w:t>.10交通运输</w:t>
      </w:r>
      <w:bookmarkEnd w:id="160"/>
    </w:p>
    <w:bookmarkEnd w:id="161"/>
    <w:p w14:paraId="7ACD915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1.10.1出入现场的权利</w:t>
      </w:r>
    </w:p>
    <w:p w14:paraId="7FB23CC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1B56681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2829808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1.10.2场外交通</w:t>
      </w:r>
    </w:p>
    <w:p w14:paraId="086BDF1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048F1CA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1.10.3场内交通</w:t>
      </w:r>
    </w:p>
    <w:p w14:paraId="40783A0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2B5FC0D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5BDD638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场外交通和场内交通的边界由合同当事人在专用合同条款中约定。</w:t>
      </w:r>
    </w:p>
    <w:p w14:paraId="17D0CB9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1.10.4超大件和超重件的运输</w:t>
      </w:r>
    </w:p>
    <w:p w14:paraId="27A2432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426C8E5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1.10.5道路和桥梁的损坏责任</w:t>
      </w:r>
    </w:p>
    <w:p w14:paraId="531452E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因承包人运输造成施工场地内外公共道路和桥梁损坏的，由承包人承担修复损坏的全部费用和可能引起的赔偿。</w:t>
      </w:r>
    </w:p>
    <w:p w14:paraId="4EA1E27D">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1.10.6水路和航空运输</w:t>
      </w:r>
    </w:p>
    <w:p w14:paraId="36D0B56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本款前述的内容适用于水路运输和航空运输，其中“道路”一词的涵义包括河道、航线、船闸、机场、码头、堤防以及水路或航空运输中其他相似结构物；“车辆”一词的涵义包括船舶和飞机等。</w:t>
      </w:r>
    </w:p>
    <w:p w14:paraId="5844FD0D">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162" w:name="_Toc371946013"/>
      <w:r>
        <w:rPr>
          <w:rFonts w:hint="eastAsia" w:ascii="仿宋" w:hAnsi="仿宋" w:eastAsia="仿宋" w:cs="仿宋"/>
          <w:b w:val="0"/>
          <w:color w:val="auto"/>
          <w:sz w:val="21"/>
          <w:szCs w:val="21"/>
          <w:highlight w:val="none"/>
        </w:rPr>
        <w:t>1</w:t>
      </w:r>
      <w:bookmarkStart w:id="163" w:name="_Toc337558737"/>
      <w:bookmarkStart w:id="164" w:name="_Toc296346538"/>
      <w:bookmarkStart w:id="165" w:name="_Toc296503037"/>
      <w:r>
        <w:rPr>
          <w:rFonts w:hint="eastAsia" w:ascii="仿宋" w:hAnsi="仿宋" w:eastAsia="仿宋" w:cs="仿宋"/>
          <w:b w:val="0"/>
          <w:color w:val="auto"/>
          <w:sz w:val="21"/>
          <w:szCs w:val="21"/>
          <w:highlight w:val="none"/>
        </w:rPr>
        <w:t>.11知识产权</w:t>
      </w:r>
      <w:bookmarkEnd w:id="162"/>
      <w:bookmarkEnd w:id="163"/>
    </w:p>
    <w:bookmarkEnd w:id="164"/>
    <w:bookmarkEnd w:id="165"/>
    <w:p w14:paraId="3CE3ECED">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2A090EF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01417CA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07D0E7CC">
      <w:pPr>
        <w:spacing w:line="360" w:lineRule="exact"/>
        <w:rPr>
          <w:rFonts w:hint="eastAsia" w:ascii="仿宋" w:hAnsi="仿宋" w:eastAsia="仿宋" w:cs="仿宋"/>
          <w:color w:val="auto"/>
          <w:highlight w:val="none"/>
        </w:rPr>
      </w:pPr>
      <w:r>
        <w:rPr>
          <w:rFonts w:hint="eastAsia" w:ascii="仿宋" w:hAnsi="仿宋" w:eastAsia="仿宋" w:cs="仿宋"/>
          <w:color w:val="auto"/>
          <w:highlight w:val="none"/>
        </w:rPr>
        <w:t>1.11.4 除专用合同条款另有约定外，承包人在合同签订前和签订时已确定采用的专利、专有技术、技术秘密的使用费已包含在签约合同价中。</w:t>
      </w:r>
    </w:p>
    <w:p w14:paraId="6A85BE6D">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166" w:name="_Toc371946014"/>
      <w:r>
        <w:rPr>
          <w:rFonts w:hint="eastAsia" w:ascii="仿宋" w:hAnsi="仿宋" w:eastAsia="仿宋" w:cs="仿宋"/>
          <w:b w:val="0"/>
          <w:color w:val="auto"/>
          <w:sz w:val="21"/>
          <w:szCs w:val="21"/>
          <w:highlight w:val="none"/>
        </w:rPr>
        <w:t>1</w:t>
      </w:r>
      <w:bookmarkStart w:id="167" w:name="_Toc337558738"/>
      <w:r>
        <w:rPr>
          <w:rFonts w:hint="eastAsia" w:ascii="仿宋" w:hAnsi="仿宋" w:eastAsia="仿宋" w:cs="仿宋"/>
          <w:b w:val="0"/>
          <w:color w:val="auto"/>
          <w:sz w:val="21"/>
          <w:szCs w:val="21"/>
          <w:highlight w:val="none"/>
        </w:rPr>
        <w:t>.12保密</w:t>
      </w:r>
      <w:bookmarkEnd w:id="166"/>
    </w:p>
    <w:bookmarkEnd w:id="167"/>
    <w:p w14:paraId="31499D4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除法律规定或合同另有约定外，未经发包人同意，承包人不得将发包人提供的图纸、文件以及声明需要保密的资料信息等商业秘密泄露给第三方。</w:t>
      </w:r>
    </w:p>
    <w:p w14:paraId="3217EEB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除法律规定或合同另有约定外，未经承包人同意，发包人不得将承包人提供的技术秘密及声明需要保密的资料信息等商业秘密泄露给第三方。</w:t>
      </w:r>
    </w:p>
    <w:p w14:paraId="137B252F">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168" w:name="_Toc371946015"/>
      <w:r>
        <w:rPr>
          <w:rFonts w:hint="eastAsia" w:ascii="仿宋" w:hAnsi="仿宋" w:eastAsia="仿宋" w:cs="仿宋"/>
          <w:b w:val="0"/>
          <w:color w:val="auto"/>
          <w:sz w:val="21"/>
          <w:szCs w:val="21"/>
          <w:highlight w:val="none"/>
        </w:rPr>
        <w:t>1.13工程量清单错误的修正</w:t>
      </w:r>
      <w:bookmarkEnd w:id="168"/>
    </w:p>
    <w:p w14:paraId="7C99871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除专用合同条款另有约定外，发包人提供的工程量清单，应被认为是准确的和完整的。出现下列情形之一时，发包人应予以修正，并相应调整合同价格：</w:t>
      </w:r>
    </w:p>
    <w:p w14:paraId="68AEEB5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（1）工程量清单存在缺项、漏项的；</w:t>
      </w:r>
    </w:p>
    <w:p w14:paraId="54B6CC3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（2）工程量清单偏差超出专用合同条款约定的工程量偏差范围的；</w:t>
      </w:r>
    </w:p>
    <w:p w14:paraId="61E0F21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（3）未按照国家现行计量规范强制性规定计量的。</w:t>
      </w:r>
    </w:p>
    <w:p w14:paraId="408C3BD8">
      <w:pPr>
        <w:pStyle w:val="5"/>
        <w:spacing w:before="120" w:line="360" w:lineRule="exact"/>
        <w:rPr>
          <w:rFonts w:hint="eastAsia" w:ascii="仿宋" w:hAnsi="仿宋" w:eastAsia="仿宋" w:cs="仿宋"/>
          <w:b w:val="0"/>
          <w:color w:val="auto"/>
          <w:highlight w:val="none"/>
        </w:rPr>
      </w:pPr>
      <w:bookmarkStart w:id="169" w:name="_Toc371946016"/>
      <w:r>
        <w:rPr>
          <w:rFonts w:hint="eastAsia" w:ascii="仿宋" w:hAnsi="仿宋" w:eastAsia="仿宋" w:cs="仿宋"/>
          <w:b w:val="0"/>
          <w:color w:val="auto"/>
          <w:szCs w:val="21"/>
          <w:highlight w:val="none"/>
        </w:rPr>
        <w:t>2</w:t>
      </w:r>
      <w:bookmarkStart w:id="170" w:name="_Toc337558739"/>
      <w:bookmarkStart w:id="171" w:name="_Toc296503038"/>
      <w:bookmarkStart w:id="172" w:name="_Toc296346539"/>
      <w:bookmarkStart w:id="173" w:name="OLE_LINK2"/>
      <w:bookmarkStart w:id="174" w:name="OLE_LINK1"/>
      <w:r>
        <w:rPr>
          <w:rFonts w:hint="eastAsia" w:ascii="仿宋" w:hAnsi="仿宋" w:eastAsia="仿宋" w:cs="仿宋"/>
          <w:b w:val="0"/>
          <w:color w:val="auto"/>
          <w:szCs w:val="21"/>
          <w:highlight w:val="none"/>
        </w:rPr>
        <w:t>. 发包人</w:t>
      </w:r>
      <w:bookmarkEnd w:id="169"/>
    </w:p>
    <w:bookmarkEnd w:id="170"/>
    <w:bookmarkEnd w:id="171"/>
    <w:bookmarkEnd w:id="172"/>
    <w:p w14:paraId="2F6B1E88">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175" w:name="_Toc371946017"/>
      <w:r>
        <w:rPr>
          <w:rFonts w:hint="eastAsia" w:ascii="仿宋" w:hAnsi="仿宋" w:eastAsia="仿宋" w:cs="仿宋"/>
          <w:b w:val="0"/>
          <w:color w:val="auto"/>
          <w:sz w:val="21"/>
          <w:szCs w:val="21"/>
          <w:highlight w:val="none"/>
        </w:rPr>
        <w:t>2</w:t>
      </w:r>
      <w:bookmarkStart w:id="176" w:name="_Toc296503039"/>
      <w:bookmarkStart w:id="177" w:name="_Toc337558740"/>
      <w:bookmarkStart w:id="178" w:name="_Toc296346540"/>
      <w:r>
        <w:rPr>
          <w:rFonts w:hint="eastAsia" w:ascii="仿宋" w:hAnsi="仿宋" w:eastAsia="仿宋" w:cs="仿宋"/>
          <w:b w:val="0"/>
          <w:color w:val="auto"/>
          <w:sz w:val="21"/>
          <w:szCs w:val="21"/>
          <w:highlight w:val="none"/>
        </w:rPr>
        <w:t>.1 许可或批准</w:t>
      </w:r>
      <w:bookmarkEnd w:id="175"/>
    </w:p>
    <w:p w14:paraId="573E509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22C31C8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因发包人原因未能及时办理完毕前述许可、批准或备案，由发包人承担由此增加的费用和（或）延误的工期，并支付承包人合理的利润。</w:t>
      </w:r>
    </w:p>
    <w:p w14:paraId="705178F6">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179" w:name="_Toc371946018"/>
      <w:r>
        <w:rPr>
          <w:rFonts w:hint="eastAsia" w:ascii="仿宋" w:hAnsi="仿宋" w:eastAsia="仿宋" w:cs="仿宋"/>
          <w:b w:val="0"/>
          <w:color w:val="auto"/>
          <w:sz w:val="21"/>
          <w:szCs w:val="21"/>
          <w:highlight w:val="none"/>
        </w:rPr>
        <w:t>2.2 发包人代表</w:t>
      </w:r>
      <w:bookmarkEnd w:id="179"/>
    </w:p>
    <w:p w14:paraId="54719B4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4D54F0F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发包人代表不能按照合同约定履行其职责及义务，并导致合同无法继续正常履行的，承包人可以要求发包人撤换发包人代表。</w:t>
      </w:r>
    </w:p>
    <w:p w14:paraId="5D40B3F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不属于法定必须监理的工程，监理人的职权可以由发包人代表或发包人指定的其他人员行使。</w:t>
      </w:r>
    </w:p>
    <w:p w14:paraId="3F89922D">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180" w:name="_Toc371946019"/>
      <w:r>
        <w:rPr>
          <w:rFonts w:hint="eastAsia" w:ascii="仿宋" w:hAnsi="仿宋" w:eastAsia="仿宋" w:cs="仿宋"/>
          <w:b w:val="0"/>
          <w:color w:val="auto"/>
          <w:sz w:val="21"/>
          <w:szCs w:val="21"/>
          <w:highlight w:val="none"/>
        </w:rPr>
        <w:t>2.3 发包人人员</w:t>
      </w:r>
      <w:bookmarkEnd w:id="180"/>
    </w:p>
    <w:p w14:paraId="38F9959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发包人应要求在施工现场的发包人人员遵守法律及有关安全、质量、环境保护、文明施工等规定，并保障承包人免于承受因发包人人员未遵守上述要求给承包人造成的损失和责任。</w:t>
      </w:r>
    </w:p>
    <w:p w14:paraId="1A00EFC9">
      <w:pPr>
        <w:spacing w:line="360" w:lineRule="exact"/>
        <w:ind w:firstLine="640"/>
        <w:rPr>
          <w:rFonts w:hint="eastAsia" w:ascii="仿宋" w:hAnsi="仿宋" w:eastAsia="仿宋" w:cs="仿宋"/>
          <w:color w:val="auto"/>
          <w:highlight w:val="none"/>
        </w:rPr>
      </w:pPr>
      <w:r>
        <w:rPr>
          <w:rFonts w:hint="eastAsia" w:ascii="仿宋" w:hAnsi="仿宋" w:eastAsia="仿宋" w:cs="仿宋"/>
          <w:color w:val="auto"/>
          <w:highlight w:val="none"/>
        </w:rPr>
        <w:t>发包人人员包括发包人代表及其他由发包人派驻施工现场的人员。</w:t>
      </w:r>
      <w:bookmarkEnd w:id="176"/>
      <w:bookmarkEnd w:id="177"/>
      <w:bookmarkEnd w:id="178"/>
    </w:p>
    <w:p w14:paraId="4E2512E4">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181" w:name="_Toc371946020"/>
      <w:r>
        <w:rPr>
          <w:rFonts w:hint="eastAsia" w:ascii="仿宋" w:hAnsi="仿宋" w:eastAsia="仿宋" w:cs="仿宋"/>
          <w:b w:val="0"/>
          <w:color w:val="auto"/>
          <w:sz w:val="21"/>
          <w:szCs w:val="21"/>
          <w:highlight w:val="none"/>
        </w:rPr>
        <w:t>2</w:t>
      </w:r>
      <w:bookmarkStart w:id="182" w:name="_Toc337558741"/>
      <w:bookmarkStart w:id="183" w:name="_Toc296503040"/>
      <w:bookmarkStart w:id="184" w:name="_Toc296346541"/>
      <w:r>
        <w:rPr>
          <w:rFonts w:hint="eastAsia" w:ascii="仿宋" w:hAnsi="仿宋" w:eastAsia="仿宋" w:cs="仿宋"/>
          <w:b w:val="0"/>
          <w:color w:val="auto"/>
          <w:sz w:val="21"/>
          <w:szCs w:val="21"/>
          <w:highlight w:val="none"/>
        </w:rPr>
        <w:t>.4 施工现场、施工条件和基础资料的提供</w:t>
      </w:r>
      <w:bookmarkEnd w:id="181"/>
      <w:bookmarkEnd w:id="182"/>
      <w:bookmarkEnd w:id="183"/>
      <w:bookmarkEnd w:id="184"/>
    </w:p>
    <w:p w14:paraId="3AD8B2A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2.4.1 提供施工现场</w:t>
      </w:r>
    </w:p>
    <w:p w14:paraId="46EC045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w:t>
      </w:r>
      <w:bookmarkEnd w:id="173"/>
      <w:bookmarkEnd w:id="174"/>
      <w:r>
        <w:rPr>
          <w:rFonts w:hint="eastAsia" w:ascii="仿宋" w:hAnsi="仿宋" w:eastAsia="仿宋" w:cs="仿宋"/>
          <w:color w:val="auto"/>
          <w:highlight w:val="none"/>
        </w:rPr>
        <w:t>专用合同条款另有约定外，发包人应最迟于开工日期7天前向承包人移交施工现场。</w:t>
      </w:r>
    </w:p>
    <w:p w14:paraId="38C1BE2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2.4.2 提供施工条件</w:t>
      </w:r>
    </w:p>
    <w:p w14:paraId="54EDA13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除专用合同条款另有约定外，发包人应负责提供施工所需要的条件，包括：</w:t>
      </w:r>
    </w:p>
    <w:p w14:paraId="275CBE1D">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（1）将施工用水、电力、通讯线路等施工所必需的条件接至施工现场内；</w:t>
      </w:r>
    </w:p>
    <w:p w14:paraId="0B85E87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（2）保证向承包人提供正常施工所需要的进入施工现场的交通条件；</w:t>
      </w:r>
    </w:p>
    <w:p w14:paraId="6AC1108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（3）协调处理施工现场周围地下管线和邻近建筑物、构筑物、古树名木的保护工作，并承担相关费用；</w:t>
      </w:r>
    </w:p>
    <w:p w14:paraId="1F1CBBA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（4）按照专用合同条款约定应提供的其他设施和条件。</w:t>
      </w:r>
    </w:p>
    <w:p w14:paraId="7CC512C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2.4.3 提供基础资料</w:t>
      </w:r>
    </w:p>
    <w:p w14:paraId="2D5F9EB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41FC618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按照法律规定确需在开工后方能提供的基础资料，发包人应尽其努力及时地在相应工程施工前的合理期限内提供，合理期限应以不影响承包人的正常施工为限。</w:t>
      </w:r>
    </w:p>
    <w:p w14:paraId="1529EE3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2.4.4 逾期提供的责任</w:t>
      </w:r>
    </w:p>
    <w:p w14:paraId="431DA26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因发包人原因未能按合同约定及时向承包人提供施工现场、施工条件、基础资料的，由发包人承担由此增加的费用和（或）延误的工期。</w:t>
      </w:r>
    </w:p>
    <w:p w14:paraId="516E1EFD">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185" w:name="_Toc371946021"/>
      <w:r>
        <w:rPr>
          <w:rFonts w:hint="eastAsia" w:ascii="仿宋" w:hAnsi="仿宋" w:eastAsia="仿宋" w:cs="仿宋"/>
          <w:b w:val="0"/>
          <w:color w:val="auto"/>
          <w:sz w:val="21"/>
          <w:szCs w:val="21"/>
          <w:highlight w:val="none"/>
        </w:rPr>
        <w:t>2</w:t>
      </w:r>
      <w:bookmarkStart w:id="186" w:name="_Toc296503042"/>
      <w:bookmarkStart w:id="187" w:name="_Toc296346543"/>
      <w:bookmarkStart w:id="188" w:name="_Toc337558745"/>
      <w:r>
        <w:rPr>
          <w:rFonts w:hint="eastAsia" w:ascii="仿宋" w:hAnsi="仿宋" w:eastAsia="仿宋" w:cs="仿宋"/>
          <w:b w:val="0"/>
          <w:color w:val="auto"/>
          <w:sz w:val="21"/>
          <w:szCs w:val="21"/>
          <w:highlight w:val="none"/>
        </w:rPr>
        <w:t>.5 资</w:t>
      </w:r>
      <w:bookmarkEnd w:id="186"/>
      <w:bookmarkEnd w:id="187"/>
      <w:bookmarkEnd w:id="188"/>
      <w:r>
        <w:rPr>
          <w:rFonts w:hint="eastAsia" w:ascii="仿宋" w:hAnsi="仿宋" w:eastAsia="仿宋" w:cs="仿宋"/>
          <w:b w:val="0"/>
          <w:color w:val="auto"/>
          <w:sz w:val="21"/>
          <w:szCs w:val="21"/>
          <w:highlight w:val="none"/>
        </w:rPr>
        <w:t>金来源证明及支付担保</w:t>
      </w:r>
      <w:bookmarkEnd w:id="185"/>
    </w:p>
    <w:p w14:paraId="5F97827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除专用合同条款另有约定外，发包人应在收到承包人要求提供资金来源证明的书面通知后28天内，向承包人提供能够按照合同约定支付合同价款的相应资金来源证明。</w:t>
      </w:r>
    </w:p>
    <w:p w14:paraId="0879B19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除专用合同条款另有约定外，发包人要求承包人提供履约担保的，发包人应当向承包人提供支付担保。支付担保可以采用银行保函或担保公司担保等形式，具体由合同当事人在专用合同条款中约定。</w:t>
      </w:r>
    </w:p>
    <w:p w14:paraId="732B70A0">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189" w:name="_Toc371946022"/>
      <w:r>
        <w:rPr>
          <w:rFonts w:hint="eastAsia" w:ascii="仿宋" w:hAnsi="仿宋" w:eastAsia="仿宋" w:cs="仿宋"/>
          <w:b w:val="0"/>
          <w:color w:val="auto"/>
          <w:sz w:val="21"/>
          <w:szCs w:val="21"/>
          <w:highlight w:val="none"/>
        </w:rPr>
        <w:t>2.6 支付合同价款</w:t>
      </w:r>
      <w:bookmarkEnd w:id="189"/>
    </w:p>
    <w:p w14:paraId="6B420D6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发包人应按合同约定向承包人及时支付合同价款。</w:t>
      </w:r>
    </w:p>
    <w:p w14:paraId="6A71293A">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190" w:name="_Toc371946023"/>
      <w:r>
        <w:rPr>
          <w:rFonts w:hint="eastAsia" w:ascii="仿宋" w:hAnsi="仿宋" w:eastAsia="仿宋" w:cs="仿宋"/>
          <w:b w:val="0"/>
          <w:color w:val="auto"/>
          <w:sz w:val="21"/>
          <w:szCs w:val="21"/>
          <w:highlight w:val="none"/>
        </w:rPr>
        <w:t>2.7 组织竣工验收</w:t>
      </w:r>
      <w:bookmarkEnd w:id="190"/>
    </w:p>
    <w:p w14:paraId="04B05F7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发包人应按合同约定及时组织竣工验收。</w:t>
      </w:r>
    </w:p>
    <w:p w14:paraId="51F5BA51">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191" w:name="_Toc371946024"/>
      <w:r>
        <w:rPr>
          <w:rFonts w:hint="eastAsia" w:ascii="仿宋" w:hAnsi="仿宋" w:eastAsia="仿宋" w:cs="仿宋"/>
          <w:b w:val="0"/>
          <w:color w:val="auto"/>
          <w:sz w:val="21"/>
          <w:szCs w:val="21"/>
          <w:highlight w:val="none"/>
        </w:rPr>
        <w:t>2.8 现场统一管理协议</w:t>
      </w:r>
      <w:bookmarkEnd w:id="191"/>
    </w:p>
    <w:p w14:paraId="2545191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发包人应与承包人、由发包人直接发包的专业工程的承包人签订施工现场统一管理协议，明确各方的权利义务。施工现场统一管理协议作为专用合同条款的附件。</w:t>
      </w:r>
    </w:p>
    <w:p w14:paraId="4EB97200">
      <w:pPr>
        <w:pStyle w:val="5"/>
        <w:spacing w:before="120" w:line="360" w:lineRule="exact"/>
        <w:rPr>
          <w:rFonts w:hint="eastAsia" w:ascii="仿宋" w:hAnsi="仿宋" w:eastAsia="仿宋" w:cs="仿宋"/>
          <w:b w:val="0"/>
          <w:color w:val="auto"/>
          <w:highlight w:val="none"/>
        </w:rPr>
      </w:pPr>
      <w:bookmarkStart w:id="192" w:name="_Toc371946025"/>
      <w:r>
        <w:rPr>
          <w:rFonts w:hint="eastAsia" w:ascii="仿宋" w:hAnsi="仿宋" w:eastAsia="仿宋" w:cs="仿宋"/>
          <w:b w:val="0"/>
          <w:color w:val="auto"/>
          <w:szCs w:val="21"/>
          <w:highlight w:val="none"/>
        </w:rPr>
        <w:t>3</w:t>
      </w:r>
      <w:bookmarkStart w:id="193" w:name="_Toc296346546"/>
      <w:bookmarkStart w:id="194" w:name="_Toc296503045"/>
      <w:bookmarkStart w:id="195" w:name="_Toc337558746"/>
      <w:r>
        <w:rPr>
          <w:rFonts w:hint="eastAsia" w:ascii="仿宋" w:hAnsi="仿宋" w:eastAsia="仿宋" w:cs="仿宋"/>
          <w:b w:val="0"/>
          <w:color w:val="auto"/>
          <w:szCs w:val="21"/>
          <w:highlight w:val="none"/>
        </w:rPr>
        <w:t>. 承包人</w:t>
      </w:r>
      <w:bookmarkEnd w:id="192"/>
    </w:p>
    <w:bookmarkEnd w:id="193"/>
    <w:bookmarkEnd w:id="194"/>
    <w:bookmarkEnd w:id="195"/>
    <w:p w14:paraId="4F5F0103">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196" w:name="_Toc371946026"/>
      <w:r>
        <w:rPr>
          <w:rFonts w:hint="eastAsia" w:ascii="仿宋" w:hAnsi="仿宋" w:eastAsia="仿宋" w:cs="仿宋"/>
          <w:b w:val="0"/>
          <w:color w:val="auto"/>
          <w:sz w:val="21"/>
          <w:szCs w:val="21"/>
          <w:highlight w:val="none"/>
        </w:rPr>
        <w:t>3</w:t>
      </w:r>
      <w:bookmarkStart w:id="197" w:name="_Toc337558747"/>
      <w:bookmarkStart w:id="198" w:name="_Toc296503046"/>
      <w:bookmarkStart w:id="199" w:name="_Toc296346547"/>
      <w:r>
        <w:rPr>
          <w:rFonts w:hint="eastAsia" w:ascii="仿宋" w:hAnsi="仿宋" w:eastAsia="仿宋" w:cs="仿宋"/>
          <w:b w:val="0"/>
          <w:color w:val="auto"/>
          <w:sz w:val="21"/>
          <w:szCs w:val="21"/>
          <w:highlight w:val="none"/>
        </w:rPr>
        <w:t>.1 承包人的一般义务</w:t>
      </w:r>
      <w:bookmarkEnd w:id="196"/>
    </w:p>
    <w:bookmarkEnd w:id="197"/>
    <w:bookmarkEnd w:id="198"/>
    <w:bookmarkEnd w:id="199"/>
    <w:p w14:paraId="49DA244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承包人在履行合同过程中应遵守法律和工程建设标准规范，并履行以下义务：</w:t>
      </w:r>
    </w:p>
    <w:p w14:paraId="2E45FE50">
      <w:pPr>
        <w:widowControl/>
        <w:numPr>
          <w:ilvl w:val="-1"/>
          <w:numId w:val="0"/>
        </w:numPr>
        <w:kinsoku w:val="0"/>
        <w:autoSpaceDE w:val="0"/>
        <w:autoSpaceDN w:val="0"/>
        <w:adjustRightInd w:val="0"/>
        <w:snapToGrid w:val="0"/>
        <w:spacing w:line="360" w:lineRule="exact"/>
        <w:ind w:left="420" w:leftChars="200" w:firstLine="0" w:firstLineChars="0"/>
        <w:jc w:val="left"/>
        <w:textAlignment w:val="baseline"/>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办理法律规定应由承包人办理的许可和批准，并将办理结果书面报送发包人留存；</w:t>
      </w:r>
    </w:p>
    <w:p w14:paraId="50FB642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（2）按法律规定和合同约定完成工程，并在保修期内承担保修义务；</w:t>
      </w:r>
    </w:p>
    <w:p w14:paraId="029E501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（3）按法律规定和合同约定采取施工安全和环境保护措施，办理工伤保险，确保工程及人员、材料、设备和设施的安全；</w:t>
      </w:r>
    </w:p>
    <w:p w14:paraId="4725902D">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（4）按合同约定的工作内容和施工进度要求，编制施工组织设计和施工措施计划，并对所有施工作业和施工方法的完备性和安全可靠性负责；</w:t>
      </w:r>
    </w:p>
    <w:p w14:paraId="7C34420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2AE2147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（6）按照第6.3款〔环境保护〕约定负责施工场地及其周边环境与生态的保护工作；</w:t>
      </w:r>
    </w:p>
    <w:p w14:paraId="07B6DC9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（7）按第6.1款〔安全文明施工〕约定采取施工安全措施，确保工程及其人员、材料、设备和设施的安全，防止因工程施工造成的人身伤害和财产损失；</w:t>
      </w:r>
    </w:p>
    <w:p w14:paraId="0A7CDF7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（8）将发包人按合同约定支付的各项价款专用于合同工程，且应及时支付其雇用人员工资，并及时向分包人支付合同价款；</w:t>
      </w:r>
    </w:p>
    <w:p w14:paraId="09C87C9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（9）按照法律规定和合同约定编制竣工资料，完成竣工资料立卷及归档，并按专用合同条款约定的竣工资料的套数、内容、时间等要求移交发包人；</w:t>
      </w:r>
    </w:p>
    <w:p w14:paraId="3399C99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（10）应履行的其他义务。</w:t>
      </w:r>
    </w:p>
    <w:p w14:paraId="03926128">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200" w:name="_Toc371946027"/>
      <w:r>
        <w:rPr>
          <w:rFonts w:hint="eastAsia" w:ascii="仿宋" w:hAnsi="仿宋" w:eastAsia="仿宋" w:cs="仿宋"/>
          <w:b w:val="0"/>
          <w:color w:val="auto"/>
          <w:sz w:val="21"/>
          <w:szCs w:val="21"/>
          <w:highlight w:val="none"/>
        </w:rPr>
        <w:t>3</w:t>
      </w:r>
      <w:bookmarkStart w:id="201" w:name="_Toc296346548"/>
      <w:bookmarkStart w:id="202" w:name="_Toc337558748"/>
      <w:bookmarkStart w:id="203" w:name="_Toc296503047"/>
      <w:r>
        <w:rPr>
          <w:rFonts w:hint="eastAsia" w:ascii="仿宋" w:hAnsi="仿宋" w:eastAsia="仿宋" w:cs="仿宋"/>
          <w:b w:val="0"/>
          <w:color w:val="auto"/>
          <w:sz w:val="21"/>
          <w:szCs w:val="21"/>
          <w:highlight w:val="none"/>
        </w:rPr>
        <w:t>.2 项目经理</w:t>
      </w:r>
      <w:bookmarkEnd w:id="200"/>
    </w:p>
    <w:bookmarkEnd w:id="201"/>
    <w:bookmarkEnd w:id="202"/>
    <w:bookmarkEnd w:id="203"/>
    <w:p w14:paraId="0E1B44D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47D911C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5C74319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承包人违反上述约定的，应按照专用合同条款的约定，承担违约责任。</w:t>
      </w:r>
    </w:p>
    <w:p w14:paraId="1ECDAC8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3.2.2 项目经理按合同约定组织工程实施。在紧急情况下为确保施工安全和人员安全，在无法与发包人代表和及时取得联系时，项目经理有权采取必要的措施保证与工程有关的人身、财产和工程的安全，但应在48小时内向发包人代表和提交书面报告。</w:t>
      </w:r>
    </w:p>
    <w:p w14:paraId="041A469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5AA8A20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w:t>
      </w:r>
      <w:r>
        <w:rPr>
          <w:rFonts w:hint="eastAsia" w:ascii="仿宋" w:hAnsi="仿宋" w:eastAsia="仿宋" w:cs="仿宋"/>
          <w:color w:val="auto"/>
          <w:szCs w:val="21"/>
          <w:highlight w:val="none"/>
        </w:rPr>
        <w:t>继任</w:t>
      </w:r>
      <w:r>
        <w:rPr>
          <w:rFonts w:hint="eastAsia" w:ascii="仿宋" w:hAnsi="仿宋" w:eastAsia="仿宋" w:cs="仿宋"/>
          <w:color w:val="auto"/>
          <w:highlight w:val="none"/>
        </w:rPr>
        <w:t>项目经理继续履行第3.2.1项约定的职责。承包人无正当理由拒绝更换项目经理的，应按照专用合同条款的约定承担违约责任。</w:t>
      </w:r>
    </w:p>
    <w:p w14:paraId="29F50E8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3.2.5 项目经理因特殊情况授权其下属人员履行其某项工作职责的，该下属人员应具备履行相应职责的能力，并应提前7天将上述人员的姓名和授权范围书面通知监理人，并征得发包人书面同意。</w:t>
      </w:r>
    </w:p>
    <w:p w14:paraId="2FCC0BFC">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204" w:name="_Toc371946028"/>
      <w:r>
        <w:rPr>
          <w:rFonts w:hint="eastAsia" w:ascii="仿宋" w:hAnsi="仿宋" w:eastAsia="仿宋" w:cs="仿宋"/>
          <w:b w:val="0"/>
          <w:color w:val="auto"/>
          <w:sz w:val="21"/>
          <w:szCs w:val="21"/>
          <w:highlight w:val="none"/>
        </w:rPr>
        <w:t>3</w:t>
      </w:r>
      <w:bookmarkStart w:id="205" w:name="_Toc296346549"/>
      <w:bookmarkStart w:id="206" w:name="_Toc296503048"/>
      <w:bookmarkStart w:id="207" w:name="_Toc337558749"/>
      <w:r>
        <w:rPr>
          <w:rFonts w:hint="eastAsia" w:ascii="仿宋" w:hAnsi="仿宋" w:eastAsia="仿宋" w:cs="仿宋"/>
          <w:b w:val="0"/>
          <w:color w:val="auto"/>
          <w:sz w:val="21"/>
          <w:szCs w:val="21"/>
          <w:highlight w:val="none"/>
        </w:rPr>
        <w:t xml:space="preserve">.3 </w:t>
      </w:r>
      <w:bookmarkEnd w:id="205"/>
      <w:bookmarkEnd w:id="206"/>
      <w:r>
        <w:rPr>
          <w:rFonts w:hint="eastAsia" w:ascii="仿宋" w:hAnsi="仿宋" w:eastAsia="仿宋" w:cs="仿宋"/>
          <w:b w:val="0"/>
          <w:color w:val="auto"/>
          <w:sz w:val="21"/>
          <w:szCs w:val="21"/>
          <w:highlight w:val="none"/>
        </w:rPr>
        <w:t>承包人人员</w:t>
      </w:r>
      <w:bookmarkEnd w:id="204"/>
    </w:p>
    <w:bookmarkEnd w:id="207"/>
    <w:p w14:paraId="2D0631E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4B364BE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58C05A2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特殊工种作业人员均应持有相应的资格证明，监理人可以随时检查。</w:t>
      </w:r>
    </w:p>
    <w:p w14:paraId="3AF926F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6A5F5A5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3956006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3.3.5 承包人擅自更换主要施工管理人员，或前述人员未经监理人或发包人同意擅自离开施工现场的，应按照专用合同条款约定承担违约责任。</w:t>
      </w:r>
    </w:p>
    <w:p w14:paraId="46414EFE">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208" w:name="_Toc371946029"/>
      <w:r>
        <w:rPr>
          <w:rFonts w:hint="eastAsia" w:ascii="仿宋" w:hAnsi="仿宋" w:eastAsia="仿宋" w:cs="仿宋"/>
          <w:b w:val="0"/>
          <w:color w:val="auto"/>
          <w:sz w:val="21"/>
          <w:szCs w:val="21"/>
          <w:highlight w:val="none"/>
        </w:rPr>
        <w:t>3</w:t>
      </w:r>
      <w:bookmarkStart w:id="209" w:name="_Toc337558750"/>
      <w:bookmarkStart w:id="210" w:name="_Toc296346551"/>
      <w:bookmarkStart w:id="211" w:name="_Toc296503050"/>
      <w:r>
        <w:rPr>
          <w:rFonts w:hint="eastAsia" w:ascii="仿宋" w:hAnsi="仿宋" w:eastAsia="仿宋" w:cs="仿宋"/>
          <w:b w:val="0"/>
          <w:color w:val="auto"/>
          <w:sz w:val="21"/>
          <w:szCs w:val="21"/>
          <w:highlight w:val="none"/>
        </w:rPr>
        <w:t>.4 承包人现场查勘</w:t>
      </w:r>
      <w:bookmarkEnd w:id="208"/>
    </w:p>
    <w:bookmarkEnd w:id="209"/>
    <w:bookmarkEnd w:id="210"/>
    <w:bookmarkEnd w:id="211"/>
    <w:p w14:paraId="1DB717F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承包人应对基于发包人按照第2.4.3项〔提供基础资料〕提交的基础资料所做出的解释和推断负责，但因基础资料存在错误、遗漏导致承包人解释或推断失实的，由发包人承担责任。</w:t>
      </w:r>
    </w:p>
    <w:p w14:paraId="27EBE13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2D61C601">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212" w:name="_Toc371946030"/>
      <w:r>
        <w:rPr>
          <w:rFonts w:hint="eastAsia" w:ascii="仿宋" w:hAnsi="仿宋" w:eastAsia="仿宋" w:cs="仿宋"/>
          <w:b w:val="0"/>
          <w:color w:val="auto"/>
          <w:sz w:val="21"/>
          <w:szCs w:val="21"/>
          <w:highlight w:val="none"/>
        </w:rPr>
        <w:t>3</w:t>
      </w:r>
      <w:bookmarkStart w:id="213" w:name="_Toc296503051"/>
      <w:bookmarkStart w:id="214" w:name="_Toc337558751"/>
      <w:bookmarkStart w:id="215" w:name="_Toc296346552"/>
      <w:r>
        <w:rPr>
          <w:rFonts w:hint="eastAsia" w:ascii="仿宋" w:hAnsi="仿宋" w:eastAsia="仿宋" w:cs="仿宋"/>
          <w:b w:val="0"/>
          <w:color w:val="auto"/>
          <w:sz w:val="21"/>
          <w:szCs w:val="21"/>
          <w:highlight w:val="none"/>
        </w:rPr>
        <w:t>.5 分包</w:t>
      </w:r>
      <w:bookmarkEnd w:id="212"/>
    </w:p>
    <w:bookmarkEnd w:id="213"/>
    <w:bookmarkEnd w:id="214"/>
    <w:bookmarkEnd w:id="215"/>
    <w:p w14:paraId="76AEDC6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3.5.1 分包的一般约定</w:t>
      </w:r>
    </w:p>
    <w:p w14:paraId="4EF0312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04A613E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承包人不得以劳务分包的名义转包或违法分包工程。</w:t>
      </w:r>
    </w:p>
    <w:p w14:paraId="12C375C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3.5.2 分包的确定</w:t>
      </w:r>
    </w:p>
    <w:p w14:paraId="66E35C0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7217C36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3.5.3 分包管理</w:t>
      </w:r>
    </w:p>
    <w:p w14:paraId="645EF06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承包人应向监理人提交分包人的主要施工管理人员表，并对分包人的施工人员进行实名制管理，包括但不限于进出场管理、登记造册以及各种证照的办理。</w:t>
      </w:r>
    </w:p>
    <w:p w14:paraId="279EE92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3.5.4 分包合同价款</w:t>
      </w:r>
    </w:p>
    <w:p w14:paraId="4865A35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（1）除本项第（2）目约定的情况或专用合同条款另有约定外，分包合同价款由承包人与分包人结算，未经承包人同意，发包人不得向分包人支付分包工程价款；</w:t>
      </w:r>
    </w:p>
    <w:p w14:paraId="12456EF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（2）生效法律文书要求发包人向分包人支付分包合同价款的，发包人有权从应付承包人工程款中扣除该部分款项。</w:t>
      </w:r>
    </w:p>
    <w:p w14:paraId="52F5E91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3.5.5 分包合同权益的转让</w:t>
      </w:r>
    </w:p>
    <w:p w14:paraId="5C9F054D">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p>
    <w:p w14:paraId="496EF3FA">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216" w:name="_Toc371946031"/>
      <w:r>
        <w:rPr>
          <w:rFonts w:hint="eastAsia" w:ascii="仿宋" w:hAnsi="仿宋" w:eastAsia="仿宋" w:cs="仿宋"/>
          <w:b w:val="0"/>
          <w:color w:val="auto"/>
          <w:sz w:val="21"/>
          <w:szCs w:val="21"/>
          <w:highlight w:val="none"/>
        </w:rPr>
        <w:t>3.6 工程照管与成品、半成品保护</w:t>
      </w:r>
      <w:bookmarkEnd w:id="216"/>
    </w:p>
    <w:p w14:paraId="0C3AECB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（1）除专用合同条款另有约定外，自发包人向承包人移交施工现场之日起，承包人应负责照管工程及工程相关的材料、工程设备，直到颁发工程接收证书之日止。</w:t>
      </w:r>
    </w:p>
    <w:p w14:paraId="00B72CF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（2）在承包人负责照管期间，因承包人原因造成工程、材料、工程设备损坏的，由承包人负责修复或更换，并承担由此增加的费用和（或）延误的工期。</w:t>
      </w:r>
    </w:p>
    <w:p w14:paraId="170D071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（3）对合同内分期完成的成品和半成品，在工程接收证书颁发前，由承包人承担保护责任。因承包人原因造成成品或半成品损坏的，由承包人负责修复或更换，并承担由此增加的费用和（或）延误的工期。</w:t>
      </w:r>
    </w:p>
    <w:p w14:paraId="260B333D">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217" w:name="_Toc371946032"/>
      <w:r>
        <w:rPr>
          <w:rFonts w:hint="eastAsia" w:ascii="仿宋" w:hAnsi="仿宋" w:eastAsia="仿宋" w:cs="仿宋"/>
          <w:b w:val="0"/>
          <w:color w:val="auto"/>
          <w:sz w:val="21"/>
          <w:szCs w:val="21"/>
          <w:highlight w:val="none"/>
        </w:rPr>
        <w:t>3</w:t>
      </w:r>
      <w:bookmarkStart w:id="218" w:name="_Toc337558752"/>
      <w:bookmarkStart w:id="219" w:name="_Toc296503052"/>
      <w:bookmarkStart w:id="220" w:name="_Toc296346553"/>
      <w:r>
        <w:rPr>
          <w:rFonts w:hint="eastAsia" w:ascii="仿宋" w:hAnsi="仿宋" w:eastAsia="仿宋" w:cs="仿宋"/>
          <w:b w:val="0"/>
          <w:color w:val="auto"/>
          <w:sz w:val="21"/>
          <w:szCs w:val="21"/>
          <w:highlight w:val="none"/>
        </w:rPr>
        <w:t>.7 履约担保</w:t>
      </w:r>
      <w:bookmarkEnd w:id="217"/>
    </w:p>
    <w:bookmarkEnd w:id="218"/>
    <w:bookmarkEnd w:id="219"/>
    <w:bookmarkEnd w:id="220"/>
    <w:p w14:paraId="46994AE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0A38870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因承包人原因导致工期延长的，继续提供履约担保所增加的费用由承包人承担；非因承包人原因导致工期延长的，继续提供履约担保所增加的费用由发包人承担。</w:t>
      </w:r>
    </w:p>
    <w:p w14:paraId="48204FEB">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221" w:name="_Toc371946033"/>
      <w:r>
        <w:rPr>
          <w:rFonts w:hint="eastAsia" w:ascii="仿宋" w:hAnsi="仿宋" w:eastAsia="仿宋" w:cs="仿宋"/>
          <w:b w:val="0"/>
          <w:color w:val="auto"/>
          <w:sz w:val="21"/>
          <w:szCs w:val="21"/>
          <w:highlight w:val="none"/>
        </w:rPr>
        <w:t>3.8 联合体</w:t>
      </w:r>
      <w:bookmarkEnd w:id="221"/>
    </w:p>
    <w:p w14:paraId="7177460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3.8.1 联合体各方应共同与发包人签订合同协议书。联合体各方应为履行合同向发包人承担连带责任。</w:t>
      </w:r>
    </w:p>
    <w:p w14:paraId="66DEDA2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3.8.2 联合体协议经发包人确认后作为合同附件。在履行合同过程中，未经发包人同意，不得修改联合体协议。</w:t>
      </w:r>
    </w:p>
    <w:p w14:paraId="4E2D713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3.8.3 联合体牵头人负责与发包人和监理人联系，并接受指示，负责组织联合体各成员全面履行合同。</w:t>
      </w:r>
    </w:p>
    <w:p w14:paraId="2EAFD66E">
      <w:pPr>
        <w:pStyle w:val="5"/>
        <w:spacing w:before="120" w:line="360" w:lineRule="exact"/>
        <w:rPr>
          <w:rFonts w:hint="eastAsia" w:ascii="仿宋" w:hAnsi="仿宋" w:eastAsia="仿宋" w:cs="仿宋"/>
          <w:b w:val="0"/>
          <w:color w:val="auto"/>
          <w:highlight w:val="none"/>
        </w:rPr>
      </w:pPr>
      <w:bookmarkStart w:id="222" w:name="_Toc371946034"/>
      <w:r>
        <w:rPr>
          <w:rFonts w:hint="eastAsia" w:ascii="仿宋" w:hAnsi="仿宋" w:eastAsia="仿宋" w:cs="仿宋"/>
          <w:b w:val="0"/>
          <w:color w:val="auto"/>
          <w:szCs w:val="21"/>
          <w:highlight w:val="none"/>
        </w:rPr>
        <w:t>4</w:t>
      </w:r>
      <w:bookmarkStart w:id="223" w:name="_Toc296503053"/>
      <w:bookmarkStart w:id="224" w:name="_Toc296346554"/>
      <w:bookmarkStart w:id="225" w:name="_Toc337558753"/>
      <w:r>
        <w:rPr>
          <w:rFonts w:hint="eastAsia" w:ascii="仿宋" w:hAnsi="仿宋" w:eastAsia="仿宋" w:cs="仿宋"/>
          <w:b w:val="0"/>
          <w:color w:val="auto"/>
          <w:szCs w:val="21"/>
          <w:highlight w:val="none"/>
        </w:rPr>
        <w:t>. 监</w:t>
      </w:r>
      <w:bookmarkEnd w:id="223"/>
      <w:bookmarkEnd w:id="224"/>
      <w:r>
        <w:rPr>
          <w:rFonts w:hint="eastAsia" w:ascii="仿宋" w:hAnsi="仿宋" w:eastAsia="仿宋" w:cs="仿宋"/>
          <w:b w:val="0"/>
          <w:color w:val="auto"/>
          <w:szCs w:val="21"/>
          <w:highlight w:val="none"/>
        </w:rPr>
        <w:t>理人</w:t>
      </w:r>
      <w:bookmarkEnd w:id="222"/>
    </w:p>
    <w:bookmarkEnd w:id="225"/>
    <w:p w14:paraId="4E05AD1B">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226" w:name="_Toc371946035"/>
      <w:r>
        <w:rPr>
          <w:rFonts w:hint="eastAsia" w:ascii="仿宋" w:hAnsi="仿宋" w:eastAsia="仿宋" w:cs="仿宋"/>
          <w:b w:val="0"/>
          <w:color w:val="auto"/>
          <w:sz w:val="21"/>
          <w:szCs w:val="21"/>
          <w:highlight w:val="none"/>
        </w:rPr>
        <w:t>4</w:t>
      </w:r>
      <w:bookmarkStart w:id="227" w:name="_Toc296346555"/>
      <w:bookmarkStart w:id="228" w:name="_Toc296503054"/>
      <w:bookmarkStart w:id="229" w:name="_Toc337558754"/>
      <w:r>
        <w:rPr>
          <w:rFonts w:hint="eastAsia" w:ascii="仿宋" w:hAnsi="仿宋" w:eastAsia="仿宋" w:cs="仿宋"/>
          <w:b w:val="0"/>
          <w:color w:val="auto"/>
          <w:sz w:val="21"/>
          <w:szCs w:val="21"/>
          <w:highlight w:val="none"/>
        </w:rPr>
        <w:t>.1监理人的一般规定</w:t>
      </w:r>
      <w:bookmarkEnd w:id="226"/>
    </w:p>
    <w:bookmarkEnd w:id="227"/>
    <w:bookmarkEnd w:id="228"/>
    <w:bookmarkEnd w:id="229"/>
    <w:p w14:paraId="7F6DF27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7A05C60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除专用合同条款另有约定外，监理人在施工现场的办公场所、生活场所由承包人提供，所发生的费用由发包人承担。</w:t>
      </w:r>
    </w:p>
    <w:p w14:paraId="411B1C48">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230" w:name="_Toc371946036"/>
      <w:r>
        <w:rPr>
          <w:rFonts w:hint="eastAsia" w:ascii="仿宋" w:hAnsi="仿宋" w:eastAsia="仿宋" w:cs="仿宋"/>
          <w:b w:val="0"/>
          <w:color w:val="auto"/>
          <w:sz w:val="21"/>
          <w:szCs w:val="21"/>
          <w:highlight w:val="none"/>
        </w:rPr>
        <w:t>4</w:t>
      </w:r>
      <w:bookmarkStart w:id="231" w:name="_Toc337558755"/>
      <w:r>
        <w:rPr>
          <w:rFonts w:hint="eastAsia" w:ascii="仿宋" w:hAnsi="仿宋" w:eastAsia="仿宋" w:cs="仿宋"/>
          <w:b w:val="0"/>
          <w:color w:val="auto"/>
          <w:sz w:val="21"/>
          <w:szCs w:val="21"/>
          <w:highlight w:val="none"/>
        </w:rPr>
        <w:t>.2监理人员</w:t>
      </w:r>
      <w:bookmarkEnd w:id="230"/>
    </w:p>
    <w:bookmarkEnd w:id="231"/>
    <w:p w14:paraId="56ED18B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授予监理人对工程实施监理的权利由监理人派驻施工现场的监理人员行使，监理人员包括及监理工程师。监理人应将授权的和监理工程师的姓名及授权范围以书面形式提前通知承包人。更换的，监理人应提前7天书面通知承包人；更换其他监理人员，监理人应提前48小时书面通知承包人。</w:t>
      </w:r>
    </w:p>
    <w:p w14:paraId="47C13FE5">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232" w:name="_Toc371946037"/>
      <w:r>
        <w:rPr>
          <w:rFonts w:hint="eastAsia" w:ascii="仿宋" w:hAnsi="仿宋" w:eastAsia="仿宋" w:cs="仿宋"/>
          <w:b w:val="0"/>
          <w:color w:val="auto"/>
          <w:sz w:val="21"/>
          <w:szCs w:val="21"/>
          <w:highlight w:val="none"/>
        </w:rPr>
        <w:t>4</w:t>
      </w:r>
      <w:bookmarkStart w:id="233" w:name="_Toc296503055"/>
      <w:bookmarkStart w:id="234" w:name="_Toc296346556"/>
      <w:bookmarkStart w:id="235" w:name="_Toc337558756"/>
      <w:r>
        <w:rPr>
          <w:rFonts w:hint="eastAsia" w:ascii="仿宋" w:hAnsi="仿宋" w:eastAsia="仿宋" w:cs="仿宋"/>
          <w:b w:val="0"/>
          <w:color w:val="auto"/>
          <w:sz w:val="21"/>
          <w:szCs w:val="21"/>
          <w:highlight w:val="none"/>
        </w:rPr>
        <w:t>.3</w:t>
      </w:r>
      <w:bookmarkEnd w:id="233"/>
      <w:bookmarkEnd w:id="234"/>
      <w:r>
        <w:rPr>
          <w:rFonts w:hint="eastAsia" w:ascii="仿宋" w:hAnsi="仿宋" w:eastAsia="仿宋" w:cs="仿宋"/>
          <w:b w:val="0"/>
          <w:color w:val="auto"/>
          <w:sz w:val="21"/>
          <w:szCs w:val="21"/>
          <w:highlight w:val="none"/>
        </w:rPr>
        <w:t>监理人的指</w:t>
      </w:r>
      <w:bookmarkEnd w:id="235"/>
      <w:r>
        <w:rPr>
          <w:rFonts w:hint="eastAsia" w:ascii="仿宋" w:hAnsi="仿宋" w:eastAsia="仿宋" w:cs="仿宋"/>
          <w:b w:val="0"/>
          <w:color w:val="auto"/>
          <w:sz w:val="21"/>
          <w:szCs w:val="21"/>
          <w:highlight w:val="none"/>
        </w:rPr>
        <w:t>示</w:t>
      </w:r>
      <w:bookmarkEnd w:id="232"/>
    </w:p>
    <w:p w14:paraId="4ECF1BA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3041503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不应将第4.4款〔商定或确定〕约定应由作出确定的权力授权或委托给其他监理人员。</w:t>
      </w:r>
    </w:p>
    <w:p w14:paraId="19CBB50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承包人对监理人发出的指示有疑问的，应向监理人提出书面异议，监理人应在48小时内对该指示予以确认、更改或撤销，监理人逾期未回复的，承包人有权拒绝执行上述指示。</w:t>
      </w:r>
    </w:p>
    <w:p w14:paraId="128B641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监理人对承包人的任何工作、工程或其采用的材料和工程设备未在约定的或合理期限内提出意见的，视为批准，但不免除或减轻承包人对该工作、工程、材料、工程设备等应承担的责任和义务。</w:t>
      </w:r>
    </w:p>
    <w:p w14:paraId="25B14F59">
      <w:pPr>
        <w:pStyle w:val="5"/>
        <w:spacing w:before="120" w:line="360" w:lineRule="exact"/>
        <w:ind w:firstLine="560" w:firstLineChars="200"/>
        <w:rPr>
          <w:rFonts w:hint="eastAsia" w:ascii="仿宋" w:hAnsi="仿宋" w:eastAsia="仿宋" w:cs="仿宋"/>
          <w:b w:val="0"/>
          <w:color w:val="auto"/>
          <w:highlight w:val="none"/>
        </w:rPr>
      </w:pPr>
      <w:bookmarkStart w:id="236" w:name="_Toc371946038"/>
      <w:r>
        <w:rPr>
          <w:rFonts w:hint="eastAsia" w:ascii="仿宋" w:hAnsi="仿宋" w:eastAsia="仿宋" w:cs="仿宋"/>
          <w:b w:val="0"/>
          <w:color w:val="auto"/>
          <w:szCs w:val="21"/>
          <w:highlight w:val="none"/>
        </w:rPr>
        <w:t>4</w:t>
      </w:r>
      <w:bookmarkStart w:id="237" w:name="_Toc296346558"/>
      <w:bookmarkStart w:id="238" w:name="_Toc337558757"/>
      <w:bookmarkStart w:id="239" w:name="_Toc296503057"/>
      <w:r>
        <w:rPr>
          <w:rFonts w:hint="eastAsia" w:ascii="仿宋" w:hAnsi="仿宋" w:eastAsia="仿宋" w:cs="仿宋"/>
          <w:b w:val="0"/>
          <w:color w:val="auto"/>
          <w:szCs w:val="21"/>
          <w:highlight w:val="none"/>
        </w:rPr>
        <w:t>.4 商定或确定</w:t>
      </w:r>
      <w:bookmarkEnd w:id="236"/>
    </w:p>
    <w:bookmarkEnd w:id="237"/>
    <w:bookmarkEnd w:id="238"/>
    <w:bookmarkEnd w:id="239"/>
    <w:p w14:paraId="34E5524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合同当事人进行商定或确定时，应当会同合同当事人尽量通过协商达成一致，不能达成一致的，由按照合同约定审慎做出公正的确定。</w:t>
      </w:r>
    </w:p>
    <w:p w14:paraId="23961E7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应将确定以书面形式通知发包人和承包人，并附详细依据。合同当事人对的确定没有异议的，按照的确定执行。任何一方合同当事人有异议，按照第20条〔争议解决〕约定处理。争议解决前，合同当事人暂按的确定执行；争议解决后，争议解决的结果与的确定不一致的，按照争议解决的结果执行，由此造成的损失由责任人承担。</w:t>
      </w:r>
    </w:p>
    <w:p w14:paraId="3188DFAF">
      <w:pPr>
        <w:pStyle w:val="5"/>
        <w:spacing w:before="120" w:line="360" w:lineRule="exact"/>
        <w:rPr>
          <w:rFonts w:hint="eastAsia" w:ascii="仿宋" w:hAnsi="仿宋" w:eastAsia="仿宋" w:cs="仿宋"/>
          <w:b w:val="0"/>
          <w:color w:val="auto"/>
          <w:highlight w:val="none"/>
        </w:rPr>
      </w:pPr>
      <w:bookmarkStart w:id="240" w:name="_Toc371946039"/>
      <w:r>
        <w:rPr>
          <w:rFonts w:hint="eastAsia" w:ascii="仿宋" w:hAnsi="仿宋" w:eastAsia="仿宋" w:cs="仿宋"/>
          <w:b w:val="0"/>
          <w:color w:val="auto"/>
          <w:szCs w:val="21"/>
          <w:highlight w:val="none"/>
        </w:rPr>
        <w:t>5</w:t>
      </w:r>
      <w:bookmarkStart w:id="241" w:name="_Toc337558758"/>
      <w:r>
        <w:rPr>
          <w:rFonts w:hint="eastAsia" w:ascii="仿宋" w:hAnsi="仿宋" w:eastAsia="仿宋" w:cs="仿宋"/>
          <w:b w:val="0"/>
          <w:color w:val="auto"/>
          <w:szCs w:val="21"/>
          <w:highlight w:val="none"/>
        </w:rPr>
        <w:t>. 工程质量</w:t>
      </w:r>
      <w:bookmarkEnd w:id="240"/>
    </w:p>
    <w:bookmarkEnd w:id="241"/>
    <w:p w14:paraId="5709A1E9">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242" w:name="_Toc371946040"/>
      <w:r>
        <w:rPr>
          <w:rFonts w:hint="eastAsia" w:ascii="仿宋" w:hAnsi="仿宋" w:eastAsia="仿宋" w:cs="仿宋"/>
          <w:b w:val="0"/>
          <w:color w:val="auto"/>
          <w:sz w:val="21"/>
          <w:szCs w:val="21"/>
          <w:highlight w:val="none"/>
        </w:rPr>
        <w:t>5</w:t>
      </w:r>
      <w:bookmarkStart w:id="243" w:name="_Toc337558759"/>
      <w:r>
        <w:rPr>
          <w:rFonts w:hint="eastAsia" w:ascii="仿宋" w:hAnsi="仿宋" w:eastAsia="仿宋" w:cs="仿宋"/>
          <w:b w:val="0"/>
          <w:color w:val="auto"/>
          <w:sz w:val="21"/>
          <w:szCs w:val="21"/>
          <w:highlight w:val="none"/>
        </w:rPr>
        <w:t>.1质量要求</w:t>
      </w:r>
      <w:bookmarkEnd w:id="242"/>
    </w:p>
    <w:bookmarkEnd w:id="243"/>
    <w:p w14:paraId="718F19D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5.1.1 工程质量标准必须符合现行国家有关工程施工质量验收规范和标准的要求。有关工程质量的特殊标准或要求由合同当事人在专用合同条款中约定。</w:t>
      </w:r>
    </w:p>
    <w:p w14:paraId="7803AA3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5.1.2 因发包人原因造成工程质量未达到合同约定标准的，由发包人承担由此增加的费用和（或）延误的工期，并支付承包人合理的利润。</w:t>
      </w:r>
    </w:p>
    <w:p w14:paraId="3B6D11D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5.1.3 因承包人原因造成工程质量未达到合同约定标准的，发包人有权要求承包人返工直至工程质量达到合同约定的标准为止，并由承包人承担由此增加的费用和（或）延误的工期。</w:t>
      </w:r>
    </w:p>
    <w:p w14:paraId="546EAC9E">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244" w:name="_Toc371946041"/>
      <w:r>
        <w:rPr>
          <w:rFonts w:hint="eastAsia" w:ascii="仿宋" w:hAnsi="仿宋" w:eastAsia="仿宋" w:cs="仿宋"/>
          <w:b w:val="0"/>
          <w:color w:val="auto"/>
          <w:sz w:val="21"/>
          <w:szCs w:val="21"/>
          <w:highlight w:val="none"/>
        </w:rPr>
        <w:t>5</w:t>
      </w:r>
      <w:bookmarkStart w:id="245" w:name="_Toc337558760"/>
      <w:r>
        <w:rPr>
          <w:rFonts w:hint="eastAsia" w:ascii="仿宋" w:hAnsi="仿宋" w:eastAsia="仿宋" w:cs="仿宋"/>
          <w:b w:val="0"/>
          <w:color w:val="auto"/>
          <w:sz w:val="21"/>
          <w:szCs w:val="21"/>
          <w:highlight w:val="none"/>
        </w:rPr>
        <w:t>.2质量保证措施</w:t>
      </w:r>
      <w:bookmarkEnd w:id="244"/>
    </w:p>
    <w:bookmarkEnd w:id="245"/>
    <w:p w14:paraId="6E8FD98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5.2.1 发包人的质量管理</w:t>
      </w:r>
    </w:p>
    <w:p w14:paraId="79B087E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发包人应按照法律规定及合同约定完成与工程质量有关的各项工作。</w:t>
      </w:r>
    </w:p>
    <w:p w14:paraId="37DEA23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5.2.2 承包人的质量管理</w:t>
      </w:r>
    </w:p>
    <w:p w14:paraId="105163C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1F3295F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承包人应对施工人员进行质量教育和技术培训，定期考核施工人员的劳动技能，严格执行施工规范和操作规程。</w:t>
      </w:r>
    </w:p>
    <w:p w14:paraId="1E88F6C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5B02661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5.2.3 监理人的质量检查和检验</w:t>
      </w:r>
    </w:p>
    <w:p w14:paraId="77CF725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1E1B34B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20C5737D">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246" w:name="_Toc371946042"/>
      <w:r>
        <w:rPr>
          <w:rFonts w:hint="eastAsia" w:ascii="仿宋" w:hAnsi="仿宋" w:eastAsia="仿宋" w:cs="仿宋"/>
          <w:b w:val="0"/>
          <w:color w:val="auto"/>
          <w:sz w:val="21"/>
          <w:szCs w:val="21"/>
          <w:highlight w:val="none"/>
        </w:rPr>
        <w:t>5</w:t>
      </w:r>
      <w:bookmarkStart w:id="247" w:name="_Toc337558761"/>
      <w:r>
        <w:rPr>
          <w:rFonts w:hint="eastAsia" w:ascii="仿宋" w:hAnsi="仿宋" w:eastAsia="仿宋" w:cs="仿宋"/>
          <w:b w:val="0"/>
          <w:color w:val="auto"/>
          <w:sz w:val="21"/>
          <w:szCs w:val="21"/>
          <w:highlight w:val="none"/>
        </w:rPr>
        <w:t>.3 隐蔽工程检查</w:t>
      </w:r>
      <w:bookmarkEnd w:id="246"/>
    </w:p>
    <w:bookmarkEnd w:id="247"/>
    <w:p w14:paraId="3284B9D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5.3.1承包人自检</w:t>
      </w:r>
    </w:p>
    <w:p w14:paraId="0370FAFD">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承包人应当对工程隐蔽部位进行自检，并经自检确认是否具备覆盖条件。</w:t>
      </w:r>
    </w:p>
    <w:p w14:paraId="4680117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5.3.2检查程序</w:t>
      </w:r>
    </w:p>
    <w:p w14:paraId="0482F28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0A5D97D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7394AFB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314E3CE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5.3.3 重新检查</w:t>
      </w:r>
    </w:p>
    <w:p w14:paraId="4386B52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6D32553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5.3.4 承包人私自覆盖</w:t>
      </w:r>
    </w:p>
    <w:p w14:paraId="0943665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承包人未通知监理人到场检查，私自将工程隐蔽部位覆盖的，监理人有权指示承包人钻孔探测或揭开检查，无论工程隐蔽部位质量是否合格，由此增加的费用和（或）延误的工期均由承包人承担。</w:t>
      </w:r>
    </w:p>
    <w:p w14:paraId="7F8D8D2B">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248" w:name="_Toc371946043"/>
      <w:r>
        <w:rPr>
          <w:rFonts w:hint="eastAsia" w:ascii="仿宋" w:hAnsi="仿宋" w:eastAsia="仿宋" w:cs="仿宋"/>
          <w:b w:val="0"/>
          <w:color w:val="auto"/>
          <w:sz w:val="21"/>
          <w:szCs w:val="21"/>
          <w:highlight w:val="none"/>
        </w:rPr>
        <w:t>5</w:t>
      </w:r>
      <w:bookmarkStart w:id="249" w:name="_Toc337558762"/>
      <w:r>
        <w:rPr>
          <w:rFonts w:hint="eastAsia" w:ascii="仿宋" w:hAnsi="仿宋" w:eastAsia="仿宋" w:cs="仿宋"/>
          <w:b w:val="0"/>
          <w:color w:val="auto"/>
          <w:sz w:val="21"/>
          <w:szCs w:val="21"/>
          <w:highlight w:val="none"/>
        </w:rPr>
        <w:t>.4不合格工程的处理</w:t>
      </w:r>
      <w:bookmarkEnd w:id="248"/>
    </w:p>
    <w:bookmarkEnd w:id="249"/>
    <w:p w14:paraId="22C2E2C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31A5696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5.4.2 因发包人原因造成工程不合格的，由此增加的费用和（或）延误的工期由发包人承担，并支付承包人合理的利润。</w:t>
      </w:r>
    </w:p>
    <w:p w14:paraId="7D623A9E">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250" w:name="_Toc371946044"/>
      <w:r>
        <w:rPr>
          <w:rFonts w:hint="eastAsia" w:ascii="仿宋" w:hAnsi="仿宋" w:eastAsia="仿宋" w:cs="仿宋"/>
          <w:b w:val="0"/>
          <w:color w:val="auto"/>
          <w:sz w:val="21"/>
          <w:szCs w:val="21"/>
          <w:highlight w:val="none"/>
        </w:rPr>
        <w:t>5.5 质量争议检测</w:t>
      </w:r>
      <w:bookmarkEnd w:id="250"/>
    </w:p>
    <w:p w14:paraId="1015F5B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合同当事人对工程质量有争议的，由双方协商确定的工程质量检测机构鉴定，由此产生的费用及因此造成的损失，由责任方承担。</w:t>
      </w:r>
    </w:p>
    <w:p w14:paraId="70EEACFE">
      <w:pPr>
        <w:spacing w:line="360" w:lineRule="exact"/>
        <w:rPr>
          <w:rFonts w:hint="eastAsia" w:ascii="仿宋" w:hAnsi="仿宋" w:eastAsia="仿宋" w:cs="仿宋"/>
          <w:color w:val="auto"/>
          <w:highlight w:val="none"/>
        </w:rPr>
      </w:pPr>
      <w:r>
        <w:rPr>
          <w:rFonts w:hint="eastAsia" w:ascii="仿宋" w:hAnsi="仿宋" w:eastAsia="仿宋" w:cs="仿宋"/>
          <w:color w:val="auto"/>
          <w:highlight w:val="none"/>
        </w:rPr>
        <w:t>合同当事人均有责任的，由双方根据其责任分别承担。合同当事人无法达成一致的，按照第4.4款〔商定或确定〕执行。</w:t>
      </w:r>
    </w:p>
    <w:p w14:paraId="0A254C97">
      <w:pPr>
        <w:pStyle w:val="5"/>
        <w:spacing w:before="120" w:line="360" w:lineRule="exact"/>
        <w:rPr>
          <w:rFonts w:hint="eastAsia" w:ascii="仿宋" w:hAnsi="仿宋" w:eastAsia="仿宋" w:cs="仿宋"/>
          <w:b w:val="0"/>
          <w:color w:val="auto"/>
          <w:highlight w:val="none"/>
        </w:rPr>
      </w:pPr>
      <w:bookmarkStart w:id="251" w:name="_Toc371946045"/>
      <w:r>
        <w:rPr>
          <w:rFonts w:hint="eastAsia" w:ascii="仿宋" w:hAnsi="仿宋" w:eastAsia="仿宋" w:cs="仿宋"/>
          <w:b w:val="0"/>
          <w:color w:val="auto"/>
          <w:szCs w:val="21"/>
          <w:highlight w:val="none"/>
        </w:rPr>
        <w:t>6</w:t>
      </w:r>
      <w:bookmarkStart w:id="252" w:name="_Toc337558763"/>
      <w:r>
        <w:rPr>
          <w:rFonts w:hint="eastAsia" w:ascii="仿宋" w:hAnsi="仿宋" w:eastAsia="仿宋" w:cs="仿宋"/>
          <w:b w:val="0"/>
          <w:color w:val="auto"/>
          <w:szCs w:val="21"/>
          <w:highlight w:val="none"/>
        </w:rPr>
        <w:t>. 安全文明施工与环境保护</w:t>
      </w:r>
      <w:bookmarkEnd w:id="251"/>
    </w:p>
    <w:bookmarkEnd w:id="252"/>
    <w:p w14:paraId="1B5DF4BA">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253" w:name="_Toc371946046"/>
      <w:r>
        <w:rPr>
          <w:rFonts w:hint="eastAsia" w:ascii="仿宋" w:hAnsi="仿宋" w:eastAsia="仿宋" w:cs="仿宋"/>
          <w:b w:val="0"/>
          <w:color w:val="auto"/>
          <w:sz w:val="21"/>
          <w:szCs w:val="21"/>
          <w:highlight w:val="none"/>
        </w:rPr>
        <w:t>6</w:t>
      </w:r>
      <w:bookmarkStart w:id="254" w:name="_Toc337558764"/>
      <w:r>
        <w:rPr>
          <w:rFonts w:hint="eastAsia" w:ascii="仿宋" w:hAnsi="仿宋" w:eastAsia="仿宋" w:cs="仿宋"/>
          <w:b w:val="0"/>
          <w:color w:val="auto"/>
          <w:sz w:val="21"/>
          <w:szCs w:val="21"/>
          <w:highlight w:val="none"/>
        </w:rPr>
        <w:t>.1安全文明施工</w:t>
      </w:r>
      <w:bookmarkEnd w:id="253"/>
    </w:p>
    <w:bookmarkEnd w:id="254"/>
    <w:p w14:paraId="7027E26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6.1.1安全生产要求</w:t>
      </w:r>
    </w:p>
    <w:p w14:paraId="7B07DFC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2171594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在施工过程中，如遇到突发的地质变动、事先未知的地下施工障碍等影响施工安全的紧急情况，承包人应及时报告监理人和发包人，发包人应当及时下令停工并报政府有关行政管理部门采取应急措施。</w:t>
      </w:r>
    </w:p>
    <w:p w14:paraId="7BF8A96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因安全生产需要暂停施工的，按照第7.8款〔暂停施工〕的约定执行。</w:t>
      </w:r>
    </w:p>
    <w:p w14:paraId="50CFCAD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6.1.2 安全生产保证措施</w:t>
      </w:r>
    </w:p>
    <w:p w14:paraId="7854D7D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监理人及政府安全监督部门的检查与监督。</w:t>
      </w:r>
    </w:p>
    <w:p w14:paraId="69F2EDB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6.1.3特别安全生产事项</w:t>
      </w:r>
    </w:p>
    <w:p w14:paraId="451F34A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1D8729D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承包人在动力设备、输电线路、地下管道、密封防震车间、易燃易爆地段以及临街交通要道附近施工时，施工开始前应向发包人和监理人提出安全防护措施，经发包人认可后实施。 </w:t>
      </w:r>
    </w:p>
    <w:p w14:paraId="747ED34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14:paraId="28DD64D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需单独编制危险性较大分部分项专项工程施工方案的，及要求进行专家论证的超过一定规模的危险性较大的分部分项工程，承包人应及时编制和组织论证。</w:t>
      </w:r>
    </w:p>
    <w:p w14:paraId="689CD4E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6.1.4 治安保卫</w:t>
      </w:r>
    </w:p>
    <w:p w14:paraId="0D875C6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除专用合同条款另有约定外，发包人应与当地公安部门协商，在现场建立治安管理机构或联防组织，统一管理施工场地的治安保卫事项，履行合同工程的治安保卫职责。</w:t>
      </w:r>
    </w:p>
    <w:p w14:paraId="0AD4CD9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发包人和承包人除应协助现场治安管理机构或联防组织维护施工场地的社会治安外，还应做好包括生活区在内的各自管辖区的治安保卫工作。</w:t>
      </w:r>
    </w:p>
    <w:p w14:paraId="3C58951D">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0EBCEEF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6.1.5 文明施工</w:t>
      </w:r>
    </w:p>
    <w:p w14:paraId="52F11DA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732157C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790DB00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6.1.6 安全文明施工费</w:t>
      </w:r>
    </w:p>
    <w:p w14:paraId="406BB81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安全文明施工费由发包人承担，发包人不得以任何形式扣减该部分费用。因基准日期后合同所适用的法律或政府有关规定发生变化，增加的安全文明施工费由发包人承担。</w:t>
      </w:r>
    </w:p>
    <w:p w14:paraId="439A91E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559307F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42501DC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2D3D7A4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6.1.7 紧急情况处理</w:t>
      </w:r>
    </w:p>
    <w:p w14:paraId="2993539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5A96678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6.1.8 事故处理</w:t>
      </w:r>
    </w:p>
    <w:p w14:paraId="1B659C0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7A6EB61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6.1.9 安全生产责任</w:t>
      </w:r>
    </w:p>
    <w:p w14:paraId="09DC0F9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6.1.9.1 发包人的安全责任</w:t>
      </w:r>
    </w:p>
    <w:p w14:paraId="4408657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发包人应负责赔偿以下各种情况造成的损失：</w:t>
      </w:r>
    </w:p>
    <w:p w14:paraId="23BA51B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（1）工程或工程的任何部分对土地的占用所造成的第三者财产损失；</w:t>
      </w:r>
    </w:p>
    <w:p w14:paraId="0636C5CD">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（2）由于发包人原因在施工场地及其毗邻地带造成的第三者人身伤亡和财产损失；</w:t>
      </w:r>
    </w:p>
    <w:p w14:paraId="51FF27F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（3）由于发包人原因对承包人、监理人造成的人员人身伤亡和财产损失；</w:t>
      </w:r>
    </w:p>
    <w:p w14:paraId="3E142C2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（4）由于发包人原因造成的发包人自身人员的人身伤害以及财产损失。</w:t>
      </w:r>
    </w:p>
    <w:p w14:paraId="2394061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6.1.9.2 承包人的安全责任</w:t>
      </w:r>
    </w:p>
    <w:p w14:paraId="728A09C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由于承包人原因在施工场地内及其毗邻地带造成的发包人、监理人以及第三者人员伤亡和财产损失，由承包人负责赔偿。</w:t>
      </w:r>
    </w:p>
    <w:p w14:paraId="62835869">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255" w:name="_Toc371946047"/>
      <w:r>
        <w:rPr>
          <w:rFonts w:hint="eastAsia" w:ascii="仿宋" w:hAnsi="仿宋" w:eastAsia="仿宋" w:cs="仿宋"/>
          <w:b w:val="0"/>
          <w:color w:val="auto"/>
          <w:sz w:val="21"/>
          <w:szCs w:val="21"/>
          <w:highlight w:val="none"/>
        </w:rPr>
        <w:t>6</w:t>
      </w:r>
      <w:bookmarkStart w:id="256" w:name="_Toc337558765"/>
      <w:r>
        <w:rPr>
          <w:rFonts w:hint="eastAsia" w:ascii="仿宋" w:hAnsi="仿宋" w:eastAsia="仿宋" w:cs="仿宋"/>
          <w:b w:val="0"/>
          <w:color w:val="auto"/>
          <w:sz w:val="21"/>
          <w:szCs w:val="21"/>
          <w:highlight w:val="none"/>
        </w:rPr>
        <w:t>.2 职业健康</w:t>
      </w:r>
      <w:bookmarkEnd w:id="255"/>
    </w:p>
    <w:bookmarkEnd w:id="256"/>
    <w:p w14:paraId="62A0862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6.2.1 劳动保护</w:t>
      </w:r>
    </w:p>
    <w:p w14:paraId="647840C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5F720D0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2B99D33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承包人应按法律规定安排工作时间，保证其雇佣人员享有休息和休假的权利。因工程施工的特殊需要占用休假日或延长工作时间的，应不超过法律规定的限度，并按法律规定给予补休或付酬。</w:t>
      </w:r>
    </w:p>
    <w:p w14:paraId="5C2F00E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6.2.2 生活条件</w:t>
      </w:r>
    </w:p>
    <w:p w14:paraId="0DF8CA9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35C97CC3">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257" w:name="_Toc371946048"/>
      <w:r>
        <w:rPr>
          <w:rFonts w:hint="eastAsia" w:ascii="仿宋" w:hAnsi="仿宋" w:eastAsia="仿宋" w:cs="仿宋"/>
          <w:b w:val="0"/>
          <w:color w:val="auto"/>
          <w:sz w:val="21"/>
          <w:szCs w:val="21"/>
          <w:highlight w:val="none"/>
        </w:rPr>
        <w:t>6</w:t>
      </w:r>
      <w:bookmarkStart w:id="258" w:name="_Toc337558766"/>
      <w:r>
        <w:rPr>
          <w:rFonts w:hint="eastAsia" w:ascii="仿宋" w:hAnsi="仿宋" w:eastAsia="仿宋" w:cs="仿宋"/>
          <w:b w:val="0"/>
          <w:color w:val="auto"/>
          <w:sz w:val="21"/>
          <w:szCs w:val="21"/>
          <w:highlight w:val="none"/>
        </w:rPr>
        <w:t>.3 环境保护</w:t>
      </w:r>
      <w:bookmarkEnd w:id="257"/>
    </w:p>
    <w:bookmarkEnd w:id="258"/>
    <w:p w14:paraId="6DE3FFF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565C6BC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承包人应当承担因其原因引起的环境污染侵权损害赔偿责任，因上述环境污染引起纠纷而导致暂停施工的，由此增加的费用和（或）延误的工期由承包人承担。</w:t>
      </w:r>
    </w:p>
    <w:p w14:paraId="4E0BE5E3">
      <w:pPr>
        <w:pStyle w:val="5"/>
        <w:spacing w:before="120" w:line="360" w:lineRule="exact"/>
        <w:rPr>
          <w:rFonts w:hint="eastAsia" w:ascii="仿宋" w:hAnsi="仿宋" w:eastAsia="仿宋" w:cs="仿宋"/>
          <w:b w:val="0"/>
          <w:color w:val="auto"/>
          <w:highlight w:val="none"/>
        </w:rPr>
      </w:pPr>
      <w:bookmarkStart w:id="259" w:name="_Toc371946049"/>
      <w:r>
        <w:rPr>
          <w:rFonts w:hint="eastAsia" w:ascii="仿宋" w:hAnsi="仿宋" w:eastAsia="仿宋" w:cs="仿宋"/>
          <w:b w:val="0"/>
          <w:color w:val="auto"/>
          <w:szCs w:val="21"/>
          <w:highlight w:val="none"/>
        </w:rPr>
        <w:t>7</w:t>
      </w:r>
      <w:bookmarkStart w:id="260" w:name="_Toc337558767"/>
      <w:r>
        <w:rPr>
          <w:rFonts w:hint="eastAsia" w:ascii="仿宋" w:hAnsi="仿宋" w:eastAsia="仿宋" w:cs="仿宋"/>
          <w:b w:val="0"/>
          <w:color w:val="auto"/>
          <w:szCs w:val="21"/>
          <w:highlight w:val="none"/>
        </w:rPr>
        <w:t>. 工期和进度</w:t>
      </w:r>
      <w:bookmarkEnd w:id="259"/>
    </w:p>
    <w:bookmarkEnd w:id="260"/>
    <w:p w14:paraId="4C51E602">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261" w:name="_Toc371946050"/>
      <w:r>
        <w:rPr>
          <w:rFonts w:hint="eastAsia" w:ascii="仿宋" w:hAnsi="仿宋" w:eastAsia="仿宋" w:cs="仿宋"/>
          <w:b w:val="0"/>
          <w:color w:val="auto"/>
          <w:sz w:val="21"/>
          <w:szCs w:val="21"/>
          <w:highlight w:val="none"/>
        </w:rPr>
        <w:t>7</w:t>
      </w:r>
      <w:bookmarkStart w:id="262" w:name="_Toc337558768"/>
      <w:bookmarkStart w:id="263" w:name="_Toc296503066"/>
      <w:bookmarkStart w:id="264" w:name="_Toc296346567"/>
      <w:r>
        <w:rPr>
          <w:rFonts w:hint="eastAsia" w:ascii="仿宋" w:hAnsi="仿宋" w:eastAsia="仿宋" w:cs="仿宋"/>
          <w:b w:val="0"/>
          <w:color w:val="auto"/>
          <w:sz w:val="21"/>
          <w:szCs w:val="21"/>
          <w:highlight w:val="none"/>
        </w:rPr>
        <w:t>.1施工组织设计</w:t>
      </w:r>
      <w:bookmarkEnd w:id="261"/>
    </w:p>
    <w:bookmarkEnd w:id="262"/>
    <w:p w14:paraId="31A24D6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7.1.1 施工组织设计的内容</w:t>
      </w:r>
    </w:p>
    <w:p w14:paraId="59A1DA9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施工组织设计应包含以下内容：</w:t>
      </w:r>
    </w:p>
    <w:p w14:paraId="6851BAC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（1）施工方案； </w:t>
      </w:r>
    </w:p>
    <w:p w14:paraId="55A2622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（2）施工现场平面布置图；</w:t>
      </w:r>
    </w:p>
    <w:p w14:paraId="6D73A9D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（3）施工进度计划和保证措施； </w:t>
      </w:r>
    </w:p>
    <w:p w14:paraId="38EB0A8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（4）劳动力及材料供应计划；</w:t>
      </w:r>
    </w:p>
    <w:p w14:paraId="59253ED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（5）施工机械设备的选用；</w:t>
      </w:r>
    </w:p>
    <w:p w14:paraId="513F355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（6）质量保证体系及措施；</w:t>
      </w:r>
    </w:p>
    <w:p w14:paraId="57D5387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（7）安全生产、文明施工措施；</w:t>
      </w:r>
    </w:p>
    <w:p w14:paraId="320908E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（8）环境保护、成本控制措施；</w:t>
      </w:r>
    </w:p>
    <w:p w14:paraId="38395B9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（9）合同当事人约定的其他内容。</w:t>
      </w:r>
    </w:p>
    <w:p w14:paraId="0F686AB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7.1.2 施工组织设计的提交和修改</w:t>
      </w:r>
    </w:p>
    <w:p w14:paraId="05B93E5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4BB652B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施工进度计划的编制和修改按照第7.2款〔施工进度计划〕执行。</w:t>
      </w:r>
    </w:p>
    <w:p w14:paraId="659BC9CF">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265" w:name="_Toc371946051"/>
      <w:r>
        <w:rPr>
          <w:rFonts w:hint="eastAsia" w:ascii="仿宋" w:hAnsi="仿宋" w:eastAsia="仿宋" w:cs="仿宋"/>
          <w:b w:val="0"/>
          <w:color w:val="auto"/>
          <w:sz w:val="21"/>
          <w:szCs w:val="21"/>
          <w:highlight w:val="none"/>
        </w:rPr>
        <w:t>7</w:t>
      </w:r>
      <w:bookmarkStart w:id="266" w:name="_Toc337558769"/>
      <w:r>
        <w:rPr>
          <w:rFonts w:hint="eastAsia" w:ascii="仿宋" w:hAnsi="仿宋" w:eastAsia="仿宋" w:cs="仿宋"/>
          <w:b w:val="0"/>
          <w:color w:val="auto"/>
          <w:sz w:val="21"/>
          <w:szCs w:val="21"/>
          <w:highlight w:val="none"/>
        </w:rPr>
        <w:t>.2 施工进度计划</w:t>
      </w:r>
      <w:bookmarkEnd w:id="265"/>
    </w:p>
    <w:bookmarkEnd w:id="266"/>
    <w:p w14:paraId="72A9E68D">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7.2.1 施工进度计划的编制</w:t>
      </w:r>
    </w:p>
    <w:p w14:paraId="4D8A759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5C4F391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7.2.2 施工进度计划的修订</w:t>
      </w:r>
    </w:p>
    <w:p w14:paraId="405E4B2D">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5CD655F8">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267" w:name="_Toc371946052"/>
      <w:r>
        <w:rPr>
          <w:rFonts w:hint="eastAsia" w:ascii="仿宋" w:hAnsi="仿宋" w:eastAsia="仿宋" w:cs="仿宋"/>
          <w:b w:val="0"/>
          <w:color w:val="auto"/>
          <w:sz w:val="21"/>
          <w:szCs w:val="21"/>
          <w:highlight w:val="none"/>
        </w:rPr>
        <w:t>7</w:t>
      </w:r>
      <w:bookmarkStart w:id="268" w:name="_Toc337558770"/>
      <w:r>
        <w:rPr>
          <w:rFonts w:hint="eastAsia" w:ascii="仿宋" w:hAnsi="仿宋" w:eastAsia="仿宋" w:cs="仿宋"/>
          <w:b w:val="0"/>
          <w:color w:val="auto"/>
          <w:sz w:val="21"/>
          <w:szCs w:val="21"/>
          <w:highlight w:val="none"/>
        </w:rPr>
        <w:t>.3 开工</w:t>
      </w:r>
      <w:bookmarkEnd w:id="267"/>
    </w:p>
    <w:p w14:paraId="655E136D">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7.3.1 开工准备</w:t>
      </w:r>
    </w:p>
    <w:p w14:paraId="6EC1A3B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5CA42F3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除专用合同条款另有约定外，合同当事人应按约定完成开工准备工作。</w:t>
      </w:r>
    </w:p>
    <w:p w14:paraId="38E7AD0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7.3.2 开工通知</w:t>
      </w:r>
    </w:p>
    <w:bookmarkEnd w:id="268"/>
    <w:p w14:paraId="20DB45C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732CB34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1F996582">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269" w:name="_Toc371946053"/>
      <w:r>
        <w:rPr>
          <w:rFonts w:hint="eastAsia" w:ascii="仿宋" w:hAnsi="仿宋" w:eastAsia="仿宋" w:cs="仿宋"/>
          <w:b w:val="0"/>
          <w:color w:val="auto"/>
          <w:sz w:val="21"/>
          <w:szCs w:val="21"/>
          <w:highlight w:val="none"/>
        </w:rPr>
        <w:t>7.4测量放线</w:t>
      </w:r>
      <w:bookmarkEnd w:id="269"/>
    </w:p>
    <w:p w14:paraId="3C449B7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744A562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64BC516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41F79EF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施工过程中对施工现场内水准点等测量标志物的保护工作由承包人负责。</w:t>
      </w:r>
    </w:p>
    <w:p w14:paraId="5085ED76">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270" w:name="_Toc371946054"/>
      <w:r>
        <w:rPr>
          <w:rFonts w:hint="eastAsia" w:ascii="仿宋" w:hAnsi="仿宋" w:eastAsia="仿宋" w:cs="仿宋"/>
          <w:b w:val="0"/>
          <w:color w:val="auto"/>
          <w:sz w:val="21"/>
          <w:szCs w:val="21"/>
          <w:highlight w:val="none"/>
        </w:rPr>
        <w:t>7</w:t>
      </w:r>
      <w:bookmarkEnd w:id="263"/>
      <w:bookmarkEnd w:id="264"/>
      <w:bookmarkStart w:id="271" w:name="_Toc296346574"/>
      <w:bookmarkStart w:id="272" w:name="_Toc337558772"/>
      <w:bookmarkStart w:id="273" w:name="_Toc296503073"/>
      <w:r>
        <w:rPr>
          <w:rFonts w:hint="eastAsia" w:ascii="仿宋" w:hAnsi="仿宋" w:eastAsia="仿宋" w:cs="仿宋"/>
          <w:b w:val="0"/>
          <w:color w:val="auto"/>
          <w:sz w:val="21"/>
          <w:szCs w:val="21"/>
          <w:highlight w:val="none"/>
        </w:rPr>
        <w:t>.5工期延误</w:t>
      </w:r>
      <w:bookmarkEnd w:id="270"/>
    </w:p>
    <w:bookmarkEnd w:id="271"/>
    <w:bookmarkEnd w:id="272"/>
    <w:bookmarkEnd w:id="273"/>
    <w:p w14:paraId="486BFB1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7.5.1 因发包人原因导致工期延误</w:t>
      </w:r>
    </w:p>
    <w:p w14:paraId="670CE73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专用条款约定。</w:t>
      </w:r>
    </w:p>
    <w:p w14:paraId="2DCB1AC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7.5.2 因承包人原因导致工期延误</w:t>
      </w:r>
    </w:p>
    <w:p w14:paraId="07DAC3EA">
      <w:pPr>
        <w:spacing w:line="360" w:lineRule="exact"/>
        <w:ind w:firstLine="420" w:firstLineChars="200"/>
        <w:rPr>
          <w:rFonts w:hint="eastAsia" w:ascii="仿宋" w:hAnsi="仿宋" w:eastAsia="仿宋" w:cs="仿宋"/>
          <w:color w:val="auto"/>
          <w:highlight w:val="none"/>
        </w:rPr>
      </w:pPr>
      <w:bookmarkStart w:id="274" w:name="_Toc296346577"/>
      <w:bookmarkStart w:id="275" w:name="_Toc296503076"/>
      <w:r>
        <w:rPr>
          <w:rFonts w:hint="eastAsia" w:ascii="仿宋" w:hAnsi="仿宋" w:eastAsia="仿宋" w:cs="仿宋"/>
          <w:color w:val="auto"/>
          <w:highlight w:val="none"/>
        </w:rPr>
        <w:t>因</w:t>
      </w:r>
      <w:bookmarkEnd w:id="274"/>
      <w:bookmarkEnd w:id="275"/>
      <w:r>
        <w:rPr>
          <w:rFonts w:hint="eastAsia" w:ascii="仿宋" w:hAnsi="仿宋" w:eastAsia="仿宋" w:cs="仿宋"/>
          <w:color w:val="auto"/>
          <w:highlight w:val="none"/>
        </w:rPr>
        <w:t>承包人原因造成工期延误的，可以在专用合同条款中约定逾期竣工违约金的计算方法和逾期竣工违约金的上限。承包人支付逾期竣工违约金后，不免除承包人继续完成工程及修补缺陷的义务。</w:t>
      </w:r>
    </w:p>
    <w:p w14:paraId="7ECB1C84">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276" w:name="_Toc371946055"/>
      <w:r>
        <w:rPr>
          <w:rFonts w:hint="eastAsia" w:ascii="仿宋" w:hAnsi="仿宋" w:eastAsia="仿宋" w:cs="仿宋"/>
          <w:b w:val="0"/>
          <w:color w:val="auto"/>
          <w:sz w:val="21"/>
          <w:szCs w:val="21"/>
          <w:highlight w:val="none"/>
        </w:rPr>
        <w:t>7</w:t>
      </w:r>
      <w:bookmarkStart w:id="277" w:name="_Toc296346575"/>
      <w:bookmarkStart w:id="278" w:name="_Toc337558773"/>
      <w:bookmarkStart w:id="279" w:name="_Toc296503074"/>
      <w:bookmarkStart w:id="280" w:name="_Toc296346578"/>
      <w:bookmarkStart w:id="281" w:name="_Toc296503077"/>
      <w:r>
        <w:rPr>
          <w:rFonts w:hint="eastAsia" w:ascii="仿宋" w:hAnsi="仿宋" w:eastAsia="仿宋" w:cs="仿宋"/>
          <w:b w:val="0"/>
          <w:color w:val="auto"/>
          <w:sz w:val="21"/>
          <w:szCs w:val="21"/>
          <w:highlight w:val="none"/>
        </w:rPr>
        <w:t>.6 不利物质条件</w:t>
      </w:r>
      <w:bookmarkEnd w:id="276"/>
    </w:p>
    <w:bookmarkEnd w:id="277"/>
    <w:bookmarkEnd w:id="278"/>
    <w:bookmarkEnd w:id="279"/>
    <w:p w14:paraId="65FA38F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0417F43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14:paraId="25F242FF">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282" w:name="_Toc371946056"/>
      <w:r>
        <w:rPr>
          <w:rFonts w:hint="eastAsia" w:ascii="仿宋" w:hAnsi="仿宋" w:eastAsia="仿宋" w:cs="仿宋"/>
          <w:b w:val="0"/>
          <w:color w:val="auto"/>
          <w:sz w:val="21"/>
          <w:szCs w:val="21"/>
          <w:highlight w:val="none"/>
        </w:rPr>
        <w:t>7</w:t>
      </w:r>
      <w:bookmarkStart w:id="283" w:name="_Toc296346576"/>
      <w:bookmarkStart w:id="284" w:name="_Toc296503075"/>
      <w:bookmarkStart w:id="285" w:name="_Toc337558774"/>
      <w:r>
        <w:rPr>
          <w:rFonts w:hint="eastAsia" w:ascii="仿宋" w:hAnsi="仿宋" w:eastAsia="仿宋" w:cs="仿宋"/>
          <w:b w:val="0"/>
          <w:color w:val="auto"/>
          <w:sz w:val="21"/>
          <w:szCs w:val="21"/>
          <w:highlight w:val="none"/>
        </w:rPr>
        <w:t>.7异常恶劣的气候条件</w:t>
      </w:r>
      <w:bookmarkEnd w:id="282"/>
    </w:p>
    <w:bookmarkEnd w:id="283"/>
    <w:bookmarkEnd w:id="284"/>
    <w:bookmarkEnd w:id="285"/>
    <w:p w14:paraId="6CED27F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2DA37D2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p>
    <w:p w14:paraId="055F88E9">
      <w:pPr>
        <w:spacing w:line="360" w:lineRule="exact"/>
        <w:ind w:firstLine="420" w:firstLineChars="200"/>
        <w:rPr>
          <w:rFonts w:hint="eastAsia" w:ascii="仿宋" w:hAnsi="仿宋" w:eastAsia="仿宋" w:cs="仿宋"/>
          <w:bCs/>
          <w:color w:val="auto"/>
          <w:highlight w:val="none"/>
        </w:rPr>
      </w:pPr>
      <w:r>
        <w:rPr>
          <w:rFonts w:hint="eastAsia" w:ascii="仿宋" w:hAnsi="仿宋" w:eastAsia="仿宋" w:cs="仿宋"/>
          <w:bCs/>
          <w:color w:val="auto"/>
          <w:highlight w:val="none"/>
        </w:rPr>
        <w:t>7</w:t>
      </w:r>
      <w:bookmarkStart w:id="286" w:name="_Toc337558775"/>
      <w:r>
        <w:rPr>
          <w:rFonts w:hint="eastAsia" w:ascii="仿宋" w:hAnsi="仿宋" w:eastAsia="仿宋" w:cs="仿宋"/>
          <w:bCs/>
          <w:color w:val="auto"/>
          <w:highlight w:val="none"/>
        </w:rPr>
        <w:t>.8暂停施工</w:t>
      </w:r>
    </w:p>
    <w:bookmarkEnd w:id="280"/>
    <w:bookmarkEnd w:id="281"/>
    <w:bookmarkEnd w:id="286"/>
    <w:p w14:paraId="4C32104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7.8.1发包人原因引起的暂停施工</w:t>
      </w:r>
    </w:p>
    <w:p w14:paraId="69D8860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因发包人原因引起暂停施工的，监理人经发包人同意后，应及时下达暂停施工指示。情况紧急且监理人未及时下达暂停施工指示的，按照第7.8.4项〔紧急情况下的暂停施工〕执行。</w:t>
      </w:r>
    </w:p>
    <w:p w14:paraId="2C1DE77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因发包人原因引起的暂停施工，发包人应承担由此增加的费用和（或）延误的工期，并支付承包人合理的利润。</w:t>
      </w:r>
    </w:p>
    <w:p w14:paraId="7ECDF63D">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7.8.2 承包人原因引起的暂停施工</w:t>
      </w:r>
    </w:p>
    <w:p w14:paraId="0BEE04C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6F79FA9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7.8.3 指示暂停施工</w:t>
      </w:r>
    </w:p>
    <w:p w14:paraId="7C8C402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监理人认为有必要时，并经发包人批准后，可向承包人作出暂停施工的指示，承包人应按监理人指示暂停施工。</w:t>
      </w:r>
    </w:p>
    <w:p w14:paraId="74FB6EC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7.8.4 紧急情况下的暂停施工</w:t>
      </w:r>
    </w:p>
    <w:p w14:paraId="7B7FA63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1DF6FC0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7.8.5 暂停施工后的复工</w:t>
      </w:r>
    </w:p>
    <w:p w14:paraId="2499F9D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7857526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承包人无故拖延和拒绝复工的，承包人承担由此增加的费用和（或）延误的工期；因发包人原因无法按时复工的，按照第7.5.1项〔因发包人原因导致工期延误〕约定办理。</w:t>
      </w:r>
    </w:p>
    <w:p w14:paraId="1318072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7.8.6 暂停施工持续56天以上</w:t>
      </w:r>
    </w:p>
    <w:p w14:paraId="2435577E">
      <w:pPr>
        <w:spacing w:line="360" w:lineRule="exact"/>
        <w:ind w:firstLine="409" w:firstLineChars="195"/>
        <w:rPr>
          <w:rFonts w:hint="eastAsia" w:ascii="仿宋" w:hAnsi="仿宋" w:eastAsia="仿宋" w:cs="仿宋"/>
          <w:color w:val="auto"/>
          <w:highlight w:val="none"/>
        </w:rPr>
      </w:pPr>
      <w:r>
        <w:rPr>
          <w:rFonts w:hint="eastAsia" w:ascii="仿宋" w:hAnsi="仿宋" w:eastAsia="仿宋" w:cs="仿宋"/>
          <w:color w:val="auto"/>
          <w:highlight w:val="none"/>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1BC6727E">
      <w:pPr>
        <w:spacing w:line="360" w:lineRule="exact"/>
        <w:ind w:firstLine="409" w:firstLineChars="195"/>
        <w:rPr>
          <w:rFonts w:hint="eastAsia" w:ascii="仿宋" w:hAnsi="仿宋" w:eastAsia="仿宋" w:cs="仿宋"/>
          <w:color w:val="auto"/>
          <w:highlight w:val="none"/>
        </w:rPr>
      </w:pPr>
      <w:r>
        <w:rPr>
          <w:rFonts w:hint="eastAsia" w:ascii="仿宋" w:hAnsi="仿宋" w:eastAsia="仿宋" w:cs="仿宋"/>
          <w:color w:val="auto"/>
          <w:highlight w:val="none"/>
        </w:rPr>
        <w:t>暂停施工持续84天以上不复工的，且不属于第7.8.2项〔承包人原因引起的暂停施工〕及第17条〔不可抗力〕约定的情形，并影响到整个工程以及合同目的实现的，承包人有权提出价格调整要求，或者解除合同。解除合同的。</w:t>
      </w:r>
    </w:p>
    <w:p w14:paraId="63ABF99C">
      <w:pPr>
        <w:spacing w:line="360" w:lineRule="exact"/>
        <w:ind w:left="16" w:firstLine="409" w:firstLineChars="195"/>
        <w:rPr>
          <w:rFonts w:hint="eastAsia" w:ascii="仿宋" w:hAnsi="仿宋" w:eastAsia="仿宋" w:cs="仿宋"/>
          <w:color w:val="auto"/>
          <w:highlight w:val="none"/>
        </w:rPr>
      </w:pPr>
      <w:r>
        <w:rPr>
          <w:rFonts w:hint="eastAsia" w:ascii="仿宋" w:hAnsi="仿宋" w:eastAsia="仿宋" w:cs="仿宋"/>
          <w:color w:val="auto"/>
          <w:highlight w:val="none"/>
        </w:rPr>
        <w:t>7.8.7 暂停施工期间的工程照管</w:t>
      </w:r>
    </w:p>
    <w:p w14:paraId="13BC116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暂停施工期间，承包人应负责妥善照管工程并提供安全保障，由此增加的费用由责任方承担。</w:t>
      </w:r>
    </w:p>
    <w:p w14:paraId="1921F33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7.8.8 暂停施工的措施</w:t>
      </w:r>
    </w:p>
    <w:p w14:paraId="6CEB0F9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暂停施工期间，发包人和承包人均应采取必要的措施确保工程质量及安全，防止因暂停施工扩大损失。</w:t>
      </w:r>
    </w:p>
    <w:p w14:paraId="67217D24">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287" w:name="_Toc371946057"/>
      <w:r>
        <w:rPr>
          <w:rFonts w:hint="eastAsia" w:ascii="仿宋" w:hAnsi="仿宋" w:eastAsia="仿宋" w:cs="仿宋"/>
          <w:b w:val="0"/>
          <w:color w:val="auto"/>
          <w:sz w:val="21"/>
          <w:szCs w:val="21"/>
          <w:highlight w:val="none"/>
        </w:rPr>
        <w:t>7.9提前竣工</w:t>
      </w:r>
      <w:bookmarkEnd w:id="287"/>
    </w:p>
    <w:p w14:paraId="2A50FB2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5C941E5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7.9.2 发包人要求承包人提前竣工，或承包人提出提前竣工的建议能够给发包人带来效益的，合同当事人可以在专用合同条款中约定提前竣工的奖励。</w:t>
      </w:r>
    </w:p>
    <w:p w14:paraId="13179CB6">
      <w:pPr>
        <w:pStyle w:val="5"/>
        <w:spacing w:before="120" w:line="360" w:lineRule="exact"/>
        <w:rPr>
          <w:rFonts w:hint="eastAsia" w:ascii="仿宋" w:hAnsi="仿宋" w:eastAsia="仿宋" w:cs="仿宋"/>
          <w:b w:val="0"/>
          <w:color w:val="auto"/>
          <w:highlight w:val="none"/>
        </w:rPr>
      </w:pPr>
      <w:bookmarkStart w:id="288" w:name="_Toc371946058"/>
      <w:r>
        <w:rPr>
          <w:rFonts w:hint="eastAsia" w:ascii="仿宋" w:hAnsi="仿宋" w:eastAsia="仿宋" w:cs="仿宋"/>
          <w:b w:val="0"/>
          <w:color w:val="auto"/>
          <w:szCs w:val="21"/>
          <w:highlight w:val="none"/>
        </w:rPr>
        <w:t>8</w:t>
      </w:r>
      <w:bookmarkStart w:id="289" w:name="_Toc337558776"/>
      <w:bookmarkStart w:id="290" w:name="_Toc296346559"/>
      <w:bookmarkStart w:id="291" w:name="_Toc296503058"/>
      <w:r>
        <w:rPr>
          <w:rFonts w:hint="eastAsia" w:ascii="仿宋" w:hAnsi="仿宋" w:eastAsia="仿宋" w:cs="仿宋"/>
          <w:b w:val="0"/>
          <w:color w:val="auto"/>
          <w:szCs w:val="21"/>
          <w:highlight w:val="none"/>
        </w:rPr>
        <w:t>. 材料与设备</w:t>
      </w:r>
      <w:bookmarkEnd w:id="288"/>
    </w:p>
    <w:bookmarkEnd w:id="289"/>
    <w:bookmarkEnd w:id="290"/>
    <w:bookmarkEnd w:id="291"/>
    <w:p w14:paraId="2E1D7A73">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292" w:name="_Toc371946059"/>
      <w:r>
        <w:rPr>
          <w:rFonts w:hint="eastAsia" w:ascii="仿宋" w:hAnsi="仿宋" w:eastAsia="仿宋" w:cs="仿宋"/>
          <w:b w:val="0"/>
          <w:color w:val="auto"/>
          <w:sz w:val="21"/>
          <w:szCs w:val="21"/>
          <w:highlight w:val="none"/>
        </w:rPr>
        <w:t>8</w:t>
      </w:r>
      <w:bookmarkStart w:id="293" w:name="_Toc296346560"/>
      <w:bookmarkStart w:id="294" w:name="_Toc337558777"/>
      <w:bookmarkStart w:id="295" w:name="_Toc296503059"/>
      <w:bookmarkStart w:id="296" w:name="_Toc468936960"/>
      <w:r>
        <w:rPr>
          <w:rFonts w:hint="eastAsia" w:ascii="仿宋" w:hAnsi="仿宋" w:eastAsia="仿宋" w:cs="仿宋"/>
          <w:b w:val="0"/>
          <w:color w:val="auto"/>
          <w:sz w:val="21"/>
          <w:szCs w:val="21"/>
          <w:highlight w:val="none"/>
        </w:rPr>
        <w:t>.1发包人供应材料与工程设备</w:t>
      </w:r>
      <w:bookmarkEnd w:id="292"/>
    </w:p>
    <w:bookmarkEnd w:id="293"/>
    <w:bookmarkEnd w:id="294"/>
    <w:bookmarkEnd w:id="295"/>
    <w:p w14:paraId="56C277B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发包人自行供应材料、工程设备的，应在签订合同时在专用合同条款的附件《发包人供应材料设备一览表》中明确材料、工程设备的品种、规格、型号、数量、单价、质量等级和送达地点。</w:t>
      </w:r>
    </w:p>
    <w:p w14:paraId="1B57593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14:paraId="5AEC1F17">
      <w:pPr>
        <w:pStyle w:val="6"/>
        <w:spacing w:before="120" w:after="120" w:line="360" w:lineRule="exact"/>
        <w:ind w:firstLine="420" w:firstLineChars="200"/>
        <w:rPr>
          <w:rFonts w:hint="eastAsia" w:ascii="仿宋" w:hAnsi="仿宋" w:eastAsia="仿宋" w:cs="仿宋"/>
          <w:color w:val="auto"/>
          <w:sz w:val="21"/>
          <w:szCs w:val="21"/>
          <w:highlight w:val="none"/>
        </w:rPr>
      </w:pPr>
      <w:bookmarkStart w:id="297" w:name="_Toc371946060"/>
      <w:r>
        <w:rPr>
          <w:rFonts w:hint="eastAsia" w:ascii="仿宋" w:hAnsi="仿宋" w:eastAsia="仿宋" w:cs="仿宋"/>
          <w:b w:val="0"/>
          <w:color w:val="auto"/>
          <w:sz w:val="21"/>
          <w:szCs w:val="21"/>
          <w:highlight w:val="none"/>
        </w:rPr>
        <w:t>8</w:t>
      </w:r>
      <w:bookmarkStart w:id="298" w:name="_Toc296346561"/>
      <w:bookmarkStart w:id="299" w:name="_Toc337558778"/>
      <w:bookmarkStart w:id="300" w:name="_Toc296503060"/>
      <w:r>
        <w:rPr>
          <w:rFonts w:hint="eastAsia" w:ascii="仿宋" w:hAnsi="仿宋" w:eastAsia="仿宋" w:cs="仿宋"/>
          <w:b w:val="0"/>
          <w:color w:val="auto"/>
          <w:sz w:val="21"/>
          <w:szCs w:val="21"/>
          <w:highlight w:val="none"/>
        </w:rPr>
        <w:t>.2承包人采购材料与工程设备</w:t>
      </w:r>
      <w:bookmarkEnd w:id="297"/>
    </w:p>
    <w:bookmarkEnd w:id="298"/>
    <w:bookmarkEnd w:id="299"/>
    <w:bookmarkEnd w:id="300"/>
    <w:p w14:paraId="069A7E4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46FB1098">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301" w:name="_Toc371946061"/>
      <w:r>
        <w:rPr>
          <w:rFonts w:hint="eastAsia" w:ascii="仿宋" w:hAnsi="仿宋" w:eastAsia="仿宋" w:cs="仿宋"/>
          <w:b w:val="0"/>
          <w:color w:val="auto"/>
          <w:sz w:val="21"/>
          <w:szCs w:val="21"/>
          <w:highlight w:val="none"/>
        </w:rPr>
        <w:t>8</w:t>
      </w:r>
      <w:bookmarkStart w:id="302" w:name="_Toc296503061"/>
      <w:bookmarkStart w:id="303" w:name="_Toc296346562"/>
      <w:bookmarkStart w:id="304" w:name="_Toc337558779"/>
      <w:r>
        <w:rPr>
          <w:rFonts w:hint="eastAsia" w:ascii="仿宋" w:hAnsi="仿宋" w:eastAsia="仿宋" w:cs="仿宋"/>
          <w:b w:val="0"/>
          <w:color w:val="auto"/>
          <w:sz w:val="21"/>
          <w:szCs w:val="21"/>
          <w:highlight w:val="none"/>
        </w:rPr>
        <w:t>.3材料与工程设备的接收与拒收</w:t>
      </w:r>
      <w:bookmarkEnd w:id="301"/>
    </w:p>
    <w:bookmarkEnd w:id="302"/>
    <w:bookmarkEnd w:id="303"/>
    <w:bookmarkEnd w:id="304"/>
    <w:p w14:paraId="241C415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5A5A91C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发包人提供的材料和工程设备的规格、数量或质量不符合合同约定的，或因发包人原因导致交货日期延误或交货地点变更等情况的，按照第16款〔发包人违约〕约定办理。</w:t>
      </w:r>
    </w:p>
    <w:p w14:paraId="77204D9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8.3.2 承包人采购的材料和工程设备，应保证产品质量合格，承包人应在材料和工程设备到货前24小时通知监理人检验。承</w:t>
      </w:r>
      <w:bookmarkStart w:id="305" w:name="_Toc250655469"/>
      <w:r>
        <w:rPr>
          <w:rFonts w:hint="eastAsia" w:ascii="仿宋" w:hAnsi="仿宋" w:eastAsia="仿宋" w:cs="仿宋"/>
          <w:color w:val="auto"/>
          <w:highlight w:val="none"/>
        </w:rPr>
        <w:t>包人进行永久设备、材料的制造和生产的，应符合相关质量标准，并向监理人提交材料的样本以及有关资料，并应在使用该材料或工程设备之前获得监理人同意。</w:t>
      </w:r>
    </w:p>
    <w:bookmarkEnd w:id="305"/>
    <w:p w14:paraId="0DDA9FF9">
      <w:pPr>
        <w:spacing w:line="360" w:lineRule="exact"/>
        <w:ind w:firstLine="315" w:firstLineChars="150"/>
        <w:rPr>
          <w:rFonts w:hint="eastAsia" w:ascii="仿宋" w:hAnsi="仿宋" w:eastAsia="仿宋" w:cs="仿宋"/>
          <w:color w:val="auto"/>
          <w:highlight w:val="none"/>
        </w:rPr>
      </w:pPr>
      <w:r>
        <w:rPr>
          <w:rFonts w:hint="eastAsia" w:ascii="仿宋" w:hAnsi="仿宋" w:eastAsia="仿宋" w:cs="仿宋"/>
          <w:color w:val="auto"/>
          <w:highlight w:val="none"/>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069BF0A3">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306" w:name="_Toc371946062"/>
      <w:r>
        <w:rPr>
          <w:rFonts w:hint="eastAsia" w:ascii="仿宋" w:hAnsi="仿宋" w:eastAsia="仿宋" w:cs="仿宋"/>
          <w:b w:val="0"/>
          <w:color w:val="auto"/>
          <w:sz w:val="21"/>
          <w:szCs w:val="21"/>
          <w:highlight w:val="none"/>
        </w:rPr>
        <w:t>8</w:t>
      </w:r>
      <w:bookmarkStart w:id="307" w:name="_Toc296503062"/>
      <w:bookmarkStart w:id="308" w:name="_Toc337558780"/>
      <w:bookmarkStart w:id="309" w:name="_Toc296346563"/>
      <w:r>
        <w:rPr>
          <w:rFonts w:hint="eastAsia" w:ascii="仿宋" w:hAnsi="仿宋" w:eastAsia="仿宋" w:cs="仿宋"/>
          <w:b w:val="0"/>
          <w:color w:val="auto"/>
          <w:sz w:val="21"/>
          <w:szCs w:val="21"/>
          <w:highlight w:val="none"/>
        </w:rPr>
        <w:t>.4材料与工程设备的保管与使用</w:t>
      </w:r>
      <w:bookmarkEnd w:id="306"/>
    </w:p>
    <w:bookmarkEnd w:id="307"/>
    <w:bookmarkEnd w:id="308"/>
    <w:bookmarkEnd w:id="309"/>
    <w:p w14:paraId="2FF6229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8.4.1 发包人供应材料与工程设备的保管与使用</w:t>
      </w:r>
    </w:p>
    <w:p w14:paraId="043B3B3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5F1E212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发包人供应的材料和工程设备使用前，由承包人负责检验，检验费用由发包人承担，不合格的不得使用。</w:t>
      </w:r>
    </w:p>
    <w:p w14:paraId="414B308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8.4.2 承包人采购材料与工程设备的保管与使用</w:t>
      </w:r>
    </w:p>
    <w:p w14:paraId="0C3BC30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220EC24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发包人或监理人发现承包人使用不符合设计或有关标准要求的材料和工程设备时，有权要求承包人进行修复、拆除或重新采购，由此增加的费用和（或）延误的工期，由承包人承担。</w:t>
      </w:r>
    </w:p>
    <w:p w14:paraId="52D7C220">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310" w:name="_Toc371946063"/>
      <w:r>
        <w:rPr>
          <w:rFonts w:hint="eastAsia" w:ascii="仿宋" w:hAnsi="仿宋" w:eastAsia="仿宋" w:cs="仿宋"/>
          <w:b w:val="0"/>
          <w:color w:val="auto"/>
          <w:sz w:val="21"/>
          <w:szCs w:val="21"/>
          <w:highlight w:val="none"/>
        </w:rPr>
        <w:t>8.5禁止使用不合格的材料和工程设备</w:t>
      </w:r>
      <w:bookmarkEnd w:id="310"/>
    </w:p>
    <w:p w14:paraId="27AE723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8.5.1 监理人有权拒绝承包人提供的不合格材料或工程设备，并要求承包人立即进行更换。监理人应在更换后再次进行检查和检验，由此增加的费用和（或）延误的工期由承包人承担。</w:t>
      </w:r>
    </w:p>
    <w:p w14:paraId="0B461F2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8.5.2 监理人发现承包人使用了不合格的材料和工程设备，承包人应按照监理人的指示立即改正，并禁止在工程中继续使用不合格的材料和工程设备。</w:t>
      </w:r>
    </w:p>
    <w:p w14:paraId="3CC9E2E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8.5.3 发包人提供的材料或工程设备不符合合同要求的，承包人有权拒绝，并可要求发包人更换，由此增加的费用和（或）延误的工期由发包人承担，并支付承包人合理的利润。</w:t>
      </w:r>
    </w:p>
    <w:p w14:paraId="25431AD5">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311" w:name="_Toc371946064"/>
      <w:r>
        <w:rPr>
          <w:rFonts w:hint="eastAsia" w:ascii="仿宋" w:hAnsi="仿宋" w:eastAsia="仿宋" w:cs="仿宋"/>
          <w:b w:val="0"/>
          <w:color w:val="auto"/>
          <w:sz w:val="21"/>
          <w:szCs w:val="21"/>
          <w:highlight w:val="none"/>
        </w:rPr>
        <w:t>8.6 样品</w:t>
      </w:r>
      <w:bookmarkEnd w:id="311"/>
    </w:p>
    <w:p w14:paraId="11C508D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8.6.1</w:t>
      </w:r>
      <w:r>
        <w:rPr>
          <w:rFonts w:hint="eastAsia" w:ascii="仿宋" w:hAnsi="仿宋" w:eastAsia="仿宋" w:cs="仿宋"/>
          <w:color w:val="auto"/>
          <w:highlight w:val="none"/>
        </w:rPr>
        <w:tab/>
      </w:r>
      <w:r>
        <w:rPr>
          <w:rFonts w:hint="eastAsia" w:ascii="仿宋" w:hAnsi="仿宋" w:eastAsia="仿宋" w:cs="仿宋"/>
          <w:color w:val="auto"/>
          <w:highlight w:val="none"/>
        </w:rPr>
        <w:t>样品的报送与封存</w:t>
      </w:r>
    </w:p>
    <w:p w14:paraId="36B077A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需要承包人报送样品的材料或工程设备，样品的种类、名称、规格、数量等要求均应在专用合同条款中约定。样品的报送程序如下：</w:t>
      </w:r>
    </w:p>
    <w:p w14:paraId="02F96B9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4BCDE56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79B788F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（3）经发包人和监理人审批确认的样品应按约定的方法封样，封存的样品作为检验工程相关部分的标准之一。承包人在施工过程中不得使用与样品不符的材料或工程设备。</w:t>
      </w:r>
    </w:p>
    <w:p w14:paraId="5794795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178953B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8.6.2 样品的保管</w:t>
      </w:r>
    </w:p>
    <w:p w14:paraId="1F10290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经批准的样品应由监理人负责封存于现场，承包人应在现场为保存样品提供适当和固定的场所并保持适当和良好的存储环境条件。</w:t>
      </w:r>
    </w:p>
    <w:p w14:paraId="14985D02">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312" w:name="_Toc371946065"/>
      <w:r>
        <w:rPr>
          <w:rFonts w:hint="eastAsia" w:ascii="仿宋" w:hAnsi="仿宋" w:eastAsia="仿宋" w:cs="仿宋"/>
          <w:b w:val="0"/>
          <w:color w:val="auto"/>
          <w:sz w:val="21"/>
          <w:szCs w:val="21"/>
          <w:highlight w:val="none"/>
        </w:rPr>
        <w:t>8.7材料与工程设备的替代</w:t>
      </w:r>
      <w:bookmarkEnd w:id="312"/>
    </w:p>
    <w:p w14:paraId="6E69564D">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8.7.1 出现下列情况需要使用替代材料和工程设备的，承包人应按照第8.7.2项约定的程序执行：</w:t>
      </w:r>
    </w:p>
    <w:p w14:paraId="7E7D0FF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（1）基准日期后生效的法律规定禁止使用的；</w:t>
      </w:r>
    </w:p>
    <w:p w14:paraId="0E4A283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（2）发包人要求使用替代品的；</w:t>
      </w:r>
    </w:p>
    <w:p w14:paraId="63B351A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（3）因其他原因必须使用替代品的。</w:t>
      </w:r>
    </w:p>
    <w:p w14:paraId="5F8844E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8.7.2 承包人应在使用替代材料和工程设备28天前书面通知监理人，并附下列文件：</w:t>
      </w:r>
    </w:p>
    <w:p w14:paraId="5B5D598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（1）被替代的材料和工程设备的名称、数量、规格、型号、品牌、性能、价格及其他相关资料；</w:t>
      </w:r>
    </w:p>
    <w:p w14:paraId="60CE5D4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（2）替代品的名称、数量、规格、型号、品牌、性能、价格及其他相关资料；</w:t>
      </w:r>
    </w:p>
    <w:p w14:paraId="4BC4D65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（3）替代品与被替代产品之间的差异以及使用替代品可能对工程产生的影响；</w:t>
      </w:r>
    </w:p>
    <w:p w14:paraId="4FB0343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（4）替代品与被替代产品的价格差异；</w:t>
      </w:r>
    </w:p>
    <w:p w14:paraId="745EC61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（5）使用替代品的理由和原因说明；</w:t>
      </w:r>
    </w:p>
    <w:p w14:paraId="4AAFFA5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（6）监理人要求的其他文件。</w:t>
      </w:r>
    </w:p>
    <w:p w14:paraId="21AB0C7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监理人应在收到通知后14天内向承包人发出经发包人签认的书面指示；监理人逾期发出书面指示的，视为发包人和监理人同意使用替代品。</w:t>
      </w:r>
    </w:p>
    <w:p w14:paraId="4BF42F2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14:paraId="6F2D123F">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313" w:name="_Toc371946066"/>
      <w:r>
        <w:rPr>
          <w:rFonts w:hint="eastAsia" w:ascii="仿宋" w:hAnsi="仿宋" w:eastAsia="仿宋" w:cs="仿宋"/>
          <w:b w:val="0"/>
          <w:color w:val="auto"/>
          <w:sz w:val="21"/>
          <w:szCs w:val="21"/>
          <w:highlight w:val="none"/>
        </w:rPr>
        <w:t>8.8施工设备和临时设施</w:t>
      </w:r>
      <w:bookmarkEnd w:id="313"/>
    </w:p>
    <w:p w14:paraId="42EA3E2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8.8.1 承包人提供的施工设备和临时设施</w:t>
      </w:r>
    </w:p>
    <w:p w14:paraId="2025D09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承包人应按合同进度计划的要求，及时配置施工设备和修建临时设施。进入施工场地的承包人设备需经监理人核查后才能投入使用。承包人更换合同约定的承包人设备的，应报监理人批准。</w:t>
      </w:r>
    </w:p>
    <w:p w14:paraId="394AF1B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除专用合同条款另有约定外，承包人应自行承担修建临时设施的费用，需要临时占地的，应由发包人办理申请手续并承担相应费用。</w:t>
      </w:r>
    </w:p>
    <w:p w14:paraId="0A28755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8.8.2发包人提供的施工设备和临时设施</w:t>
      </w:r>
    </w:p>
    <w:p w14:paraId="37E4C88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发包人提供的施工设备或临时设施在专用合同条款中约定。</w:t>
      </w:r>
    </w:p>
    <w:p w14:paraId="5FEF1F6D">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8.8.3要求承包人增加或更换施工设备</w:t>
      </w:r>
    </w:p>
    <w:p w14:paraId="618FC9BD">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承包人使用的施工设备不能满足合同进度计划和（或）质量要求时，监理人有权要求承包人增加或更换施工设备，承包人应及时增加或更换，由此增加的费用和（或）延误的工期由承包人承担。</w:t>
      </w:r>
    </w:p>
    <w:p w14:paraId="200DE855">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314" w:name="_Toc371946067"/>
      <w:r>
        <w:rPr>
          <w:rFonts w:hint="eastAsia" w:ascii="仿宋" w:hAnsi="仿宋" w:eastAsia="仿宋" w:cs="仿宋"/>
          <w:b w:val="0"/>
          <w:color w:val="auto"/>
          <w:sz w:val="21"/>
          <w:szCs w:val="21"/>
          <w:highlight w:val="none"/>
        </w:rPr>
        <w:t>8</w:t>
      </w:r>
      <w:bookmarkStart w:id="315" w:name="_Toc337558781"/>
      <w:bookmarkStart w:id="316" w:name="_Toc296503063"/>
      <w:bookmarkStart w:id="317" w:name="_Toc296346564"/>
      <w:r>
        <w:rPr>
          <w:rFonts w:hint="eastAsia" w:ascii="仿宋" w:hAnsi="仿宋" w:eastAsia="仿宋" w:cs="仿宋"/>
          <w:b w:val="0"/>
          <w:color w:val="auto"/>
          <w:sz w:val="21"/>
          <w:szCs w:val="21"/>
          <w:highlight w:val="none"/>
        </w:rPr>
        <w:t>.9材料与设备专用要求</w:t>
      </w:r>
      <w:bookmarkEnd w:id="314"/>
    </w:p>
    <w:bookmarkEnd w:id="315"/>
    <w:bookmarkEnd w:id="316"/>
    <w:bookmarkEnd w:id="317"/>
    <w:p w14:paraId="407D62A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承包人运入施工现场的材料、工程设备、施工设备以及在施工场地建设的临时设施，包括备品备件、安装工具与资料，必须专用于工程。未经发包人批准，承包人不得运出施工现场或挪作他用；</w:t>
      </w:r>
      <w:bookmarkEnd w:id="296"/>
      <w:r>
        <w:rPr>
          <w:rFonts w:hint="eastAsia" w:ascii="仿宋" w:hAnsi="仿宋" w:eastAsia="仿宋" w:cs="仿宋"/>
          <w:color w:val="auto"/>
          <w:highlight w:val="none"/>
        </w:rPr>
        <w:t>经发包人批准，承包人可以根据施工进度计划撤走闲置的施工设备和其他物品。</w:t>
      </w:r>
    </w:p>
    <w:p w14:paraId="1B5FB9DB">
      <w:pPr>
        <w:pStyle w:val="5"/>
        <w:spacing w:before="120" w:line="360" w:lineRule="exact"/>
        <w:rPr>
          <w:rFonts w:hint="eastAsia" w:ascii="仿宋" w:hAnsi="仿宋" w:eastAsia="仿宋" w:cs="仿宋"/>
          <w:b w:val="0"/>
          <w:color w:val="auto"/>
          <w:highlight w:val="none"/>
        </w:rPr>
      </w:pPr>
      <w:bookmarkStart w:id="318" w:name="_Toc371946068"/>
      <w:r>
        <w:rPr>
          <w:rFonts w:hint="eastAsia" w:ascii="仿宋" w:hAnsi="仿宋" w:eastAsia="仿宋" w:cs="仿宋"/>
          <w:b w:val="0"/>
          <w:color w:val="auto"/>
          <w:szCs w:val="21"/>
          <w:highlight w:val="none"/>
        </w:rPr>
        <w:t>9</w:t>
      </w:r>
      <w:bookmarkStart w:id="319" w:name="_Toc337558782"/>
      <w:bookmarkStart w:id="320" w:name="_Toc296503083"/>
      <w:bookmarkStart w:id="321" w:name="_Toc296346584"/>
      <w:r>
        <w:rPr>
          <w:rFonts w:hint="eastAsia" w:ascii="仿宋" w:hAnsi="仿宋" w:eastAsia="仿宋" w:cs="仿宋"/>
          <w:b w:val="0"/>
          <w:color w:val="auto"/>
          <w:szCs w:val="21"/>
          <w:highlight w:val="none"/>
        </w:rPr>
        <w:t>. 试验与检验</w:t>
      </w:r>
      <w:bookmarkEnd w:id="318"/>
    </w:p>
    <w:bookmarkEnd w:id="319"/>
    <w:p w14:paraId="59AA5152">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322" w:name="_Toc371946069"/>
      <w:r>
        <w:rPr>
          <w:rFonts w:hint="eastAsia" w:ascii="仿宋" w:hAnsi="仿宋" w:eastAsia="仿宋" w:cs="仿宋"/>
          <w:b w:val="0"/>
          <w:color w:val="auto"/>
          <w:sz w:val="21"/>
          <w:szCs w:val="21"/>
          <w:highlight w:val="none"/>
        </w:rPr>
        <w:t>9</w:t>
      </w:r>
      <w:bookmarkStart w:id="323" w:name="_Toc337558783"/>
      <w:r>
        <w:rPr>
          <w:rFonts w:hint="eastAsia" w:ascii="仿宋" w:hAnsi="仿宋" w:eastAsia="仿宋" w:cs="仿宋"/>
          <w:b w:val="0"/>
          <w:color w:val="auto"/>
          <w:sz w:val="21"/>
          <w:szCs w:val="21"/>
          <w:highlight w:val="none"/>
        </w:rPr>
        <w:t>.1试验设备与试验人员</w:t>
      </w:r>
      <w:bookmarkEnd w:id="322"/>
    </w:p>
    <w:bookmarkEnd w:id="323"/>
    <w:p w14:paraId="18B2B93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690224A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9.1.2 承包人应按专用合同条款的约定提供试验设备、取样装置、试验场所和试验条件，并向监理人提交相应进场计划表。</w:t>
      </w:r>
    </w:p>
    <w:p w14:paraId="136A61C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承包人配置的试验设备要符合相应试验规程的要求并经过具有资质的检测单位检测，且在正式使用该试验设备前，需要经过监理人与承包人共同校定。</w:t>
      </w:r>
    </w:p>
    <w:p w14:paraId="6E043E9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9.1.3 承包人应向监理人提交试验人员的名单及其岗位、资格等证明资料，试验人员必须能够熟练进行相应的检测试验，承包人对试验人员的试验程序和试验结果的正确性负责。</w:t>
      </w:r>
    </w:p>
    <w:p w14:paraId="2958FC72">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324" w:name="_Toc371946070"/>
      <w:r>
        <w:rPr>
          <w:rFonts w:hint="eastAsia" w:ascii="仿宋" w:hAnsi="仿宋" w:eastAsia="仿宋" w:cs="仿宋"/>
          <w:b w:val="0"/>
          <w:color w:val="auto"/>
          <w:sz w:val="21"/>
          <w:szCs w:val="21"/>
          <w:highlight w:val="none"/>
        </w:rPr>
        <w:t>9</w:t>
      </w:r>
      <w:bookmarkStart w:id="325" w:name="_Toc337558784"/>
      <w:r>
        <w:rPr>
          <w:rFonts w:hint="eastAsia" w:ascii="仿宋" w:hAnsi="仿宋" w:eastAsia="仿宋" w:cs="仿宋"/>
          <w:b w:val="0"/>
          <w:color w:val="auto"/>
          <w:sz w:val="21"/>
          <w:szCs w:val="21"/>
          <w:highlight w:val="none"/>
        </w:rPr>
        <w:t>.2取样</w:t>
      </w:r>
      <w:bookmarkEnd w:id="324"/>
    </w:p>
    <w:bookmarkEnd w:id="325"/>
    <w:p w14:paraId="41E2042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试验属于自检性质的，承包人可以单独取样。试验属于监理人抽检性质的，可由监理人取样，也可由承包人的试验人员在监理人的监督下取样。</w:t>
      </w:r>
    </w:p>
    <w:p w14:paraId="2D0AF990">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326" w:name="_Toc371946071"/>
      <w:r>
        <w:rPr>
          <w:rFonts w:hint="eastAsia" w:ascii="仿宋" w:hAnsi="仿宋" w:eastAsia="仿宋" w:cs="仿宋"/>
          <w:b w:val="0"/>
          <w:color w:val="auto"/>
          <w:sz w:val="21"/>
          <w:szCs w:val="21"/>
          <w:highlight w:val="none"/>
        </w:rPr>
        <w:t>9</w:t>
      </w:r>
      <w:bookmarkStart w:id="327" w:name="_Toc337558785"/>
      <w:r>
        <w:rPr>
          <w:rFonts w:hint="eastAsia" w:ascii="仿宋" w:hAnsi="仿宋" w:eastAsia="仿宋" w:cs="仿宋"/>
          <w:b w:val="0"/>
          <w:color w:val="auto"/>
          <w:sz w:val="21"/>
          <w:szCs w:val="21"/>
          <w:highlight w:val="none"/>
        </w:rPr>
        <w:t>.3材料、工程设备和工程的试验和检验</w:t>
      </w:r>
      <w:bookmarkEnd w:id="326"/>
    </w:p>
    <w:bookmarkEnd w:id="327"/>
    <w:p w14:paraId="2E20FD8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033506A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7A7E279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35EAB4F7">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328" w:name="_Toc371946072"/>
      <w:r>
        <w:rPr>
          <w:rFonts w:hint="eastAsia" w:ascii="仿宋" w:hAnsi="仿宋" w:eastAsia="仿宋" w:cs="仿宋"/>
          <w:b w:val="0"/>
          <w:color w:val="auto"/>
          <w:sz w:val="21"/>
          <w:szCs w:val="21"/>
          <w:highlight w:val="none"/>
        </w:rPr>
        <w:t>9</w:t>
      </w:r>
      <w:bookmarkStart w:id="329" w:name="_Toc337558786"/>
      <w:r>
        <w:rPr>
          <w:rFonts w:hint="eastAsia" w:ascii="仿宋" w:hAnsi="仿宋" w:eastAsia="仿宋" w:cs="仿宋"/>
          <w:b w:val="0"/>
          <w:color w:val="auto"/>
          <w:sz w:val="21"/>
          <w:szCs w:val="21"/>
          <w:highlight w:val="none"/>
        </w:rPr>
        <w:t>.4现场工艺试验</w:t>
      </w:r>
      <w:bookmarkEnd w:id="328"/>
    </w:p>
    <w:bookmarkEnd w:id="329"/>
    <w:p w14:paraId="0B14DA1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承包人应按合同约定或监理人指示进行现场工艺试验。对大型的现场工艺试验，监理人认为必要时，承包人应根据监理人提出的工艺试验要求，编制工艺试验措施计划，报送监理人审查。</w:t>
      </w:r>
    </w:p>
    <w:p w14:paraId="505D880D">
      <w:pPr>
        <w:pStyle w:val="5"/>
        <w:spacing w:before="120" w:line="360" w:lineRule="exact"/>
        <w:rPr>
          <w:rFonts w:hint="eastAsia" w:ascii="仿宋" w:hAnsi="仿宋" w:eastAsia="仿宋" w:cs="仿宋"/>
          <w:b w:val="0"/>
          <w:color w:val="auto"/>
          <w:highlight w:val="none"/>
        </w:rPr>
      </w:pPr>
      <w:bookmarkStart w:id="330" w:name="_Toc371946073"/>
      <w:r>
        <w:rPr>
          <w:rFonts w:hint="eastAsia" w:ascii="仿宋" w:hAnsi="仿宋" w:eastAsia="仿宋" w:cs="仿宋"/>
          <w:b w:val="0"/>
          <w:color w:val="auto"/>
          <w:szCs w:val="21"/>
          <w:highlight w:val="none"/>
        </w:rPr>
        <w:t>1</w:t>
      </w:r>
      <w:bookmarkStart w:id="331" w:name="_Toc337558787"/>
      <w:r>
        <w:rPr>
          <w:rFonts w:hint="eastAsia" w:ascii="仿宋" w:hAnsi="仿宋" w:eastAsia="仿宋" w:cs="仿宋"/>
          <w:b w:val="0"/>
          <w:color w:val="auto"/>
          <w:szCs w:val="21"/>
          <w:highlight w:val="none"/>
        </w:rPr>
        <w:t>0. 变更</w:t>
      </w:r>
      <w:bookmarkEnd w:id="320"/>
      <w:bookmarkEnd w:id="321"/>
      <w:bookmarkEnd w:id="330"/>
    </w:p>
    <w:bookmarkEnd w:id="331"/>
    <w:p w14:paraId="11D645B1">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332" w:name="_Toc371946074"/>
      <w:r>
        <w:rPr>
          <w:rFonts w:hint="eastAsia" w:ascii="仿宋" w:hAnsi="仿宋" w:eastAsia="仿宋" w:cs="仿宋"/>
          <w:b w:val="0"/>
          <w:color w:val="auto"/>
          <w:sz w:val="21"/>
          <w:szCs w:val="21"/>
          <w:highlight w:val="none"/>
        </w:rPr>
        <w:t>1</w:t>
      </w:r>
      <w:bookmarkStart w:id="333" w:name="_Toc296503084"/>
      <w:bookmarkStart w:id="334" w:name="_Toc296346585"/>
      <w:bookmarkStart w:id="335" w:name="_Toc337558788"/>
      <w:r>
        <w:rPr>
          <w:rFonts w:hint="eastAsia" w:ascii="仿宋" w:hAnsi="仿宋" w:eastAsia="仿宋" w:cs="仿宋"/>
          <w:b w:val="0"/>
          <w:color w:val="auto"/>
          <w:sz w:val="21"/>
          <w:szCs w:val="21"/>
          <w:highlight w:val="none"/>
        </w:rPr>
        <w:t>0.1变更的范围</w:t>
      </w:r>
      <w:bookmarkEnd w:id="332"/>
    </w:p>
    <w:bookmarkEnd w:id="333"/>
    <w:bookmarkEnd w:id="334"/>
    <w:bookmarkEnd w:id="335"/>
    <w:p w14:paraId="01682C1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除专用合同条款另有约定外，合同履行过程中发生以下情形的，应按照本条约定进行变更：</w:t>
      </w:r>
    </w:p>
    <w:p w14:paraId="7F133AE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（1）增加或减少合同中任何工作，或追加额外的工作；</w:t>
      </w:r>
    </w:p>
    <w:p w14:paraId="1762A4A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（2）取消合同中任何工作，但转由他人实施的工作除外；</w:t>
      </w:r>
    </w:p>
    <w:p w14:paraId="1E87C14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（3）改变合同中任何工作的质量标准或其他特性；</w:t>
      </w:r>
    </w:p>
    <w:p w14:paraId="470ABA2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（4）改变工程的基线、标高、位置和尺寸；</w:t>
      </w:r>
    </w:p>
    <w:p w14:paraId="7EAE0EA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（5）改变工程的时间安排或实施顺序。</w:t>
      </w:r>
    </w:p>
    <w:p w14:paraId="08737365">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336" w:name="_Toc371946075"/>
      <w:r>
        <w:rPr>
          <w:rFonts w:hint="eastAsia" w:ascii="仿宋" w:hAnsi="仿宋" w:eastAsia="仿宋" w:cs="仿宋"/>
          <w:b w:val="0"/>
          <w:color w:val="auto"/>
          <w:sz w:val="21"/>
          <w:szCs w:val="21"/>
          <w:highlight w:val="none"/>
        </w:rPr>
        <w:t>1</w:t>
      </w:r>
      <w:bookmarkStart w:id="337" w:name="_Toc296503085"/>
      <w:bookmarkStart w:id="338" w:name="_Toc296346586"/>
      <w:bookmarkStart w:id="339" w:name="_Toc337558789"/>
      <w:r>
        <w:rPr>
          <w:rFonts w:hint="eastAsia" w:ascii="仿宋" w:hAnsi="仿宋" w:eastAsia="仿宋" w:cs="仿宋"/>
          <w:b w:val="0"/>
          <w:color w:val="auto"/>
          <w:sz w:val="21"/>
          <w:szCs w:val="21"/>
          <w:highlight w:val="none"/>
        </w:rPr>
        <w:t>0.2变更权</w:t>
      </w:r>
      <w:bookmarkEnd w:id="336"/>
    </w:p>
    <w:bookmarkEnd w:id="337"/>
    <w:bookmarkEnd w:id="338"/>
    <w:bookmarkEnd w:id="339"/>
    <w:p w14:paraId="191AA10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7213B3DD">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涉及设计变更的，应由设计人提供变更后的图纸和说明。如变更超过原设计标准或批准的建设规模时，发包人应及时办理规划、设计变更等审批手续。</w:t>
      </w:r>
    </w:p>
    <w:p w14:paraId="6ACFBDD3">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340" w:name="_Toc371946076"/>
      <w:r>
        <w:rPr>
          <w:rFonts w:hint="eastAsia" w:ascii="仿宋" w:hAnsi="仿宋" w:eastAsia="仿宋" w:cs="仿宋"/>
          <w:b w:val="0"/>
          <w:color w:val="auto"/>
          <w:sz w:val="21"/>
          <w:szCs w:val="21"/>
          <w:highlight w:val="none"/>
        </w:rPr>
        <w:t>1</w:t>
      </w:r>
      <w:bookmarkStart w:id="341" w:name="_Toc296346587"/>
      <w:bookmarkStart w:id="342" w:name="_Toc296503086"/>
      <w:bookmarkStart w:id="343" w:name="_Toc337558790"/>
      <w:r>
        <w:rPr>
          <w:rFonts w:hint="eastAsia" w:ascii="仿宋" w:hAnsi="仿宋" w:eastAsia="仿宋" w:cs="仿宋"/>
          <w:b w:val="0"/>
          <w:color w:val="auto"/>
          <w:sz w:val="21"/>
          <w:szCs w:val="21"/>
          <w:highlight w:val="none"/>
        </w:rPr>
        <w:t>0.3变更程序</w:t>
      </w:r>
      <w:bookmarkEnd w:id="340"/>
    </w:p>
    <w:bookmarkEnd w:id="341"/>
    <w:bookmarkEnd w:id="342"/>
    <w:bookmarkEnd w:id="343"/>
    <w:p w14:paraId="5EDBE00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10.3.1 发包人提出变更</w:t>
      </w:r>
    </w:p>
    <w:p w14:paraId="4A211BC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发包人提出变更的，应通过监理人向承包人发出变更指示，变更指示应说明计划变更的工程范围和变更的内容。</w:t>
      </w:r>
    </w:p>
    <w:p w14:paraId="06BF27DD">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10.3.2 监理人提出变更建议</w:t>
      </w:r>
    </w:p>
    <w:p w14:paraId="15EDA07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7C4179E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10.3.3 变更执行</w:t>
      </w:r>
    </w:p>
    <w:p w14:paraId="490C0F2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14:paraId="06386342">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344" w:name="_Toc371946077"/>
      <w:r>
        <w:rPr>
          <w:rFonts w:hint="eastAsia" w:ascii="仿宋" w:hAnsi="仿宋" w:eastAsia="仿宋" w:cs="仿宋"/>
          <w:b w:val="0"/>
          <w:color w:val="auto"/>
          <w:sz w:val="21"/>
          <w:szCs w:val="21"/>
          <w:highlight w:val="none"/>
        </w:rPr>
        <w:t>10.4变更估价</w:t>
      </w:r>
      <w:bookmarkEnd w:id="344"/>
    </w:p>
    <w:p w14:paraId="15AF288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10.4.1 变更估价原则</w:t>
      </w:r>
    </w:p>
    <w:p w14:paraId="3F9A206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专用合同条款约定。</w:t>
      </w:r>
    </w:p>
    <w:p w14:paraId="7D9483E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w:t>
      </w:r>
      <w:bookmarkStart w:id="345" w:name="_Toc296346595"/>
      <w:bookmarkStart w:id="346" w:name="_Toc296503094"/>
      <w:bookmarkStart w:id="347" w:name="_Toc337558792"/>
      <w:r>
        <w:rPr>
          <w:rFonts w:hint="eastAsia" w:ascii="仿宋" w:hAnsi="仿宋" w:eastAsia="仿宋" w:cs="仿宋"/>
          <w:color w:val="auto"/>
          <w:highlight w:val="none"/>
        </w:rPr>
        <w:t>0.5承包人的合理化建议</w:t>
      </w:r>
    </w:p>
    <w:bookmarkEnd w:id="345"/>
    <w:bookmarkEnd w:id="346"/>
    <w:bookmarkEnd w:id="347"/>
    <w:p w14:paraId="2B8C801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承包人提出合理化建议的，应向监理人提交合理化建议说明，说明建议的内容和理由，以及实施该建议对合同价格和工期的影响。</w:t>
      </w:r>
    </w:p>
    <w:p w14:paraId="39F69EE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391C50A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合理化建议降低了合同价格或者提高了工程经济效益的，发包人可对承包人给予奖励，奖励的方法和金额在专用合同条款中约定。</w:t>
      </w:r>
    </w:p>
    <w:p w14:paraId="3F6C7B25">
      <w:pPr>
        <w:pStyle w:val="6"/>
        <w:spacing w:before="120" w:after="120" w:line="360" w:lineRule="exact"/>
        <w:ind w:firstLine="420" w:firstLineChars="200"/>
        <w:rPr>
          <w:rFonts w:hint="eastAsia" w:ascii="仿宋" w:hAnsi="仿宋" w:eastAsia="仿宋" w:cs="仿宋"/>
          <w:color w:val="auto"/>
          <w:sz w:val="21"/>
          <w:szCs w:val="21"/>
          <w:highlight w:val="none"/>
        </w:rPr>
      </w:pPr>
      <w:bookmarkStart w:id="348" w:name="_Toc371946078"/>
      <w:r>
        <w:rPr>
          <w:rFonts w:hint="eastAsia" w:ascii="仿宋" w:hAnsi="仿宋" w:eastAsia="仿宋" w:cs="仿宋"/>
          <w:b w:val="0"/>
          <w:color w:val="auto"/>
          <w:sz w:val="21"/>
          <w:szCs w:val="21"/>
          <w:highlight w:val="none"/>
        </w:rPr>
        <w:t>1</w:t>
      </w:r>
      <w:bookmarkStart w:id="349" w:name="_Toc337558793"/>
      <w:r>
        <w:rPr>
          <w:rFonts w:hint="eastAsia" w:ascii="仿宋" w:hAnsi="仿宋" w:eastAsia="仿宋" w:cs="仿宋"/>
          <w:b w:val="0"/>
          <w:color w:val="auto"/>
          <w:sz w:val="21"/>
          <w:szCs w:val="21"/>
          <w:highlight w:val="none"/>
        </w:rPr>
        <w:t>0.6变更引起的工期调整</w:t>
      </w:r>
      <w:bookmarkEnd w:id="348"/>
      <w:bookmarkEnd w:id="349"/>
    </w:p>
    <w:p w14:paraId="013CC14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因变更引起工期变化的，合同当事人均可要求调整合同工期，由合同当事人按照第4.4款〔商定或确定〕并参考工程所在地的工期定额标准确定增减工期天数。</w:t>
      </w:r>
    </w:p>
    <w:p w14:paraId="4F5F1F1A">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350" w:name="_Toc371946079"/>
      <w:r>
        <w:rPr>
          <w:rFonts w:hint="eastAsia" w:ascii="仿宋" w:hAnsi="仿宋" w:eastAsia="仿宋" w:cs="仿宋"/>
          <w:b w:val="0"/>
          <w:color w:val="auto"/>
          <w:sz w:val="21"/>
          <w:szCs w:val="21"/>
          <w:highlight w:val="none"/>
        </w:rPr>
        <w:t>10.7暂估价</w:t>
      </w:r>
      <w:bookmarkEnd w:id="350"/>
    </w:p>
    <w:p w14:paraId="6BB8742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暂估价专业分包工程、服务、材料和工程设备的明细由合同当事人在专用合同条款中约定。</w:t>
      </w:r>
    </w:p>
    <w:p w14:paraId="5ADBA85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10.7.1 依法必须招标的暂估价项目</w:t>
      </w:r>
    </w:p>
    <w:p w14:paraId="63D52EF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对于依法必须招标的暂估价项目，采取以下第1种方式确定。合同当事人也可以在专用合同条款中选择其他招标方式。</w:t>
      </w:r>
    </w:p>
    <w:p w14:paraId="489ED94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第1种方式：对于依法必须招标的暂估价项目，由承包人招标，对该暂估价项目的确认和批准按照以下约定执行：</w:t>
      </w:r>
    </w:p>
    <w:p w14:paraId="4544171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4EA34CC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14:paraId="3A4E0233">
      <w:pPr>
        <w:spacing w:line="360" w:lineRule="exact"/>
        <w:rPr>
          <w:rFonts w:hint="eastAsia" w:ascii="仿宋" w:hAnsi="仿宋" w:eastAsia="仿宋" w:cs="仿宋"/>
          <w:color w:val="auto"/>
          <w:highlight w:val="none"/>
        </w:rPr>
      </w:pPr>
      <w:r>
        <w:rPr>
          <w:rFonts w:hint="eastAsia" w:ascii="仿宋" w:hAnsi="仿宋" w:eastAsia="仿宋" w:cs="仿宋"/>
          <w:color w:val="auto"/>
          <w:highlight w:val="none"/>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066640F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6B4615A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10.7.2不属于依法必须招标的暂估价项目</w:t>
      </w:r>
    </w:p>
    <w:p w14:paraId="514F3E8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除专用合同条款另有约定外，对于不属于依法必须招标的暂估价项目，采取以下第1种方式确定：</w:t>
      </w:r>
    </w:p>
    <w:p w14:paraId="7D93DEB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第1种方式：对于不属于依法必须招标的暂估价项目，按本项约定确认和批准：</w:t>
      </w:r>
    </w:p>
    <w:p w14:paraId="165E2E4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091A02D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（2）发包人认为承包人确定的供应商、分包人无法满足工程质量或合同要求的，发包人可以要求承包人重新确定暂估价项目的供应商、分包人;</w:t>
      </w:r>
    </w:p>
    <w:p w14:paraId="12F5495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（3）承包人应当在签订暂估价合同后7天内，将暂估价合同副本报送发包人留存。</w:t>
      </w:r>
    </w:p>
    <w:p w14:paraId="771CBE9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第2种方式：承包人按照第10.7.1项〔依法必须招标的暂估价项目〕约定的第1种方式确定暂估价项目。</w:t>
      </w:r>
    </w:p>
    <w:p w14:paraId="35DE57D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第3种方式：承包人直接实施的暂估价项目</w:t>
      </w:r>
    </w:p>
    <w:p w14:paraId="27800C0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承包人具备实施暂估价项目的资格和条件的，经发包人和承包人协商一致后，可由承包人自行实施暂估价项目，合同当事人可以在专用合同条款约定具体事项。</w:t>
      </w:r>
    </w:p>
    <w:p w14:paraId="53E30E4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76E9A028">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351" w:name="_Toc371946080"/>
      <w:r>
        <w:rPr>
          <w:rFonts w:hint="eastAsia" w:ascii="仿宋" w:hAnsi="仿宋" w:eastAsia="仿宋" w:cs="仿宋"/>
          <w:b w:val="0"/>
          <w:color w:val="auto"/>
          <w:sz w:val="21"/>
          <w:szCs w:val="21"/>
          <w:highlight w:val="none"/>
        </w:rPr>
        <w:t>1</w:t>
      </w:r>
      <w:bookmarkStart w:id="352" w:name="_Toc337558794"/>
      <w:bookmarkStart w:id="353" w:name="_Toc322522561"/>
      <w:bookmarkStart w:id="354" w:name="_Toc296503090"/>
      <w:bookmarkStart w:id="355" w:name="_Toc296346591"/>
      <w:r>
        <w:rPr>
          <w:rFonts w:hint="eastAsia" w:ascii="仿宋" w:hAnsi="仿宋" w:eastAsia="仿宋" w:cs="仿宋"/>
          <w:b w:val="0"/>
          <w:color w:val="auto"/>
          <w:sz w:val="21"/>
          <w:szCs w:val="21"/>
          <w:highlight w:val="none"/>
        </w:rPr>
        <w:t>0.8暂列金额</w:t>
      </w:r>
      <w:bookmarkEnd w:id="351"/>
    </w:p>
    <w:bookmarkEnd w:id="352"/>
    <w:p w14:paraId="55EF4B1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暂列金额应按照发包人的要求使用，发包人的要求应通过监理人发出。合同当事人可以在专用合同条款中协商确定有关事项。</w:t>
      </w:r>
    </w:p>
    <w:bookmarkEnd w:id="353"/>
    <w:bookmarkEnd w:id="354"/>
    <w:bookmarkEnd w:id="355"/>
    <w:p w14:paraId="185764C1">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356" w:name="_Toc371946081"/>
      <w:r>
        <w:rPr>
          <w:rFonts w:hint="eastAsia" w:ascii="仿宋" w:hAnsi="仿宋" w:eastAsia="仿宋" w:cs="仿宋"/>
          <w:b w:val="0"/>
          <w:color w:val="auto"/>
          <w:sz w:val="21"/>
          <w:szCs w:val="21"/>
          <w:highlight w:val="none"/>
        </w:rPr>
        <w:t>1</w:t>
      </w:r>
      <w:bookmarkStart w:id="357" w:name="_Toc337558796"/>
      <w:bookmarkStart w:id="358" w:name="_Toc296503091"/>
      <w:bookmarkStart w:id="359" w:name="_Toc296346592"/>
      <w:r>
        <w:rPr>
          <w:rFonts w:hint="eastAsia" w:ascii="仿宋" w:hAnsi="仿宋" w:eastAsia="仿宋" w:cs="仿宋"/>
          <w:b w:val="0"/>
          <w:color w:val="auto"/>
          <w:sz w:val="21"/>
          <w:szCs w:val="21"/>
          <w:highlight w:val="none"/>
        </w:rPr>
        <w:t>0.9计日工</w:t>
      </w:r>
      <w:bookmarkEnd w:id="356"/>
      <w:bookmarkEnd w:id="357"/>
      <w:bookmarkEnd w:id="358"/>
      <w:bookmarkEnd w:id="359"/>
    </w:p>
    <w:p w14:paraId="6CC58E5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变更工作的单价。</w:t>
      </w:r>
    </w:p>
    <w:p w14:paraId="48CAC83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采用计日工计价的任何一项工作，承包人应在该项工作实施过程中，每天提交以下报表和有关凭证报送监理人审查：</w:t>
      </w:r>
    </w:p>
    <w:p w14:paraId="404FD0B1">
      <w:pPr>
        <w:spacing w:line="360" w:lineRule="exact"/>
        <w:ind w:firstLine="315" w:firstLineChars="150"/>
        <w:rPr>
          <w:rFonts w:hint="eastAsia" w:ascii="仿宋" w:hAnsi="仿宋" w:eastAsia="仿宋" w:cs="仿宋"/>
          <w:color w:val="auto"/>
          <w:highlight w:val="none"/>
        </w:rPr>
      </w:pPr>
      <w:r>
        <w:rPr>
          <w:rFonts w:hint="eastAsia" w:ascii="仿宋" w:hAnsi="仿宋" w:eastAsia="仿宋" w:cs="仿宋"/>
          <w:color w:val="auto"/>
          <w:highlight w:val="none"/>
        </w:rPr>
        <w:t>（1）工作名称、内容和数量；</w:t>
      </w:r>
    </w:p>
    <w:p w14:paraId="142071F2">
      <w:pPr>
        <w:spacing w:line="360" w:lineRule="exact"/>
        <w:ind w:firstLine="315" w:firstLineChars="150"/>
        <w:rPr>
          <w:rFonts w:hint="eastAsia" w:ascii="仿宋" w:hAnsi="仿宋" w:eastAsia="仿宋" w:cs="仿宋"/>
          <w:color w:val="auto"/>
          <w:highlight w:val="none"/>
        </w:rPr>
      </w:pPr>
      <w:r>
        <w:rPr>
          <w:rFonts w:hint="eastAsia" w:ascii="仿宋" w:hAnsi="仿宋" w:eastAsia="仿宋" w:cs="仿宋"/>
          <w:color w:val="auto"/>
          <w:highlight w:val="none"/>
        </w:rPr>
        <w:t>（2）投入该工作的所有人员的姓名、专业、工种、级别和耗用工时；</w:t>
      </w:r>
    </w:p>
    <w:p w14:paraId="3489CEA1">
      <w:pPr>
        <w:spacing w:line="360" w:lineRule="exact"/>
        <w:ind w:firstLine="315" w:firstLineChars="150"/>
        <w:rPr>
          <w:rFonts w:hint="eastAsia" w:ascii="仿宋" w:hAnsi="仿宋" w:eastAsia="仿宋" w:cs="仿宋"/>
          <w:color w:val="auto"/>
          <w:highlight w:val="none"/>
        </w:rPr>
      </w:pPr>
      <w:r>
        <w:rPr>
          <w:rFonts w:hint="eastAsia" w:ascii="仿宋" w:hAnsi="仿宋" w:eastAsia="仿宋" w:cs="仿宋"/>
          <w:color w:val="auto"/>
          <w:highlight w:val="none"/>
        </w:rPr>
        <w:t>（3）投入该工作的材料类别和数量；</w:t>
      </w:r>
    </w:p>
    <w:p w14:paraId="11C96D67">
      <w:pPr>
        <w:spacing w:line="360" w:lineRule="exact"/>
        <w:ind w:firstLine="315" w:firstLineChars="150"/>
        <w:rPr>
          <w:rFonts w:hint="eastAsia" w:ascii="仿宋" w:hAnsi="仿宋" w:eastAsia="仿宋" w:cs="仿宋"/>
          <w:color w:val="auto"/>
          <w:highlight w:val="none"/>
        </w:rPr>
      </w:pPr>
      <w:r>
        <w:rPr>
          <w:rFonts w:hint="eastAsia" w:ascii="仿宋" w:hAnsi="仿宋" w:eastAsia="仿宋" w:cs="仿宋"/>
          <w:color w:val="auto"/>
          <w:highlight w:val="none"/>
        </w:rPr>
        <w:t>（4）投入该工作的施工设备型号、台数和耗用台时；</w:t>
      </w:r>
    </w:p>
    <w:p w14:paraId="1EBB3E89">
      <w:pPr>
        <w:spacing w:line="360" w:lineRule="exact"/>
        <w:ind w:firstLine="315" w:firstLineChars="150"/>
        <w:rPr>
          <w:rFonts w:hint="eastAsia" w:ascii="仿宋" w:hAnsi="仿宋" w:eastAsia="仿宋" w:cs="仿宋"/>
          <w:color w:val="auto"/>
          <w:highlight w:val="none"/>
        </w:rPr>
      </w:pPr>
      <w:r>
        <w:rPr>
          <w:rFonts w:hint="eastAsia" w:ascii="仿宋" w:hAnsi="仿宋" w:eastAsia="仿宋" w:cs="仿宋"/>
          <w:color w:val="auto"/>
          <w:highlight w:val="none"/>
        </w:rPr>
        <w:t>（5）其他有关资料和凭证。</w:t>
      </w:r>
    </w:p>
    <w:p w14:paraId="3426BBD4">
      <w:pPr>
        <w:spacing w:line="360" w:lineRule="exact"/>
        <w:ind w:firstLine="315" w:firstLineChars="150"/>
        <w:rPr>
          <w:rFonts w:hint="eastAsia" w:ascii="仿宋" w:hAnsi="仿宋" w:eastAsia="仿宋" w:cs="仿宋"/>
          <w:color w:val="auto"/>
          <w:highlight w:val="none"/>
        </w:rPr>
      </w:pPr>
      <w:r>
        <w:rPr>
          <w:rFonts w:hint="eastAsia" w:ascii="仿宋" w:hAnsi="仿宋" w:eastAsia="仿宋" w:cs="仿宋"/>
          <w:color w:val="auto"/>
          <w:highlight w:val="none"/>
        </w:rPr>
        <w:t xml:space="preserve"> 计日工由承包人汇总后，列入最近一期进度付款申请单，由监理人审查并经发包人批准后列入进度付款。</w:t>
      </w:r>
    </w:p>
    <w:p w14:paraId="017209DD">
      <w:pPr>
        <w:pStyle w:val="5"/>
        <w:spacing w:before="120" w:line="360" w:lineRule="exact"/>
        <w:rPr>
          <w:rFonts w:hint="eastAsia" w:ascii="仿宋" w:hAnsi="仿宋" w:eastAsia="仿宋" w:cs="仿宋"/>
          <w:b w:val="0"/>
          <w:color w:val="auto"/>
          <w:highlight w:val="none"/>
        </w:rPr>
      </w:pPr>
      <w:bookmarkStart w:id="360" w:name="_Toc371946082"/>
      <w:r>
        <w:rPr>
          <w:rFonts w:hint="eastAsia" w:ascii="仿宋" w:hAnsi="仿宋" w:eastAsia="仿宋" w:cs="仿宋"/>
          <w:b w:val="0"/>
          <w:color w:val="auto"/>
          <w:szCs w:val="21"/>
          <w:highlight w:val="none"/>
        </w:rPr>
        <w:t>11. 价格调整</w:t>
      </w:r>
      <w:bookmarkEnd w:id="360"/>
    </w:p>
    <w:p w14:paraId="4A8DF511">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361" w:name="_Toc371946083"/>
      <w:bookmarkStart w:id="362" w:name="_Toc296346593"/>
      <w:bookmarkStart w:id="363" w:name="_Toc296503092"/>
      <w:bookmarkStart w:id="364" w:name="_Toc337558797"/>
      <w:r>
        <w:rPr>
          <w:rFonts w:hint="eastAsia" w:ascii="仿宋" w:hAnsi="仿宋" w:eastAsia="仿宋" w:cs="仿宋"/>
          <w:b w:val="0"/>
          <w:color w:val="auto"/>
          <w:sz w:val="21"/>
          <w:szCs w:val="21"/>
          <w:highlight w:val="none"/>
        </w:rPr>
        <w:t>11.1市场价格波动引起的调整</w:t>
      </w:r>
      <w:bookmarkEnd w:id="361"/>
    </w:p>
    <w:bookmarkEnd w:id="362"/>
    <w:bookmarkEnd w:id="363"/>
    <w:bookmarkEnd w:id="364"/>
    <w:p w14:paraId="51079B6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除专用合同条款另有约定外，市场价格波动超过合同当事人约定的范围，合同价格应当调整。合同当事人可以在专用合同条款中约定选择以下一种方式对合同价格进行调整：</w:t>
      </w:r>
    </w:p>
    <w:p w14:paraId="47BC183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第1种方式：采用价格指数进行价格调整。</w:t>
      </w:r>
    </w:p>
    <w:p w14:paraId="3422243E">
      <w:pPr>
        <w:tabs>
          <w:tab w:val="left" w:pos="0"/>
          <w:tab w:val="left" w:pos="360"/>
          <w:tab w:val="left" w:pos="540"/>
        </w:tabs>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（1）价格调整公式</w:t>
      </w:r>
    </w:p>
    <w:p w14:paraId="1346AEB9">
      <w:pPr>
        <w:tabs>
          <w:tab w:val="left" w:pos="0"/>
          <w:tab w:val="left" w:pos="360"/>
          <w:tab w:val="left" w:pos="540"/>
        </w:tabs>
        <w:spacing w:line="60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因人工、材料和设备等价格波动影响合同价格时，根据专用合同条款中约定的数据，按以下公式计算差额并调整合同价格：</w:t>
      </w:r>
    </w:p>
    <w:p w14:paraId="111BAAE3">
      <w:pPr>
        <w:tabs>
          <w:tab w:val="left" w:pos="0"/>
          <w:tab w:val="left" w:pos="360"/>
          <w:tab w:val="left" w:pos="540"/>
        </w:tabs>
        <w:spacing w:line="600" w:lineRule="exact"/>
        <w:ind w:firstLine="420" w:firstLineChars="200"/>
        <w:rPr>
          <w:rFonts w:hint="eastAsia" w:ascii="仿宋" w:hAnsi="仿宋" w:eastAsia="仿宋" w:cs="仿宋"/>
          <w:color w:val="auto"/>
          <w:highlight w:val="none"/>
        </w:rPr>
      </w:pPr>
      <w:r>
        <w:rPr>
          <w:rFonts w:hint="eastAsia" w:ascii="仿宋" w:hAnsi="仿宋" w:eastAsia="仿宋" w:cs="仿宋"/>
          <w:color w:val="auto"/>
          <w:position w:val="-30"/>
          <w:highlight w:val="none"/>
        </w:rPr>
        <w:object>
          <v:shape id="_x0000_i1025" o:spt="75" type="#_x0000_t75" style="height:44.3pt;width:360pt;" o:ole="t" filled="f" o:preferrelative="t" stroked="f" coordsize="21600,21600">
            <v:path/>
            <v:fill on="f" focussize="0,0"/>
            <v:stroke on="f"/>
            <v:imagedata r:id="rId13" o:title=""/>
            <o:lock v:ext="edit" aspectratio="t"/>
            <w10:wrap type="none"/>
            <w10:anchorlock/>
          </v:shape>
          <o:OLEObject Type="Embed" ProgID="Equations" ShapeID="_x0000_i1025" DrawAspect="Content" ObjectID="_1468075725" r:id="rId12">
            <o:LockedField>false</o:LockedField>
          </o:OLEObject>
        </w:object>
      </w:r>
    </w:p>
    <w:p w14:paraId="5F555DE4">
      <w:pPr>
        <w:tabs>
          <w:tab w:val="left" w:pos="0"/>
          <w:tab w:val="left" w:pos="360"/>
          <w:tab w:val="left" w:pos="540"/>
        </w:tabs>
        <w:spacing w:line="600" w:lineRule="exact"/>
        <w:ind w:firstLine="640"/>
        <w:rPr>
          <w:rFonts w:hint="eastAsia" w:ascii="仿宋" w:hAnsi="仿宋" w:eastAsia="仿宋" w:cs="仿宋"/>
          <w:color w:val="auto"/>
          <w:highlight w:val="none"/>
        </w:rPr>
      </w:pPr>
      <w:r>
        <w:rPr>
          <w:rFonts w:hint="eastAsia" w:ascii="仿宋" w:hAnsi="仿宋" w:eastAsia="仿宋" w:cs="仿宋"/>
          <w:color w:val="auto"/>
          <w:highlight w:val="none"/>
        </w:rPr>
        <w:t>公式中：ΔP——需调整的价格差额；</w:t>
      </w:r>
    </w:p>
    <w:p w14:paraId="31DE0629">
      <w:pPr>
        <w:tabs>
          <w:tab w:val="left" w:pos="0"/>
          <w:tab w:val="left" w:pos="360"/>
          <w:tab w:val="left" w:pos="540"/>
        </w:tabs>
        <w:spacing w:line="360" w:lineRule="exact"/>
        <w:ind w:firstLine="1260" w:firstLineChars="600"/>
        <w:rPr>
          <w:rFonts w:hint="eastAsia" w:ascii="仿宋" w:hAnsi="仿宋" w:eastAsia="仿宋" w:cs="仿宋"/>
          <w:color w:val="auto"/>
          <w:highlight w:val="none"/>
        </w:rPr>
      </w:pPr>
      <w:r>
        <w:rPr>
          <w:rFonts w:hint="eastAsia" w:ascii="仿宋" w:hAnsi="仿宋" w:eastAsia="仿宋" w:cs="仿宋"/>
          <w:color w:val="auto"/>
          <w:position w:val="-6"/>
          <w:highlight w:val="none"/>
        </w:rPr>
        <w:object>
          <v:shape id="_x0000_i1026" o:spt="75" type="#_x0000_t75" style="height:18pt;width:18pt;" o:ole="t" filled="f" o:preferrelative="t" stroked="f" coordsize="21600,21600">
            <v:path/>
            <v:fill on="f" focussize="0,0"/>
            <v:stroke on="f"/>
            <v:imagedata r:id="rId15" o:title=""/>
            <o:lock v:ext="edit" aspectratio="t"/>
            <w10:wrap type="none"/>
            <w10:anchorlock/>
          </v:shape>
          <o:OLEObject Type="Embed" ProgID="Equations" ShapeID="_x0000_i1026" DrawAspect="Content" ObjectID="_1468075726" r:id="rId14">
            <o:LockedField>false</o:LockedField>
          </o:OLEObject>
        </w:object>
      </w:r>
      <w:r>
        <w:rPr>
          <w:rFonts w:hint="eastAsia" w:ascii="仿宋" w:hAnsi="仿宋" w:eastAsia="仿宋" w:cs="仿宋"/>
          <w:color w:val="auto"/>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14:paraId="717D507D">
      <w:pPr>
        <w:tabs>
          <w:tab w:val="left" w:pos="0"/>
          <w:tab w:val="left" w:pos="360"/>
          <w:tab w:val="left" w:pos="540"/>
        </w:tabs>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A——定值权重（即不调部分的权重）；</w:t>
      </w:r>
    </w:p>
    <w:p w14:paraId="7667F48E">
      <w:pPr>
        <w:tabs>
          <w:tab w:val="left" w:pos="0"/>
          <w:tab w:val="left" w:pos="360"/>
          <w:tab w:val="left" w:pos="540"/>
        </w:tabs>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position w:val="-10"/>
          <w:highlight w:val="none"/>
        </w:rPr>
        <w:object>
          <v:shape id="_x0000_i1027" o:spt="75" type="#_x0000_t75" style="height:21.75pt;width:101.25pt;" o:ole="t" filled="f" o:preferrelative="t" stroked="f" coordsize="21600,21600">
            <v:path/>
            <v:fill on="f" focussize="0,0"/>
            <v:stroke on="f"/>
            <v:imagedata r:id="rId17" o:title=""/>
            <o:lock v:ext="edit" aspectratio="t"/>
            <w10:wrap type="none"/>
            <w10:anchorlock/>
          </v:shape>
          <o:OLEObject Type="Embed" ProgID="Equations" ShapeID="_x0000_i1027" DrawAspect="Content" ObjectID="_1468075727" r:id="rId16">
            <o:LockedField>false</o:LockedField>
          </o:OLEObject>
        </w:object>
      </w:r>
      <w:r>
        <w:rPr>
          <w:rFonts w:hint="eastAsia" w:ascii="仿宋" w:hAnsi="仿宋" w:eastAsia="仿宋" w:cs="仿宋"/>
          <w:color w:val="auto"/>
          <w:highlight w:val="none"/>
        </w:rPr>
        <w:t>——各可调因子的变值权重（即可调部分的权重），为各可调因子在签约合同价中所占的比例；</w:t>
      </w:r>
    </w:p>
    <w:p w14:paraId="5731B6F7">
      <w:pPr>
        <w:tabs>
          <w:tab w:val="left" w:pos="0"/>
          <w:tab w:val="left" w:pos="360"/>
          <w:tab w:val="left" w:pos="540"/>
        </w:tabs>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position w:val="-10"/>
          <w:highlight w:val="none"/>
        </w:rPr>
        <w:object>
          <v:shape id="_x0000_i1028" o:spt="75" type="#_x0000_t75" style="height:20.25pt;width:102pt;" o:ole="t" filled="f" o:preferrelative="t" stroked="f" coordsize="21600,21600">
            <v:path/>
            <v:fill on="f" focussize="0,0"/>
            <v:stroke on="f"/>
            <v:imagedata r:id="rId19" o:title=""/>
            <o:lock v:ext="edit" aspectratio="t"/>
            <w10:wrap type="none"/>
            <w10:anchorlock/>
          </v:shape>
          <o:OLEObject Type="Embed" ProgID="Equations" ShapeID="_x0000_i1028" DrawAspect="Content" ObjectID="_1468075728" r:id="rId18">
            <o:LockedField>false</o:LockedField>
          </o:OLEObject>
        </w:object>
      </w:r>
      <w:r>
        <w:rPr>
          <w:rFonts w:hint="eastAsia" w:ascii="仿宋" w:hAnsi="仿宋" w:eastAsia="仿宋" w:cs="仿宋"/>
          <w:color w:val="auto"/>
          <w:highlight w:val="none"/>
        </w:rPr>
        <w:t>——各可调因子的现行价格指数，指约定的付款证书相关周期最后一天的前42天的各可调因子的价格指数；</w:t>
      </w:r>
    </w:p>
    <w:p w14:paraId="71926E7F">
      <w:pPr>
        <w:tabs>
          <w:tab w:val="left" w:pos="0"/>
          <w:tab w:val="left" w:pos="360"/>
          <w:tab w:val="left" w:pos="540"/>
        </w:tabs>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position w:val="-10"/>
          <w:highlight w:val="none"/>
        </w:rPr>
        <w:object>
          <v:shape id="_x0000_i1029" o:spt="75" type="#_x0000_t75" style="height:20.25pt;width:107.95pt;" o:ole="t" filled="f" o:preferrelative="t" stroked="f" coordsize="21600,21600">
            <v:path/>
            <v:fill on="f" focussize="0,0"/>
            <v:stroke on="f"/>
            <v:imagedata r:id="rId21" o:title=""/>
            <o:lock v:ext="edit" aspectratio="t"/>
            <w10:wrap type="none"/>
            <w10:anchorlock/>
          </v:shape>
          <o:OLEObject Type="Embed" ProgID="Equations" ShapeID="_x0000_i1029" DrawAspect="Content" ObjectID="_1468075729" r:id="rId20">
            <o:LockedField>false</o:LockedField>
          </o:OLEObject>
        </w:object>
      </w:r>
      <w:r>
        <w:rPr>
          <w:rFonts w:hint="eastAsia" w:ascii="仿宋" w:hAnsi="仿宋" w:eastAsia="仿宋" w:cs="仿宋"/>
          <w:color w:val="auto"/>
          <w:highlight w:val="none"/>
        </w:rPr>
        <w:t>——各可调因子的基本价格指数，指基准日期的各可调因子的价格指数。</w:t>
      </w:r>
    </w:p>
    <w:p w14:paraId="13891197">
      <w:pPr>
        <w:tabs>
          <w:tab w:val="left" w:pos="0"/>
          <w:tab w:val="left" w:pos="360"/>
          <w:tab w:val="left" w:pos="540"/>
        </w:tabs>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3A3BB4BA">
      <w:pPr>
        <w:tabs>
          <w:tab w:val="left" w:pos="0"/>
          <w:tab w:val="left" w:pos="360"/>
          <w:tab w:val="left" w:pos="540"/>
        </w:tabs>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（2）暂时确定调整差额</w:t>
      </w:r>
    </w:p>
    <w:p w14:paraId="4F87A4D7">
      <w:pPr>
        <w:tabs>
          <w:tab w:val="left" w:pos="0"/>
          <w:tab w:val="left" w:pos="360"/>
          <w:tab w:val="left" w:pos="540"/>
        </w:tabs>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在计算调整差额时无现行价格指数的，合同当事人同意暂用前次价格指数计算。实际价格指数有调整的，合同当事人进行相应调整。</w:t>
      </w:r>
    </w:p>
    <w:p w14:paraId="4149FFFF">
      <w:pPr>
        <w:tabs>
          <w:tab w:val="left" w:pos="0"/>
          <w:tab w:val="left" w:pos="360"/>
          <w:tab w:val="left" w:pos="540"/>
        </w:tabs>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（3）权重的调整</w:t>
      </w:r>
    </w:p>
    <w:p w14:paraId="5A27E9D4">
      <w:pPr>
        <w:tabs>
          <w:tab w:val="left" w:pos="0"/>
          <w:tab w:val="left" w:pos="360"/>
          <w:tab w:val="left" w:pos="540"/>
        </w:tabs>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因变更导致合同约定的权重不合理时，按照第4.4款〔商定或确定〕执行。</w:t>
      </w:r>
    </w:p>
    <w:p w14:paraId="46AD46E4">
      <w:pPr>
        <w:tabs>
          <w:tab w:val="left" w:pos="0"/>
          <w:tab w:val="left" w:pos="360"/>
          <w:tab w:val="left" w:pos="540"/>
        </w:tabs>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（4）因承包人原因工期延误后的价格调整</w:t>
      </w:r>
    </w:p>
    <w:p w14:paraId="265124CF">
      <w:pPr>
        <w:tabs>
          <w:tab w:val="left" w:pos="0"/>
          <w:tab w:val="left" w:pos="360"/>
          <w:tab w:val="left" w:pos="540"/>
        </w:tabs>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因承包人原因未按期竣工的，对合同约定的竣工日期后继续施工的工程，在使用价格调整公式时，应采用计划竣工日期与实际竣工日期的两个价格指数中较低的一个作为现行价格指数。</w:t>
      </w:r>
    </w:p>
    <w:p w14:paraId="50BDC25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第2种方式：采用造价信息进行价格调整。</w:t>
      </w:r>
    </w:p>
    <w:p w14:paraId="5A2189A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6F096E5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6112352D">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（2）材料、工程设备价格变化的价款调整按照发包人提供的基准价格，按以下风险范围规定执行:</w:t>
      </w:r>
    </w:p>
    <w:p w14:paraId="250D64F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654BEAE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7D42351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③承包人在已标价工程量清单或预算书中载明材料单价等于基准价格的：除专用合同条款另有约定外，合同履行期间材料单价涨跌幅以基准价格为基础超过±5%时，其超过部分据实调整。</w:t>
      </w:r>
    </w:p>
    <w:p w14:paraId="08EECAB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446C9A9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前述基准价格是指由发包人在招标文件或专用合同条款中给定的材料、工程设备的价格，该价格原则上应当按照省级或行业建设主管部门或其授权的工程造价管理机构发布的信息价编制。</w:t>
      </w:r>
    </w:p>
    <w:p w14:paraId="078200D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（3）施工机械台班单价或施工机械使用费发生变化超过省级或行业建设主管部门或其授权的工程造价管理机构规定的范围时，按规定调整合同价格。</w:t>
      </w:r>
    </w:p>
    <w:p w14:paraId="2F66A6B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第3种方式：专用合同条款约定的其他方式。</w:t>
      </w:r>
    </w:p>
    <w:p w14:paraId="0B2037DB">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365" w:name="_Toc371946084"/>
      <w:bookmarkStart w:id="366" w:name="_Toc296503093"/>
      <w:bookmarkStart w:id="367" w:name="_Toc296346594"/>
      <w:bookmarkStart w:id="368" w:name="_Toc337558798"/>
      <w:r>
        <w:rPr>
          <w:rFonts w:hint="eastAsia" w:ascii="仿宋" w:hAnsi="仿宋" w:eastAsia="仿宋" w:cs="仿宋"/>
          <w:b w:val="0"/>
          <w:color w:val="auto"/>
          <w:sz w:val="21"/>
          <w:szCs w:val="21"/>
          <w:highlight w:val="none"/>
        </w:rPr>
        <w:t>11.2法律变化引起的调整</w:t>
      </w:r>
      <w:bookmarkEnd w:id="365"/>
    </w:p>
    <w:bookmarkEnd w:id="366"/>
    <w:bookmarkEnd w:id="367"/>
    <w:bookmarkEnd w:id="368"/>
    <w:p w14:paraId="6217D43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00CF1A6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因法律变化引起的合同价格和工期调整，合同当事人无法达成一致的，由按第4.4款〔商定或确定〕的约定处理。</w:t>
      </w:r>
    </w:p>
    <w:p w14:paraId="735751D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因承包人原因造成工期延误，在工期延误期间出现法律变化的，由此增加的费用和（或）延误的工期由承包人承担。</w:t>
      </w:r>
    </w:p>
    <w:p w14:paraId="248D3B0A">
      <w:pPr>
        <w:pStyle w:val="5"/>
        <w:spacing w:before="120" w:line="360" w:lineRule="exact"/>
        <w:rPr>
          <w:rFonts w:hint="eastAsia" w:ascii="仿宋" w:hAnsi="仿宋" w:eastAsia="仿宋" w:cs="仿宋"/>
          <w:b w:val="0"/>
          <w:color w:val="auto"/>
          <w:highlight w:val="none"/>
        </w:rPr>
      </w:pPr>
      <w:bookmarkStart w:id="369" w:name="_Toc371946085"/>
      <w:bookmarkStart w:id="370" w:name="_Toc337558799"/>
      <w:bookmarkStart w:id="371" w:name="_Toc296503096"/>
      <w:bookmarkStart w:id="372" w:name="_Toc296346597"/>
      <w:r>
        <w:rPr>
          <w:rFonts w:hint="eastAsia" w:ascii="仿宋" w:hAnsi="仿宋" w:eastAsia="仿宋" w:cs="仿宋"/>
          <w:b w:val="0"/>
          <w:color w:val="auto"/>
          <w:szCs w:val="21"/>
          <w:highlight w:val="none"/>
        </w:rPr>
        <w:t>12. 合同价格、计量与支付</w:t>
      </w:r>
      <w:bookmarkEnd w:id="369"/>
    </w:p>
    <w:bookmarkEnd w:id="370"/>
    <w:p w14:paraId="21F2FFAA">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373" w:name="_Toc371946086"/>
      <w:bookmarkStart w:id="374" w:name="_Toc337558800"/>
      <w:r>
        <w:rPr>
          <w:rFonts w:hint="eastAsia" w:ascii="仿宋" w:hAnsi="仿宋" w:eastAsia="仿宋" w:cs="仿宋"/>
          <w:b w:val="0"/>
          <w:color w:val="auto"/>
          <w:sz w:val="21"/>
          <w:szCs w:val="21"/>
          <w:highlight w:val="none"/>
        </w:rPr>
        <w:t>12.1 合同价</w:t>
      </w:r>
      <w:bookmarkEnd w:id="371"/>
      <w:bookmarkEnd w:id="372"/>
      <w:r>
        <w:rPr>
          <w:rFonts w:hint="eastAsia" w:ascii="仿宋" w:hAnsi="仿宋" w:eastAsia="仿宋" w:cs="仿宋"/>
          <w:b w:val="0"/>
          <w:color w:val="auto"/>
          <w:sz w:val="21"/>
          <w:szCs w:val="21"/>
          <w:highlight w:val="none"/>
        </w:rPr>
        <w:t>格形式</w:t>
      </w:r>
      <w:bookmarkEnd w:id="373"/>
    </w:p>
    <w:bookmarkEnd w:id="374"/>
    <w:p w14:paraId="4DB7593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发包人和承包人应在合同协议书中选择下列一种合同价格形式： </w:t>
      </w:r>
    </w:p>
    <w:p w14:paraId="54DD417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1、单价合同</w:t>
      </w:r>
    </w:p>
    <w:p w14:paraId="7601851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其中因市场价格波动引起的调整按第11.1款〔市场价格波动引起的调整〕约定执行。</w:t>
      </w:r>
    </w:p>
    <w:p w14:paraId="517C919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2、总价合同</w:t>
      </w:r>
    </w:p>
    <w:p w14:paraId="3B1BEBF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63D6651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3、其它价格形式</w:t>
      </w:r>
    </w:p>
    <w:p w14:paraId="5854F03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合同当事人可在专用合同条款中约定其他合同价格形式。</w:t>
      </w:r>
    </w:p>
    <w:p w14:paraId="430B2CB9">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375" w:name="_Toc296503097"/>
      <w:bookmarkStart w:id="376" w:name="_Toc296346598"/>
      <w:bookmarkStart w:id="377" w:name="_Toc371946087"/>
      <w:bookmarkStart w:id="378" w:name="_Toc337558801"/>
      <w:r>
        <w:rPr>
          <w:rFonts w:hint="eastAsia" w:ascii="仿宋" w:hAnsi="仿宋" w:eastAsia="仿宋" w:cs="仿宋"/>
          <w:b w:val="0"/>
          <w:color w:val="auto"/>
          <w:sz w:val="21"/>
          <w:szCs w:val="21"/>
          <w:highlight w:val="none"/>
        </w:rPr>
        <w:t>12.2预</w:t>
      </w:r>
      <w:bookmarkEnd w:id="375"/>
      <w:bookmarkEnd w:id="376"/>
      <w:bookmarkStart w:id="379" w:name="_Toc296503100"/>
      <w:bookmarkStart w:id="380" w:name="_Toc296346601"/>
      <w:r>
        <w:rPr>
          <w:rFonts w:hint="eastAsia" w:ascii="仿宋" w:hAnsi="仿宋" w:eastAsia="仿宋" w:cs="仿宋"/>
          <w:b w:val="0"/>
          <w:color w:val="auto"/>
          <w:sz w:val="21"/>
          <w:szCs w:val="21"/>
          <w:highlight w:val="none"/>
        </w:rPr>
        <w:t>付款</w:t>
      </w:r>
      <w:bookmarkEnd w:id="377"/>
    </w:p>
    <w:bookmarkEnd w:id="378"/>
    <w:bookmarkEnd w:id="379"/>
    <w:bookmarkEnd w:id="380"/>
    <w:p w14:paraId="6EC817C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12.2.1预付款的支付</w:t>
      </w:r>
    </w:p>
    <w:p w14:paraId="4D68F69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预付款的支付按照专用合同条款约定执行，但至迟应在开工通知载明的开工日期7天前支付。预付款应当用于材料、工程设备、施工设备的采购及修建临时工程、组织施工队伍进场等。</w:t>
      </w:r>
    </w:p>
    <w:p w14:paraId="79CD427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除专用合同条款另有约定外，预付款在进度付款中同比例扣回。在颁发工程接收证书前，提前解除合同的，尚未扣完的预付款应与合同价款一并结算。</w:t>
      </w:r>
    </w:p>
    <w:p w14:paraId="58F5D19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发包人逾期支付预付款超过7天的，承包人有权向发包人发出要求预付的催告通知，发包人收到通知后7天内仍未支付的，承包人有权暂停施工，并按第16.1.1项〔发包人违约的情形〕执行。</w:t>
      </w:r>
    </w:p>
    <w:p w14:paraId="1123BD5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12.2.2 预付款担保</w:t>
      </w:r>
    </w:p>
    <w:p w14:paraId="1BFE2D6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41B2793D">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发包人在工程款中逐期扣回预付款后，预付款担保额度应相应减少，但剩余的预付款担保金额不得低于未被扣回的预付款金额。</w:t>
      </w:r>
    </w:p>
    <w:p w14:paraId="48C3397F">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381" w:name="_Toc371946088"/>
      <w:bookmarkStart w:id="382" w:name="_Toc337558802"/>
      <w:r>
        <w:rPr>
          <w:rFonts w:hint="eastAsia" w:ascii="仿宋" w:hAnsi="仿宋" w:eastAsia="仿宋" w:cs="仿宋"/>
          <w:b w:val="0"/>
          <w:color w:val="auto"/>
          <w:sz w:val="21"/>
          <w:szCs w:val="21"/>
          <w:highlight w:val="none"/>
        </w:rPr>
        <w:t>12.3计量</w:t>
      </w:r>
      <w:bookmarkEnd w:id="381"/>
    </w:p>
    <w:bookmarkEnd w:id="382"/>
    <w:p w14:paraId="5F558F0D">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12.3.1 计量原则</w:t>
      </w:r>
    </w:p>
    <w:p w14:paraId="3615C6B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工程量计量按照合同约定的工程量计算规则、图纸及变更指示等进行计量。工程量计算规则应以相关的国家标准、行业标准等为依据，由合同当事人在专用合同条款中约定。</w:t>
      </w:r>
    </w:p>
    <w:p w14:paraId="4CF9E38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12.3.2 计量周期</w:t>
      </w:r>
    </w:p>
    <w:p w14:paraId="6850BA1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除专用合同条款另有约定外，工程量的计量按月进行。</w:t>
      </w:r>
    </w:p>
    <w:p w14:paraId="0AA5F98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12.3.3 单价合同的计量</w:t>
      </w:r>
    </w:p>
    <w:p w14:paraId="0A46C12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除专用合同条款另有约定外，单价合同的计量按照本项约定执行：</w:t>
      </w:r>
    </w:p>
    <w:p w14:paraId="2EB6D6D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（1）承包人应于每月25日向监理人报送上月20日至当月19日已完成的工程量报告，并附具进度付款申请单、已完成工程量报表和有关资料。</w:t>
      </w:r>
    </w:p>
    <w:p w14:paraId="335C280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256BD28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（3）监理人未在收到承包人提交的工程量报表后的7天内完成审核的，承包人报送的工程量报告中的工程量视为承包人实际完成的工程量，据此计算工程价款。</w:t>
      </w:r>
    </w:p>
    <w:p w14:paraId="5F26027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12.3.4 总价合同的计量</w:t>
      </w:r>
    </w:p>
    <w:p w14:paraId="6D0F43B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除专用合同条款另有约定外，按月计量支付的总价合同，按照本项约定执行：</w:t>
      </w:r>
    </w:p>
    <w:p w14:paraId="2FA6284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（1）承包人应于每月25日向监理人报送上月20日至当月19日已完成的工程量报告，并附具进度付款申请单、已完成工程量报表和有关资料。</w:t>
      </w:r>
    </w:p>
    <w:p w14:paraId="5CDEEB5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14A5981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（3）监理人未在收到承包人提交的工程量报表后的7天内完成复核的，承包人提交的工程量报告中的工程量视为承包人实际完成的工程量。</w:t>
      </w:r>
    </w:p>
    <w:p w14:paraId="0CF8E18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12.3.5 总价合同采用支付分解表计量支付的，可以按照第12.3.4项〔总价合同的计量〕约定进行计量，但合同价款按照支付分解表进行支付。</w:t>
      </w:r>
    </w:p>
    <w:p w14:paraId="404C9D6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12.3.6 其他价格形式合同的计量</w:t>
      </w:r>
    </w:p>
    <w:p w14:paraId="295602A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合同当事人可在专用合同条款中约定其他价格形式合同的计量方式和程序。</w:t>
      </w:r>
    </w:p>
    <w:p w14:paraId="53E6EC38">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383" w:name="_Toc296503101"/>
      <w:bookmarkStart w:id="384" w:name="_Toc296346602"/>
      <w:bookmarkStart w:id="385" w:name="_Toc371946089"/>
      <w:bookmarkStart w:id="386" w:name="_Toc337558803"/>
      <w:r>
        <w:rPr>
          <w:rFonts w:hint="eastAsia" w:ascii="仿宋" w:hAnsi="仿宋" w:eastAsia="仿宋" w:cs="仿宋"/>
          <w:b w:val="0"/>
          <w:color w:val="auto"/>
          <w:sz w:val="21"/>
          <w:szCs w:val="21"/>
          <w:highlight w:val="none"/>
        </w:rPr>
        <w:t>12.4工程进度款支</w:t>
      </w:r>
      <w:bookmarkEnd w:id="383"/>
      <w:bookmarkEnd w:id="384"/>
      <w:r>
        <w:rPr>
          <w:rFonts w:hint="eastAsia" w:ascii="仿宋" w:hAnsi="仿宋" w:eastAsia="仿宋" w:cs="仿宋"/>
          <w:b w:val="0"/>
          <w:color w:val="auto"/>
          <w:sz w:val="21"/>
          <w:szCs w:val="21"/>
          <w:highlight w:val="none"/>
        </w:rPr>
        <w:t>付</w:t>
      </w:r>
      <w:bookmarkEnd w:id="385"/>
    </w:p>
    <w:bookmarkEnd w:id="386"/>
    <w:p w14:paraId="3EB0509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12.4.1 付款周期</w:t>
      </w:r>
    </w:p>
    <w:p w14:paraId="59509D8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除专用合同条款另有约定外，付款周期应按照第12.3.2项〔计量周期〕的约定与计量周期保持一致。</w:t>
      </w:r>
    </w:p>
    <w:p w14:paraId="525D9B1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12.4.2 进度付款申请单的编制</w:t>
      </w:r>
    </w:p>
    <w:p w14:paraId="0C656AF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除专用合同条款另有约定外，进度付款申请单应包括下列内容：</w:t>
      </w:r>
    </w:p>
    <w:p w14:paraId="265315C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（1）截至本次付款周期已完成工作对应的金额；</w:t>
      </w:r>
    </w:p>
    <w:p w14:paraId="0ECC89B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（2）根据第10条〔变更〕应增加和扣减的变更金额；</w:t>
      </w:r>
    </w:p>
    <w:p w14:paraId="1F2B2C6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（3）根据第12.2款〔预付款〕约定应支付的预付款和扣减的返还预付款；</w:t>
      </w:r>
    </w:p>
    <w:p w14:paraId="40740E2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（4）根据第15.3款〔质量保证金〕约定应扣减的质量保证金；</w:t>
      </w:r>
    </w:p>
    <w:p w14:paraId="1853878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（5）根据第19条〔索赔〕应增加和扣减的索赔金额；</w:t>
      </w:r>
    </w:p>
    <w:p w14:paraId="0EEC597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（6）对已签发的进度款支付证书中出现错误的修正，应在本次进度付款中支付或扣除的金额；</w:t>
      </w:r>
    </w:p>
    <w:p w14:paraId="3DDC60C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（7）根据合同约定应增加和扣减的其他金额。</w:t>
      </w:r>
    </w:p>
    <w:p w14:paraId="1355BB1D">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12.4.3 进度付款申请单的提交</w:t>
      </w:r>
    </w:p>
    <w:p w14:paraId="3D46558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（1）单价合同进度付款申请单的提交</w:t>
      </w:r>
    </w:p>
    <w:p w14:paraId="2637FA0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5AC63DA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（2）总价合同进度付款申请单的提交</w:t>
      </w:r>
    </w:p>
    <w:p w14:paraId="6AB5EF5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总价合同按月计量支付的，承包人按照第12.3.4项〔总价合同的计量〕约定的时间按月向监理人提交进度付款申请单，并附上已完成工程量报表和有关资料。</w:t>
      </w:r>
    </w:p>
    <w:p w14:paraId="1AD2EF1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总价合同按支付分解表支付的，承包人应按照第12.4.6项〔支付分解表〕及第12.4.2项〔进度付款申请单的编制〕的约定向监理人提交进度付款申请单。</w:t>
      </w:r>
    </w:p>
    <w:p w14:paraId="4398557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（3）其他价格形式合同的进度付款申请单的提交</w:t>
      </w:r>
    </w:p>
    <w:p w14:paraId="5DA372A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合同当事人可在专用合同条款中约定其他价格形式合同的进度付款申请单的编制和提交程序。</w:t>
      </w:r>
    </w:p>
    <w:p w14:paraId="5782DEC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12.4.4 进度款审核和支付</w:t>
      </w:r>
    </w:p>
    <w:p w14:paraId="7B46A59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专用合同条款约定。</w:t>
      </w:r>
    </w:p>
    <w:p w14:paraId="67D01EC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12.4.5 进度付款的修正</w:t>
      </w:r>
    </w:p>
    <w:p w14:paraId="7794449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在对已签发的进度款支付证书进行阶段汇总和复核中发现错误、遗漏或重复的，发包人和承包人均有权提出修正申请。经发包人和承包人同意的修正，应在下期进度付款中支付或扣除。</w:t>
      </w:r>
    </w:p>
    <w:p w14:paraId="133B801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12.4.6 支付分解表</w:t>
      </w:r>
    </w:p>
    <w:p w14:paraId="552DAF0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1、支付分解表的编制要求</w:t>
      </w:r>
    </w:p>
    <w:p w14:paraId="2954FE4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（1）支付分解表中所列的每期付款金额，应为第12.4.2项〔进度付款申请单的编制〕第（1）目的估算金额；</w:t>
      </w:r>
    </w:p>
    <w:p w14:paraId="3E5862D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（2）实际进度与施工进度计划不一致的，合同当事人可按照第4.4款〔商定或确定〕修改支付分解表；</w:t>
      </w:r>
    </w:p>
    <w:p w14:paraId="2DC65EE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（3）不采用支付分解表的，承包人应向发包人和监理人提交按季度编制的支付估算分解表，用于支付参考。</w:t>
      </w:r>
    </w:p>
    <w:p w14:paraId="1ED6CF6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2、总价合同支付分解表的编制与审批</w:t>
      </w:r>
    </w:p>
    <w:p w14:paraId="071BDA9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504087CD">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（2）监理人应在收到支付分解表后7天内完成审核并报送发包人。发包人应在收到经监理人审核的支付分解表后7天内完成审批，经发包人批准的支付分解表为有约束力的支付分解表。</w:t>
      </w:r>
    </w:p>
    <w:p w14:paraId="7DD67C73">
      <w:pPr>
        <w:spacing w:line="360" w:lineRule="exact"/>
        <w:rPr>
          <w:rFonts w:hint="eastAsia" w:ascii="仿宋" w:hAnsi="仿宋" w:eastAsia="仿宋" w:cs="仿宋"/>
          <w:color w:val="auto"/>
          <w:highlight w:val="none"/>
        </w:rPr>
      </w:pPr>
      <w:r>
        <w:rPr>
          <w:rFonts w:hint="eastAsia" w:ascii="仿宋" w:hAnsi="仿宋" w:eastAsia="仿宋" w:cs="仿宋"/>
          <w:color w:val="auto"/>
          <w:highlight w:val="none"/>
        </w:rPr>
        <w:t xml:space="preserve">    （3）发包人逾期未完成支付分解表审批的，也未及时要求承包人进行修正和提供补充资料的，则承包人提交的支付分解表视为已经获得发包人批准。</w:t>
      </w:r>
    </w:p>
    <w:p w14:paraId="10FCF24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3、单价合同的总价项目支付分解表的编制与审批</w:t>
      </w:r>
    </w:p>
    <w:p w14:paraId="3460C1E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0AF103F8">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387" w:name="_Toc371946090"/>
      <w:r>
        <w:rPr>
          <w:rFonts w:hint="eastAsia" w:ascii="仿宋" w:hAnsi="仿宋" w:eastAsia="仿宋" w:cs="仿宋"/>
          <w:b w:val="0"/>
          <w:color w:val="auto"/>
          <w:sz w:val="21"/>
          <w:szCs w:val="21"/>
          <w:highlight w:val="none"/>
        </w:rPr>
        <w:t>12.5支付账户</w:t>
      </w:r>
      <w:bookmarkEnd w:id="387"/>
    </w:p>
    <w:p w14:paraId="0C4645D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发包人应将合同价款支付至合同协议书中约定的承包人账户。</w:t>
      </w:r>
    </w:p>
    <w:p w14:paraId="58773FA3">
      <w:pPr>
        <w:pStyle w:val="5"/>
        <w:spacing w:before="120" w:line="360" w:lineRule="exact"/>
        <w:rPr>
          <w:rFonts w:hint="eastAsia" w:ascii="仿宋" w:hAnsi="仿宋" w:eastAsia="仿宋" w:cs="仿宋"/>
          <w:b w:val="0"/>
          <w:color w:val="auto"/>
          <w:highlight w:val="none"/>
        </w:rPr>
      </w:pPr>
      <w:bookmarkStart w:id="388" w:name="_Toc371946091"/>
      <w:bookmarkStart w:id="389" w:name="_Toc296346607"/>
      <w:bookmarkStart w:id="390" w:name="_Toc296503106"/>
      <w:bookmarkStart w:id="391" w:name="_Toc337558804"/>
      <w:bookmarkStart w:id="392" w:name="_Toc322522574"/>
      <w:r>
        <w:rPr>
          <w:rFonts w:hint="eastAsia" w:ascii="仿宋" w:hAnsi="仿宋" w:eastAsia="仿宋" w:cs="仿宋"/>
          <w:b w:val="0"/>
          <w:color w:val="auto"/>
          <w:szCs w:val="21"/>
          <w:highlight w:val="none"/>
        </w:rPr>
        <w:t>13. 验收和工程试车</w:t>
      </w:r>
      <w:bookmarkEnd w:id="388"/>
    </w:p>
    <w:bookmarkEnd w:id="389"/>
    <w:bookmarkEnd w:id="390"/>
    <w:bookmarkEnd w:id="391"/>
    <w:bookmarkEnd w:id="392"/>
    <w:p w14:paraId="59D8E825">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393" w:name="_Toc371946092"/>
      <w:bookmarkStart w:id="394" w:name="_Toc337558805"/>
      <w:bookmarkStart w:id="395" w:name="_Toc296346611"/>
      <w:bookmarkStart w:id="396" w:name="_Toc296503110"/>
      <w:r>
        <w:rPr>
          <w:rFonts w:hint="eastAsia" w:ascii="仿宋" w:hAnsi="仿宋" w:eastAsia="仿宋" w:cs="仿宋"/>
          <w:b w:val="0"/>
          <w:color w:val="auto"/>
          <w:sz w:val="21"/>
          <w:szCs w:val="21"/>
          <w:highlight w:val="none"/>
        </w:rPr>
        <w:t>13.1分部分项工程验收</w:t>
      </w:r>
      <w:bookmarkEnd w:id="393"/>
    </w:p>
    <w:bookmarkEnd w:id="394"/>
    <w:p w14:paraId="4FFDD28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13.1.1 分部分项工程质量应符合国家有关工程施工验收规范、标准及合同约定，承包人应按照施工组织设计的要求完成分部分项工程施工。</w:t>
      </w:r>
    </w:p>
    <w:p w14:paraId="019D5CB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13.1.2 除专用合同条款另有约定外，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14:paraId="4F422B0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分部分项工程的验收资料应当作为竣工资料的组成部分。</w:t>
      </w:r>
    </w:p>
    <w:p w14:paraId="31331A34">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397" w:name="_Toc371946093"/>
      <w:bookmarkStart w:id="398" w:name="_Toc337558806"/>
      <w:r>
        <w:rPr>
          <w:rFonts w:hint="eastAsia" w:ascii="仿宋" w:hAnsi="仿宋" w:eastAsia="仿宋" w:cs="仿宋"/>
          <w:b w:val="0"/>
          <w:color w:val="auto"/>
          <w:sz w:val="21"/>
          <w:szCs w:val="21"/>
          <w:highlight w:val="none"/>
        </w:rPr>
        <w:t>13.2竣工验收</w:t>
      </w:r>
      <w:bookmarkEnd w:id="397"/>
    </w:p>
    <w:bookmarkEnd w:id="395"/>
    <w:bookmarkEnd w:id="396"/>
    <w:bookmarkEnd w:id="398"/>
    <w:p w14:paraId="4958BAD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13.2.1竣工验收条件</w:t>
      </w:r>
    </w:p>
    <w:p w14:paraId="6C160B8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工程具备以下条件的，承包人可以申请竣工验收：</w:t>
      </w:r>
    </w:p>
    <w:p w14:paraId="205E805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（1）除发包人同意的甩项工作和缺陷修补工作外，合同范围内的全部工程以及有关工作，包括合同要求的试验、试运行以及检验均已完成，并符合合同要求；</w:t>
      </w:r>
    </w:p>
    <w:p w14:paraId="67ECCE2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（2）已按合同约定编制了甩项工作和缺陷修补工作清单以及相应的施工计划；</w:t>
      </w:r>
    </w:p>
    <w:p w14:paraId="2295F15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（3）已按合同约定的内容和份数备齐竣工资料。</w:t>
      </w:r>
    </w:p>
    <w:p w14:paraId="420411F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13.2.2竣工验收程序</w:t>
      </w:r>
    </w:p>
    <w:p w14:paraId="6470CF2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除专用合同条款另有约定外，承包人申请竣工验收的，应当按照以下程序进行：</w:t>
      </w:r>
    </w:p>
    <w:p w14:paraId="432EA57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28F6B0B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77E1522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（3）竣工验收合格的，发包人应在验收合格后14天内向承包人签发工程接收证书。发包人无正当理由逾期不颁发工程接收证书的，自验收合格后第15天起视为已颁发工程接收证书。</w:t>
      </w:r>
    </w:p>
    <w:p w14:paraId="7FB6C97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7B8C0CD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3D697F0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除专用合同条款另有约定外，发包人不按照本项约定组织竣工验收、颁发工程接收证书的，每逾期一天，应以签约合同价为基数，按照中国人民银行发布的同期同类贷款基准利率支付违约金。</w:t>
      </w:r>
    </w:p>
    <w:p w14:paraId="568278C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13.2.3竣工日期</w:t>
      </w:r>
    </w:p>
    <w:p w14:paraId="47FF0CFD">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399" w:name="#go14"/>
      <w:bookmarkEnd w:id="399"/>
      <w:r>
        <w:rPr>
          <w:rFonts w:hint="eastAsia" w:ascii="仿宋" w:hAnsi="仿宋" w:eastAsia="仿宋" w:cs="仿宋"/>
          <w:color w:val="auto"/>
          <w:highlight w:val="none"/>
        </w:rPr>
        <w:t>收申请报告的日期为实际竣工日期；工程未经竣工验收，发包人擅自使用的，以转移占有工程之日为实际竣工日期。</w:t>
      </w:r>
    </w:p>
    <w:p w14:paraId="6A59357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13.2.4 拒绝接收全部或部分工程</w:t>
      </w:r>
    </w:p>
    <w:p w14:paraId="11B7736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2FDA05A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13.2.5 移交、接收全部与部分工程</w:t>
      </w:r>
    </w:p>
    <w:p w14:paraId="38D8FB5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除专用合同条款另有约定外，合同当事人应当在颁发工程接收证书后7天内完成工程的移交。</w:t>
      </w:r>
    </w:p>
    <w:p w14:paraId="6102A56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发包人无正当理由不接收工程的，发包人自应当接收工程之日起，承担工程照管、成品保护、保管等与工程有关的各项费用，合同当事人可以在专用合同条款中另行约定发包人逾期接收工程的违约责任。</w:t>
      </w:r>
    </w:p>
    <w:p w14:paraId="79EA5EE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承包人无正当理由不移交工程的，承包人应承担工程照管、成品保护、保管等与工程有关的各项费用，合同当事人可以在专用合同条款中另行约定承包人无正当理由不移交工程的违约责任。</w:t>
      </w:r>
    </w:p>
    <w:p w14:paraId="5C3FA168">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400" w:name="_Toc371946094"/>
      <w:bookmarkStart w:id="401" w:name="_Toc296503111"/>
      <w:bookmarkStart w:id="402" w:name="_Toc337558807"/>
      <w:bookmarkStart w:id="403" w:name="_Toc296346612"/>
      <w:r>
        <w:rPr>
          <w:rFonts w:hint="eastAsia" w:ascii="仿宋" w:hAnsi="仿宋" w:eastAsia="仿宋" w:cs="仿宋"/>
          <w:b w:val="0"/>
          <w:color w:val="auto"/>
          <w:sz w:val="21"/>
          <w:szCs w:val="21"/>
          <w:highlight w:val="none"/>
        </w:rPr>
        <w:t>13.3工程试车</w:t>
      </w:r>
      <w:bookmarkEnd w:id="400"/>
    </w:p>
    <w:bookmarkEnd w:id="401"/>
    <w:bookmarkEnd w:id="402"/>
    <w:bookmarkEnd w:id="403"/>
    <w:p w14:paraId="31A398C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13.3.1试车程序</w:t>
      </w:r>
    </w:p>
    <w:p w14:paraId="126A485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工程需要试车的，除专用合同条款另有约定外，试车内容应与承包人承包范围相一致，试车费用由承包人承担。工程试车应按如下程序进行：</w:t>
      </w:r>
    </w:p>
    <w:p w14:paraId="21FC09E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33481F1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3886521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155688E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13.3.2 试车中的责任</w:t>
      </w:r>
    </w:p>
    <w:p w14:paraId="679121A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2DBA549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0E7C960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13.3.3 投料试车</w:t>
      </w:r>
    </w:p>
    <w:p w14:paraId="506DE41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如需进行投料试车的，发包人应在工程竣工验收后组织投料试车。发包人要求在工程竣工验收前进行或需要承包人配合时，应征得承包人同意，并在专用合同条款中约定有关事项。</w:t>
      </w:r>
    </w:p>
    <w:p w14:paraId="7E34AAC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2120A84F">
      <w:pPr>
        <w:pStyle w:val="6"/>
        <w:spacing w:before="120" w:after="120" w:line="360" w:lineRule="exact"/>
        <w:rPr>
          <w:rFonts w:hint="eastAsia" w:ascii="仿宋" w:hAnsi="仿宋" w:eastAsia="仿宋" w:cs="仿宋"/>
          <w:b w:val="0"/>
          <w:color w:val="auto"/>
          <w:sz w:val="21"/>
          <w:szCs w:val="21"/>
          <w:highlight w:val="none"/>
        </w:rPr>
      </w:pPr>
      <w:bookmarkStart w:id="404" w:name="_Toc371946095"/>
      <w:bookmarkStart w:id="405" w:name="_Toc337558808"/>
      <w:r>
        <w:rPr>
          <w:rFonts w:hint="eastAsia" w:ascii="仿宋" w:hAnsi="仿宋" w:eastAsia="仿宋" w:cs="仿宋"/>
          <w:b w:val="0"/>
          <w:color w:val="auto"/>
          <w:sz w:val="21"/>
          <w:szCs w:val="21"/>
          <w:highlight w:val="none"/>
        </w:rPr>
        <w:t>13.4提前交付单位工程的验收</w:t>
      </w:r>
      <w:bookmarkEnd w:id="404"/>
    </w:p>
    <w:bookmarkEnd w:id="405"/>
    <w:p w14:paraId="7002D5C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13.4.1 发包人需要在工程竣工前使用单位工程的，或承包人提出提前交付已经竣工的单位工程且经发包人同意的，可进行单位工程验收，验收的程序按照第13.2款〔竣工验收〕的约定进行。</w:t>
      </w:r>
    </w:p>
    <w:p w14:paraId="24B5024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14:paraId="6A5EC02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13.4.2 发包人要求在工程竣工前交付单位工程，由此导致承包人费用增加和（或）工期延误的，由发包人承担由此增加的费用和（或）延误的工期，并支付承包人合理的利润。</w:t>
      </w:r>
    </w:p>
    <w:p w14:paraId="3B7F47A0">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406" w:name="_Toc371946096"/>
      <w:r>
        <w:rPr>
          <w:rFonts w:hint="eastAsia" w:ascii="仿宋" w:hAnsi="仿宋" w:eastAsia="仿宋" w:cs="仿宋"/>
          <w:b w:val="0"/>
          <w:color w:val="auto"/>
          <w:sz w:val="21"/>
          <w:szCs w:val="21"/>
          <w:highlight w:val="none"/>
        </w:rPr>
        <w:t>13.5 施工期运行</w:t>
      </w:r>
      <w:bookmarkEnd w:id="406"/>
    </w:p>
    <w:p w14:paraId="0006A8F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3C11700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13.5.2 在施工期运行中发现工程或工程设备损坏或存在缺陷的，由承包人按第15.2款〔缺陷责任期〕约定进行修复。</w:t>
      </w:r>
    </w:p>
    <w:p w14:paraId="760FB3F2">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407" w:name="_Toc296346613"/>
      <w:bookmarkStart w:id="408" w:name="_Toc296503112"/>
      <w:bookmarkStart w:id="409" w:name="_Toc371946097"/>
      <w:bookmarkStart w:id="410" w:name="_Toc337558809"/>
      <w:r>
        <w:rPr>
          <w:rFonts w:hint="eastAsia" w:ascii="仿宋" w:hAnsi="仿宋" w:eastAsia="仿宋" w:cs="仿宋"/>
          <w:b w:val="0"/>
          <w:color w:val="auto"/>
          <w:sz w:val="21"/>
          <w:szCs w:val="21"/>
          <w:highlight w:val="none"/>
        </w:rPr>
        <w:t>13.6 竣工退</w:t>
      </w:r>
      <w:bookmarkEnd w:id="407"/>
      <w:bookmarkEnd w:id="408"/>
      <w:r>
        <w:rPr>
          <w:rFonts w:hint="eastAsia" w:ascii="仿宋" w:hAnsi="仿宋" w:eastAsia="仿宋" w:cs="仿宋"/>
          <w:b w:val="0"/>
          <w:color w:val="auto"/>
          <w:sz w:val="21"/>
          <w:szCs w:val="21"/>
          <w:highlight w:val="none"/>
        </w:rPr>
        <w:t>场</w:t>
      </w:r>
      <w:bookmarkEnd w:id="409"/>
    </w:p>
    <w:bookmarkEnd w:id="410"/>
    <w:p w14:paraId="0CC0E05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13.6.1 竣工退场</w:t>
      </w:r>
    </w:p>
    <w:p w14:paraId="250543E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颁发工程接收证书后，承包人应按以下要求对施工现场进行清理：</w:t>
      </w:r>
    </w:p>
    <w:p w14:paraId="34163A0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（1）施工现场内残留的垃圾已全部清除出场；</w:t>
      </w:r>
    </w:p>
    <w:p w14:paraId="48671A9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（2）临时工程已拆除，场地已进行清理、平整或复原；</w:t>
      </w:r>
    </w:p>
    <w:p w14:paraId="1B2D06C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（3）按合同约定应撤离的人员、承包人施工设备和剩余的材料，包括废弃的施工设备和材料，已按计划撤离施工现场；</w:t>
      </w:r>
    </w:p>
    <w:p w14:paraId="1F54E05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（4）施工现场周边及其附近道路、河道的施工堆积物，已全部清理；</w:t>
      </w:r>
    </w:p>
    <w:p w14:paraId="3EAD959D">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（5）施工现场其他场地清理工作已全部完成。</w:t>
      </w:r>
    </w:p>
    <w:p w14:paraId="72697F3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4E72F6C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13.6.2 地表还原</w:t>
      </w:r>
    </w:p>
    <w:p w14:paraId="2E832D9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承包人应按发包人要求恢复临时占地及清理场地，承包人未按发包人的要求恢复临时占地，或者场地清理未达到合同约定要求的，发包人有权委托其他人恢复或清理，所发生的费用由承包人承担。</w:t>
      </w:r>
    </w:p>
    <w:p w14:paraId="2348DFE2">
      <w:pPr>
        <w:pStyle w:val="5"/>
        <w:spacing w:before="120" w:line="360" w:lineRule="exact"/>
        <w:rPr>
          <w:rFonts w:hint="eastAsia" w:ascii="仿宋" w:hAnsi="仿宋" w:eastAsia="仿宋" w:cs="仿宋"/>
          <w:b w:val="0"/>
          <w:color w:val="auto"/>
          <w:highlight w:val="none"/>
        </w:rPr>
      </w:pPr>
      <w:bookmarkStart w:id="411" w:name="_Toc371946098"/>
      <w:bookmarkStart w:id="412" w:name="_Toc337558810"/>
      <w:bookmarkStart w:id="413" w:name="_Toc296346614"/>
      <w:bookmarkStart w:id="414" w:name="_Toc296503113"/>
      <w:r>
        <w:rPr>
          <w:rFonts w:hint="eastAsia" w:ascii="仿宋" w:hAnsi="仿宋" w:eastAsia="仿宋" w:cs="仿宋"/>
          <w:b w:val="0"/>
          <w:color w:val="auto"/>
          <w:szCs w:val="21"/>
          <w:highlight w:val="none"/>
        </w:rPr>
        <w:t>14. 竣工结算</w:t>
      </w:r>
      <w:bookmarkEnd w:id="411"/>
    </w:p>
    <w:bookmarkEnd w:id="412"/>
    <w:p w14:paraId="61933CC8">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415" w:name="_Toc371946099"/>
      <w:bookmarkStart w:id="416" w:name="_Toc337558811"/>
      <w:r>
        <w:rPr>
          <w:rFonts w:hint="eastAsia" w:ascii="仿宋" w:hAnsi="仿宋" w:eastAsia="仿宋" w:cs="仿宋"/>
          <w:b w:val="0"/>
          <w:color w:val="auto"/>
          <w:sz w:val="21"/>
          <w:szCs w:val="21"/>
          <w:highlight w:val="none"/>
        </w:rPr>
        <w:t>14.1 竣工结算申请</w:t>
      </w:r>
      <w:bookmarkEnd w:id="415"/>
    </w:p>
    <w:bookmarkEnd w:id="416"/>
    <w:p w14:paraId="5B19614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承包人应在工程竣工验收合格后28天内向发包人和监理人提交竣工结算申请单，并提交完整的结算资料，有关竣工结算申请单的资料清单和份数等要求由合同当事人在专用合同条款中约定。</w:t>
      </w:r>
    </w:p>
    <w:p w14:paraId="0C619C7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除专用合同条款另有约定外，竣工结算申请单应包括以下内容：</w:t>
      </w:r>
    </w:p>
    <w:p w14:paraId="27FB1CC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（1）竣工结算合同价格；</w:t>
      </w:r>
    </w:p>
    <w:p w14:paraId="45B3336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（2）发包人已支付承包人的款项；</w:t>
      </w:r>
    </w:p>
    <w:p w14:paraId="2A8FC5B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（3）应扣留的质量保证金。已缴纳履约保证金的或提供其他工程质量担保方式的除外； </w:t>
      </w:r>
    </w:p>
    <w:p w14:paraId="61E9D53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（4）发包人应支付承包人的合同价款。</w:t>
      </w:r>
    </w:p>
    <w:p w14:paraId="67337EB0">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417" w:name="_Toc371946100"/>
      <w:bookmarkStart w:id="418" w:name="_Toc337558812"/>
      <w:r>
        <w:rPr>
          <w:rFonts w:hint="eastAsia" w:ascii="仿宋" w:hAnsi="仿宋" w:eastAsia="仿宋" w:cs="仿宋"/>
          <w:b w:val="0"/>
          <w:color w:val="auto"/>
          <w:sz w:val="21"/>
          <w:szCs w:val="21"/>
          <w:highlight w:val="none"/>
        </w:rPr>
        <w:t>14.2 竣工结算审核</w:t>
      </w:r>
      <w:bookmarkEnd w:id="417"/>
    </w:p>
    <w:bookmarkEnd w:id="418"/>
    <w:p w14:paraId="35B0961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专用合同条款约定。</w:t>
      </w:r>
    </w:p>
    <w:p w14:paraId="437888D8">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419" w:name="_Toc371946101"/>
      <w:bookmarkStart w:id="420" w:name="_Toc337558813"/>
      <w:r>
        <w:rPr>
          <w:rFonts w:hint="eastAsia" w:ascii="仿宋" w:hAnsi="仿宋" w:eastAsia="仿宋" w:cs="仿宋"/>
          <w:b w:val="0"/>
          <w:color w:val="auto"/>
          <w:sz w:val="21"/>
          <w:szCs w:val="21"/>
          <w:highlight w:val="none"/>
        </w:rPr>
        <w:t>14.3 甩项竣工协议</w:t>
      </w:r>
      <w:bookmarkEnd w:id="419"/>
    </w:p>
    <w:bookmarkEnd w:id="420"/>
    <w:p w14:paraId="0B0CF15D">
      <w:pPr>
        <w:spacing w:line="360" w:lineRule="exact"/>
        <w:ind w:firstLine="411" w:firstLineChars="196"/>
        <w:rPr>
          <w:rFonts w:hint="eastAsia" w:ascii="仿宋" w:hAnsi="仿宋" w:eastAsia="仿宋" w:cs="仿宋"/>
          <w:color w:val="auto"/>
          <w:highlight w:val="none"/>
        </w:rPr>
      </w:pPr>
      <w:r>
        <w:rPr>
          <w:rFonts w:hint="eastAsia" w:ascii="仿宋" w:hAnsi="仿宋" w:eastAsia="仿宋" w:cs="仿宋"/>
          <w:color w:val="auto"/>
          <w:highlight w:val="none"/>
        </w:rPr>
        <w:t>发包人要求甩项竣工的，合同当事人应签订甩项竣工协议。在甩项竣工协议中应明确，合同当事人按照第14.1款〔竣工结算申请〕及14.2款〔竣工结算审核〕的约定，对已完合格工程进行结算，并支付相应合同价款。</w:t>
      </w:r>
    </w:p>
    <w:p w14:paraId="6828C6BD">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421" w:name="_Toc371946102"/>
      <w:bookmarkStart w:id="422" w:name="_Toc337558814"/>
      <w:r>
        <w:rPr>
          <w:rFonts w:hint="eastAsia" w:ascii="仿宋" w:hAnsi="仿宋" w:eastAsia="仿宋" w:cs="仿宋"/>
          <w:b w:val="0"/>
          <w:color w:val="auto"/>
          <w:sz w:val="21"/>
          <w:szCs w:val="21"/>
          <w:highlight w:val="none"/>
        </w:rPr>
        <w:t>14.4 最终结清</w:t>
      </w:r>
      <w:bookmarkEnd w:id="421"/>
    </w:p>
    <w:bookmarkEnd w:id="422"/>
    <w:p w14:paraId="1970D15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专用合同条款约定。</w:t>
      </w:r>
    </w:p>
    <w:p w14:paraId="6028BD9B">
      <w:pPr>
        <w:spacing w:line="360" w:lineRule="exact"/>
        <w:ind w:firstLine="420" w:firstLineChars="200"/>
        <w:rPr>
          <w:rFonts w:hint="eastAsia" w:ascii="仿宋" w:hAnsi="仿宋" w:eastAsia="仿宋" w:cs="仿宋"/>
          <w:color w:val="auto"/>
          <w:highlight w:val="none"/>
        </w:rPr>
      </w:pPr>
      <w:bookmarkStart w:id="423" w:name="_Toc337558815"/>
      <w:r>
        <w:rPr>
          <w:rFonts w:hint="eastAsia" w:ascii="仿宋" w:hAnsi="仿宋" w:eastAsia="仿宋" w:cs="仿宋"/>
          <w:color w:val="auto"/>
          <w:highlight w:val="none"/>
        </w:rPr>
        <w:t>15. 缺陷责任与保修</w:t>
      </w:r>
    </w:p>
    <w:bookmarkEnd w:id="413"/>
    <w:bookmarkEnd w:id="414"/>
    <w:bookmarkEnd w:id="423"/>
    <w:p w14:paraId="7F2C6C81">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424" w:name="_Toc371946103"/>
      <w:bookmarkStart w:id="425" w:name="_Toc337558816"/>
      <w:bookmarkStart w:id="426" w:name="_Toc296503114"/>
      <w:bookmarkStart w:id="427" w:name="_Toc296346615"/>
      <w:r>
        <w:rPr>
          <w:rFonts w:hint="eastAsia" w:ascii="仿宋" w:hAnsi="仿宋" w:eastAsia="仿宋" w:cs="仿宋"/>
          <w:b w:val="0"/>
          <w:color w:val="auto"/>
          <w:sz w:val="21"/>
          <w:szCs w:val="21"/>
          <w:highlight w:val="none"/>
        </w:rPr>
        <w:t>15.1 工程保修的原则</w:t>
      </w:r>
      <w:bookmarkEnd w:id="424"/>
    </w:p>
    <w:bookmarkEnd w:id="425"/>
    <w:p w14:paraId="646F398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在工程移交发包人后，因承包人原因产生的质量缺陷，承包人应承担质量缺陷责任和保修义务。缺陷责任期届满，承包人仍应按合同约定的工程各部位保修年限承担保修义务。</w:t>
      </w:r>
    </w:p>
    <w:p w14:paraId="57CEE75E">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428" w:name="_Toc371946104"/>
      <w:bookmarkStart w:id="429" w:name="_Toc337558817"/>
      <w:r>
        <w:rPr>
          <w:rFonts w:hint="eastAsia" w:ascii="仿宋" w:hAnsi="仿宋" w:eastAsia="仿宋" w:cs="仿宋"/>
          <w:b w:val="0"/>
          <w:color w:val="auto"/>
          <w:sz w:val="21"/>
          <w:szCs w:val="21"/>
          <w:highlight w:val="none"/>
        </w:rPr>
        <w:t>15.2 缺陷责任期</w:t>
      </w:r>
      <w:bookmarkEnd w:id="426"/>
      <w:bookmarkEnd w:id="427"/>
      <w:bookmarkEnd w:id="428"/>
    </w:p>
    <w:bookmarkEnd w:id="429"/>
    <w:p w14:paraId="56267F5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15.2.1 缺陷责任期从工程通过竣工验收之日起计算，合同当事人应在专用合同条款约定缺陷责任期的具体期限，但该期限最长不超过24个月。</w:t>
      </w:r>
    </w:p>
    <w:p w14:paraId="62E063B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43FB2FB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15.2.2 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包人延长缺陷责任期，并应在原缺陷责任期届满前发出延长通知。但缺陷责任期（含延长部分）最长不能超过24个月。</w:t>
      </w:r>
    </w:p>
    <w:p w14:paraId="3D72C85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由他人原因造成的缺陷，发包人负责组织维修，承包人不承担费用，且发包人不得从保证金中扣除费用。</w:t>
      </w:r>
    </w:p>
    <w:p w14:paraId="0DB2C47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15.2.3 任何一项缺陷或损坏修复后，经检查证明其影响了工程或工程设备的使用性能，承包人应重新进行合同约定的试验和试运行，试验和试运行的全部费用应由责任方承担。</w:t>
      </w:r>
    </w:p>
    <w:p w14:paraId="1416E4A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15.2.4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14:paraId="7F11DBA6">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430" w:name="_Toc371946105"/>
      <w:bookmarkStart w:id="431" w:name="_Toc337558818"/>
      <w:bookmarkStart w:id="432" w:name="_Toc296346616"/>
      <w:bookmarkStart w:id="433" w:name="_Toc296503115"/>
      <w:r>
        <w:rPr>
          <w:rFonts w:hint="eastAsia" w:ascii="仿宋" w:hAnsi="仿宋" w:eastAsia="仿宋" w:cs="仿宋"/>
          <w:b w:val="0"/>
          <w:color w:val="auto"/>
          <w:sz w:val="21"/>
          <w:szCs w:val="21"/>
          <w:highlight w:val="none"/>
        </w:rPr>
        <w:t>15.3 质量保证金</w:t>
      </w:r>
      <w:bookmarkEnd w:id="430"/>
    </w:p>
    <w:bookmarkEnd w:id="431"/>
    <w:p w14:paraId="5D09E1F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经合同当事人协商一致扣留质量保证金的，应在专用合同条款中予以明确。</w:t>
      </w:r>
    </w:p>
    <w:p w14:paraId="75DDE4B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在工程项目竣工前，承包人已经提供履约担保的，发包人不得同时预留工程质量保证金。</w:t>
      </w:r>
    </w:p>
    <w:p w14:paraId="50944CA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15.3.1 承包人提供质量保证金的方式</w:t>
      </w:r>
    </w:p>
    <w:p w14:paraId="1135024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承包人提供质量保证金有以下三种方式：</w:t>
      </w:r>
    </w:p>
    <w:p w14:paraId="5BDE282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（1）质量保证金保函； </w:t>
      </w:r>
    </w:p>
    <w:p w14:paraId="6258657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（2）相应比例的工程款；</w:t>
      </w:r>
    </w:p>
    <w:p w14:paraId="30EA897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（3）双方约定的其他方式。</w:t>
      </w:r>
    </w:p>
    <w:p w14:paraId="79A4F3C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除专用合同条款另有约定外，质量保证金原则上采用上述第（1）种方式。</w:t>
      </w:r>
    </w:p>
    <w:p w14:paraId="0BB44C8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15.3.2 质量保证金的扣留</w:t>
      </w:r>
    </w:p>
    <w:p w14:paraId="532D26E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质量保证金的扣留有以下三种方式：</w:t>
      </w:r>
    </w:p>
    <w:p w14:paraId="6EE90FD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（1）在支付工程进度款时逐次扣留，在此情形下，质量保证金的计算基数不包括预付款的支付、扣回以及价格调整的金额；</w:t>
      </w:r>
    </w:p>
    <w:p w14:paraId="3DEEFBF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（2）工</w:t>
      </w:r>
      <w:bookmarkStart w:id="434" w:name="#go6"/>
      <w:bookmarkEnd w:id="434"/>
      <w:r>
        <w:rPr>
          <w:rFonts w:hint="eastAsia" w:ascii="仿宋" w:hAnsi="仿宋" w:eastAsia="仿宋" w:cs="仿宋"/>
          <w:color w:val="auto"/>
          <w:highlight w:val="none"/>
        </w:rPr>
        <w:t>程竣工结算时一次性扣留质量保证金；</w:t>
      </w:r>
    </w:p>
    <w:p w14:paraId="7FC8A01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（3）双方约定的其他扣留方式。</w:t>
      </w:r>
    </w:p>
    <w:p w14:paraId="2DDB338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除专用合同条款另有约定外，质量保证金的扣留原则上采用上述第（1）种方式。</w:t>
      </w:r>
    </w:p>
    <w:p w14:paraId="44F85C5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14:paraId="7956917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发包人在退还质量保证金的同时按照中国人民银行发布的同期同类贷款基准利率支付利息。</w:t>
      </w:r>
    </w:p>
    <w:p w14:paraId="16B3EA2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15.3.3 质量保证金的退还</w:t>
      </w:r>
    </w:p>
    <w:p w14:paraId="471BAF9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缺陷责任期内，承包人认真履行合同约定的责任，到期后，承包人可向发包人申请返还保证金。</w:t>
      </w:r>
    </w:p>
    <w:p w14:paraId="6D38FC4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2AEB2CF3">
      <w:pPr>
        <w:pStyle w:val="6"/>
        <w:spacing w:before="120" w:after="120" w:line="360" w:lineRule="exact"/>
        <w:ind w:firstLine="422" w:firstLineChars="200"/>
        <w:rPr>
          <w:rFonts w:hint="eastAsia" w:ascii="仿宋" w:hAnsi="仿宋" w:eastAsia="仿宋" w:cs="仿宋"/>
          <w:b w:val="0"/>
          <w:color w:val="auto"/>
          <w:sz w:val="21"/>
          <w:szCs w:val="21"/>
          <w:highlight w:val="none"/>
        </w:rPr>
      </w:pPr>
      <w:r>
        <w:rPr>
          <w:rFonts w:hint="eastAsia" w:ascii="仿宋" w:hAnsi="仿宋" w:eastAsia="仿宋" w:cs="仿宋"/>
          <w:color w:val="auto"/>
          <w:sz w:val="21"/>
          <w:szCs w:val="21"/>
          <w:highlight w:val="none"/>
        </w:rPr>
        <w:t>发包人和承包人对保证金预留、返还以及工程维修质量、费用有争议的，按本合同第20条约定的争议和纠纷解决程序处理。</w:t>
      </w:r>
      <w:bookmarkStart w:id="435" w:name="_Toc371946106"/>
      <w:bookmarkStart w:id="436" w:name="_Toc337558819"/>
    </w:p>
    <w:p w14:paraId="741324F6">
      <w:pPr>
        <w:pStyle w:val="6"/>
        <w:spacing w:before="120" w:after="120" w:line="360" w:lineRule="exact"/>
        <w:ind w:firstLine="420" w:firstLineChars="200"/>
        <w:rPr>
          <w:rFonts w:hint="eastAsia"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15.4 保修</w:t>
      </w:r>
      <w:bookmarkEnd w:id="435"/>
    </w:p>
    <w:bookmarkEnd w:id="432"/>
    <w:bookmarkEnd w:id="433"/>
    <w:bookmarkEnd w:id="436"/>
    <w:p w14:paraId="064A10A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15.4.1保修责任</w:t>
      </w:r>
    </w:p>
    <w:p w14:paraId="26D61C4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449AD73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发包人未经竣工验收擅自使用工程的，保修期自转移占有之日起算。</w:t>
      </w:r>
    </w:p>
    <w:p w14:paraId="7A4D978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15.4.2 修复费用</w:t>
      </w:r>
    </w:p>
    <w:p w14:paraId="5910F8B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保修期内，修复的费用按照以下约定处理：</w:t>
      </w:r>
    </w:p>
    <w:p w14:paraId="3664AE0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（1）保修期内，因承包人原因造成工程的缺陷、损坏，承包人应负责修复，并承担修复的费用以及因工程的缺陷、损坏造成的人身伤害和财产损失；</w:t>
      </w:r>
    </w:p>
    <w:p w14:paraId="135B9DF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（2）保修期内，因发包人使用不当造成工程的缺陷、损坏，可以委托承包人修复，但发包人应承担修复的费用，并支付承包人合理利润；</w:t>
      </w:r>
    </w:p>
    <w:p w14:paraId="023B552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（3）因其他原因造成工程的缺陷、损坏，可以委托承包人修复，发包人应承担修复的费用，并支付承包人合理的利润，因工程的缺陷、损坏造成的人身伤害和财产损失由责任方承担。</w:t>
      </w:r>
    </w:p>
    <w:p w14:paraId="46B5282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15.4.3 修复通知</w:t>
      </w:r>
    </w:p>
    <w:p w14:paraId="70D7C7F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3A2E9F3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15.4.4 未能修复</w:t>
      </w:r>
    </w:p>
    <w:p w14:paraId="4A65A15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37927A5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15.4.5 承包人出入权</w:t>
      </w:r>
    </w:p>
    <w:p w14:paraId="116AE34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12ACA6C1">
      <w:pPr>
        <w:pStyle w:val="5"/>
        <w:spacing w:before="120" w:line="360" w:lineRule="exact"/>
        <w:rPr>
          <w:rFonts w:hint="eastAsia" w:ascii="仿宋" w:hAnsi="仿宋" w:eastAsia="仿宋" w:cs="仿宋"/>
          <w:b w:val="0"/>
          <w:color w:val="auto"/>
          <w:highlight w:val="none"/>
        </w:rPr>
      </w:pPr>
      <w:bookmarkStart w:id="437" w:name="_Toc371946107"/>
      <w:bookmarkStart w:id="438" w:name="_Toc337558820"/>
      <w:r>
        <w:rPr>
          <w:rFonts w:hint="eastAsia" w:ascii="仿宋" w:hAnsi="仿宋" w:eastAsia="仿宋" w:cs="仿宋"/>
          <w:b w:val="0"/>
          <w:color w:val="auto"/>
          <w:szCs w:val="21"/>
          <w:highlight w:val="none"/>
        </w:rPr>
        <w:t>16. 违约</w:t>
      </w:r>
      <w:bookmarkEnd w:id="437"/>
    </w:p>
    <w:bookmarkEnd w:id="438"/>
    <w:p w14:paraId="52642499">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439" w:name="_Toc296503129"/>
      <w:bookmarkStart w:id="440" w:name="_Toc296346630"/>
      <w:bookmarkStart w:id="441" w:name="_Toc371946108"/>
      <w:bookmarkStart w:id="442" w:name="_Toc337558821"/>
      <w:r>
        <w:rPr>
          <w:rFonts w:hint="eastAsia" w:ascii="仿宋" w:hAnsi="仿宋" w:eastAsia="仿宋" w:cs="仿宋"/>
          <w:b w:val="0"/>
          <w:color w:val="auto"/>
          <w:sz w:val="21"/>
          <w:szCs w:val="21"/>
          <w:highlight w:val="none"/>
        </w:rPr>
        <w:t>16.1 发</w:t>
      </w:r>
      <w:bookmarkEnd w:id="439"/>
      <w:bookmarkEnd w:id="440"/>
      <w:r>
        <w:rPr>
          <w:rFonts w:hint="eastAsia" w:ascii="仿宋" w:hAnsi="仿宋" w:eastAsia="仿宋" w:cs="仿宋"/>
          <w:b w:val="0"/>
          <w:color w:val="auto"/>
          <w:sz w:val="21"/>
          <w:szCs w:val="21"/>
          <w:highlight w:val="none"/>
        </w:rPr>
        <w:t>包人违约</w:t>
      </w:r>
      <w:bookmarkEnd w:id="441"/>
    </w:p>
    <w:bookmarkEnd w:id="442"/>
    <w:p w14:paraId="4534701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专用合同条款约定。</w:t>
      </w:r>
    </w:p>
    <w:p w14:paraId="55DEA077">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443" w:name="_Toc371946109"/>
      <w:bookmarkStart w:id="444" w:name="_Toc337558822"/>
      <w:bookmarkStart w:id="445" w:name="_Toc296503131"/>
      <w:bookmarkStart w:id="446" w:name="_Toc296346632"/>
      <w:r>
        <w:rPr>
          <w:rFonts w:hint="eastAsia" w:ascii="仿宋" w:hAnsi="仿宋" w:eastAsia="仿宋" w:cs="仿宋"/>
          <w:b w:val="0"/>
          <w:color w:val="auto"/>
          <w:sz w:val="21"/>
          <w:szCs w:val="21"/>
          <w:highlight w:val="none"/>
        </w:rPr>
        <w:t>16.2 承包人违约</w:t>
      </w:r>
      <w:bookmarkEnd w:id="443"/>
    </w:p>
    <w:bookmarkEnd w:id="444"/>
    <w:bookmarkEnd w:id="445"/>
    <w:bookmarkEnd w:id="446"/>
    <w:p w14:paraId="0190A7D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16.2.1 承包人违约的情形</w:t>
      </w:r>
    </w:p>
    <w:p w14:paraId="0983137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在合同履行过程中发生的下列情形，属于承包人违约：</w:t>
      </w:r>
    </w:p>
    <w:p w14:paraId="317C456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（1）承包人违反合同约定进行转包或违法分包的；</w:t>
      </w:r>
    </w:p>
    <w:p w14:paraId="0C33853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（2）承包人违反合同约定采购和使用不合格的材料和工程设备的；</w:t>
      </w:r>
    </w:p>
    <w:p w14:paraId="3F3A8DC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（3）因承包人原因导致工程质量不符合合同要求的； </w:t>
      </w:r>
    </w:p>
    <w:p w14:paraId="073C924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（4）承包人违反第8.9款〔材料与设备专用要求〕的约定，未经批准，私自将已按照合同约定进入施工现场的材料或设备撤离施工现场的；</w:t>
      </w:r>
    </w:p>
    <w:p w14:paraId="4180EC1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（5）承包人未能按施工进度计划及时完成合同约定的工作，造成工期延误的；</w:t>
      </w:r>
    </w:p>
    <w:p w14:paraId="01CE0AE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（6）承包人在缺陷责任期及保修期内，未能在合理期限对工程缺陷进行修复，或拒绝按发包人要求进行修复的；</w:t>
      </w:r>
    </w:p>
    <w:p w14:paraId="11A6D25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（7）承包人明确表示或者以其行为表明不履行合同主要义务的；</w:t>
      </w:r>
    </w:p>
    <w:p w14:paraId="111E37A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（8）承包人未能按照合同约定履行其他义务的。</w:t>
      </w:r>
    </w:p>
    <w:p w14:paraId="77EAF4A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承包人发生除本项第（7）目约定以外的其他违约情况时，监理人可向承包人发出整改通知，要求其在指定的期限内改正。</w:t>
      </w:r>
    </w:p>
    <w:p w14:paraId="7C35FF4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16.2.2 承包人违约的责任</w:t>
      </w:r>
    </w:p>
    <w:p w14:paraId="681C0AF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承包人应承担因其违约行为而增加的费用和（或）延误的工期。此外，合同当事人可在专用合同条款中另行约定承包人违约责任的承担方式和计算方法。</w:t>
      </w:r>
    </w:p>
    <w:p w14:paraId="13E5A44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16.2.3 因承包人违约解除合同</w:t>
      </w:r>
    </w:p>
    <w:p w14:paraId="28BF4E4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40C8DB5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16.2.4因承包人违约解除合同后的处理</w:t>
      </w:r>
    </w:p>
    <w:p w14:paraId="159D73F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专用合同条款约定。</w:t>
      </w:r>
    </w:p>
    <w:p w14:paraId="3D7B979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16.2.5采购合同权益转让</w:t>
      </w:r>
    </w:p>
    <w:p w14:paraId="3CA6B13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211E0C63">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447" w:name="_Toc371946110"/>
      <w:r>
        <w:rPr>
          <w:rFonts w:hint="eastAsia" w:ascii="仿宋" w:hAnsi="仿宋" w:eastAsia="仿宋" w:cs="仿宋"/>
          <w:b w:val="0"/>
          <w:color w:val="auto"/>
          <w:sz w:val="21"/>
          <w:szCs w:val="21"/>
          <w:highlight w:val="none"/>
        </w:rPr>
        <w:t>16.3 第三人造成的违约</w:t>
      </w:r>
      <w:bookmarkEnd w:id="447"/>
    </w:p>
    <w:p w14:paraId="14231C7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在履行合同过程中，一方当事人因第三人的原因造成违约的，应当向对方当事人承担违约责任。一方当事人和第三人之间的纠纷，依照法律规定或者按照约定解决。</w:t>
      </w:r>
    </w:p>
    <w:p w14:paraId="5899670F">
      <w:pPr>
        <w:pStyle w:val="5"/>
        <w:spacing w:before="120" w:line="360" w:lineRule="exact"/>
        <w:rPr>
          <w:rFonts w:hint="eastAsia" w:ascii="仿宋" w:hAnsi="仿宋" w:eastAsia="仿宋" w:cs="仿宋"/>
          <w:b w:val="0"/>
          <w:color w:val="auto"/>
          <w:highlight w:val="none"/>
        </w:rPr>
      </w:pPr>
      <w:bookmarkStart w:id="448" w:name="_Toc296503116"/>
      <w:bookmarkStart w:id="449" w:name="_Toc296346617"/>
      <w:bookmarkStart w:id="450" w:name="_Toc337558823"/>
      <w:bookmarkStart w:id="451" w:name="_Toc371946111"/>
      <w:r>
        <w:rPr>
          <w:rFonts w:hint="eastAsia" w:ascii="仿宋" w:hAnsi="仿宋" w:eastAsia="仿宋" w:cs="仿宋"/>
          <w:b w:val="0"/>
          <w:color w:val="auto"/>
          <w:szCs w:val="21"/>
          <w:highlight w:val="none"/>
        </w:rPr>
        <w:t>17. 不可抗力</w:t>
      </w:r>
      <w:bookmarkEnd w:id="448"/>
      <w:bookmarkEnd w:id="449"/>
      <w:bookmarkEnd w:id="450"/>
      <w:bookmarkEnd w:id="451"/>
    </w:p>
    <w:p w14:paraId="0B70B8AC">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452" w:name="_Toc371946112"/>
      <w:bookmarkStart w:id="453" w:name="_Toc337558824"/>
      <w:bookmarkStart w:id="454" w:name="_Toc296346618"/>
      <w:bookmarkStart w:id="455" w:name="_Toc296503117"/>
      <w:r>
        <w:rPr>
          <w:rFonts w:hint="eastAsia" w:ascii="仿宋" w:hAnsi="仿宋" w:eastAsia="仿宋" w:cs="仿宋"/>
          <w:b w:val="0"/>
          <w:color w:val="auto"/>
          <w:sz w:val="21"/>
          <w:szCs w:val="21"/>
          <w:highlight w:val="none"/>
        </w:rPr>
        <w:t>17.1 不可抗力的确认</w:t>
      </w:r>
      <w:bookmarkEnd w:id="452"/>
    </w:p>
    <w:bookmarkEnd w:id="453"/>
    <w:bookmarkEnd w:id="454"/>
    <w:bookmarkEnd w:id="455"/>
    <w:p w14:paraId="5DCB1BA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14:paraId="4D44B34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14:paraId="153DFCEE">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456" w:name="_Toc371946113"/>
      <w:bookmarkStart w:id="457" w:name="_Toc337558825"/>
      <w:bookmarkStart w:id="458" w:name="_Toc296346619"/>
      <w:bookmarkStart w:id="459" w:name="_Toc296503118"/>
      <w:r>
        <w:rPr>
          <w:rFonts w:hint="eastAsia" w:ascii="仿宋" w:hAnsi="仿宋" w:eastAsia="仿宋" w:cs="仿宋"/>
          <w:b w:val="0"/>
          <w:color w:val="auto"/>
          <w:sz w:val="21"/>
          <w:szCs w:val="21"/>
          <w:highlight w:val="none"/>
        </w:rPr>
        <w:t>17.2 不可抗力的通知</w:t>
      </w:r>
      <w:bookmarkEnd w:id="456"/>
    </w:p>
    <w:bookmarkEnd w:id="457"/>
    <w:bookmarkEnd w:id="458"/>
    <w:bookmarkEnd w:id="459"/>
    <w:p w14:paraId="1D328A6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合同一方当事人遇到不可抗力事件，使其履行合同义务受到阻碍时，应立即通知合同另一方当事人和监理人，书面说明不可抗力和受阻碍的详细情况，并提供必要的证明。</w:t>
      </w:r>
    </w:p>
    <w:p w14:paraId="5013A9F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不可抗力持续发生的，合同一方当事人应及时向合同另一方当事人和监理人提交中间报告，说明不可抗力和履行合同受阻的情况，并于不可抗力事件结束后28天内提交最终报告及有关资料。</w:t>
      </w:r>
    </w:p>
    <w:p w14:paraId="62D8844F">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460" w:name="_Toc371946114"/>
      <w:bookmarkStart w:id="461" w:name="_Toc296346620"/>
      <w:bookmarkStart w:id="462" w:name="_Toc296503119"/>
      <w:bookmarkStart w:id="463" w:name="_Toc337558826"/>
      <w:r>
        <w:rPr>
          <w:rFonts w:hint="eastAsia" w:ascii="仿宋" w:hAnsi="仿宋" w:eastAsia="仿宋" w:cs="仿宋"/>
          <w:b w:val="0"/>
          <w:color w:val="auto"/>
          <w:sz w:val="21"/>
          <w:szCs w:val="21"/>
          <w:highlight w:val="none"/>
        </w:rPr>
        <w:t>17.3 不可抗力后果的承担</w:t>
      </w:r>
      <w:bookmarkEnd w:id="460"/>
    </w:p>
    <w:bookmarkEnd w:id="461"/>
    <w:bookmarkEnd w:id="462"/>
    <w:bookmarkEnd w:id="463"/>
    <w:p w14:paraId="0797062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17.3.1 不可抗力引起的后果及造成的损失由合同当事人按照法律规定及合同约定各自承担。不可抗力发生前已完成的工程应当按照合同约定进行计量支付。</w:t>
      </w:r>
    </w:p>
    <w:p w14:paraId="7C785CA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17.3.2 不可抗力导致的人员伤亡、财产损失、费用增加和（或）工期延误等后果，由合同当事人按以下原则承担：</w:t>
      </w:r>
    </w:p>
    <w:p w14:paraId="2693415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（1）永久工程、已运至施工现场的材料和工程设备的损坏，以及因工程损坏造成的第三人人员伤亡和财产损失由发包人承担；</w:t>
      </w:r>
    </w:p>
    <w:p w14:paraId="06B8008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（2）承包人施工设备的损坏由承包人承担；</w:t>
      </w:r>
    </w:p>
    <w:p w14:paraId="4A814F2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（3）发包人和承包人承担各自人员伤亡和财产的损失；</w:t>
      </w:r>
    </w:p>
    <w:p w14:paraId="4A295BC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（4）因不可抗力影响承包人履行合同约定的义务，已经引起或将引起工期延误的，应当顺延工期，由此导致承包人停工的费用损失由发包人和承包人合理分担，停工期间必须支付的工人工资由发包人承担；</w:t>
      </w:r>
    </w:p>
    <w:p w14:paraId="4D48F34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（5）因不可抗力引起或将引起工期延误，发包人要求赶工的，由此增加的赶工费用由发包人承担；</w:t>
      </w:r>
    </w:p>
    <w:p w14:paraId="03EADFC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（6）承包人在停工期间按照发包人要求照管、清理和修复工程的费用由发包人承担。</w:t>
      </w:r>
    </w:p>
    <w:p w14:paraId="71BB5D4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不可抗力发生后，合同当事人均应采取措施尽量避免和减少损失的扩大，任何一方当事人没有采取有效措施导致损失扩大的，应对扩大的损失承担责任。</w:t>
      </w:r>
    </w:p>
    <w:p w14:paraId="037B2C1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因合同一方迟延履行合同义务，在迟延履行期间遭遇不可抗力的，不免除其违约责任。</w:t>
      </w:r>
    </w:p>
    <w:p w14:paraId="325239FF">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464" w:name="_Toc371946115"/>
      <w:bookmarkStart w:id="465" w:name="_Toc337558827"/>
      <w:r>
        <w:rPr>
          <w:rFonts w:hint="eastAsia" w:ascii="仿宋" w:hAnsi="仿宋" w:eastAsia="仿宋" w:cs="仿宋"/>
          <w:b w:val="0"/>
          <w:color w:val="auto"/>
          <w:sz w:val="21"/>
          <w:szCs w:val="21"/>
          <w:highlight w:val="none"/>
        </w:rPr>
        <w:t>17.4 因不可抗力解除合同</w:t>
      </w:r>
      <w:bookmarkEnd w:id="464"/>
    </w:p>
    <w:bookmarkEnd w:id="465"/>
    <w:p w14:paraId="4627A8B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因不可抗力导致合同无法履行连续超过84天或累计超过140天的，发包人和承包人均有权解除合同。合同解除后，由双方当事人按照第4.4款〔商定或确定〕商定或确定发包人应支付的款项，该款项包括：</w:t>
      </w:r>
    </w:p>
    <w:p w14:paraId="2ED2961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（1）合同解除前承包人已完成工作的价款；</w:t>
      </w:r>
    </w:p>
    <w:p w14:paraId="6A51A05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（2）承包人为工程订购的并已交付给承包人，或承包人有责任接受交付的材料、工程设备和其他物品的价款；</w:t>
      </w:r>
    </w:p>
    <w:p w14:paraId="21F680C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（3）发包人要求承包人退货或解除订货合同而产生的费用，或因不能退货或解除合同而产生的损失；</w:t>
      </w:r>
    </w:p>
    <w:p w14:paraId="0D95D0E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（4）承包人撤离施工现场以及遣散承包人人员的费用；</w:t>
      </w:r>
    </w:p>
    <w:p w14:paraId="7689430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（5）按照合同约定在合同解除前应支付给承包人的其他款项；</w:t>
      </w:r>
    </w:p>
    <w:p w14:paraId="1A4B0DA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（6）扣减承包人按照合同约定应向发包人支付的款项；</w:t>
      </w:r>
    </w:p>
    <w:p w14:paraId="1C68241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（7）双方商定或确定的其他款项。</w:t>
      </w:r>
    </w:p>
    <w:p w14:paraId="5C8EFE4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除专用合同条款另有约定外，合同解除后，发包人应在商定或确定上述款项后28天内完成上述款项的支付。</w:t>
      </w:r>
    </w:p>
    <w:p w14:paraId="6AEB5F50">
      <w:pPr>
        <w:pStyle w:val="5"/>
        <w:spacing w:before="120" w:line="360" w:lineRule="exact"/>
        <w:rPr>
          <w:rFonts w:hint="eastAsia" w:ascii="仿宋" w:hAnsi="仿宋" w:eastAsia="仿宋" w:cs="仿宋"/>
          <w:b w:val="0"/>
          <w:color w:val="auto"/>
          <w:highlight w:val="none"/>
        </w:rPr>
      </w:pPr>
      <w:bookmarkStart w:id="466" w:name="_Toc371946116"/>
      <w:bookmarkStart w:id="467" w:name="_Toc337558828"/>
      <w:bookmarkStart w:id="468" w:name="_Toc296503120"/>
      <w:bookmarkStart w:id="469" w:name="_Toc296346621"/>
      <w:r>
        <w:rPr>
          <w:rFonts w:hint="eastAsia" w:ascii="仿宋" w:hAnsi="仿宋" w:eastAsia="仿宋" w:cs="仿宋"/>
          <w:b w:val="0"/>
          <w:color w:val="auto"/>
          <w:szCs w:val="21"/>
          <w:highlight w:val="none"/>
        </w:rPr>
        <w:t>18. 保险</w:t>
      </w:r>
      <w:bookmarkEnd w:id="466"/>
    </w:p>
    <w:bookmarkEnd w:id="467"/>
    <w:bookmarkEnd w:id="468"/>
    <w:bookmarkEnd w:id="469"/>
    <w:p w14:paraId="072BD70B">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470" w:name="_Toc371946117"/>
      <w:bookmarkStart w:id="471" w:name="_Toc296503121"/>
      <w:bookmarkStart w:id="472" w:name="_Toc296346622"/>
      <w:bookmarkStart w:id="473" w:name="_Toc337558829"/>
      <w:r>
        <w:rPr>
          <w:rFonts w:hint="eastAsia" w:ascii="仿宋" w:hAnsi="仿宋" w:eastAsia="仿宋" w:cs="仿宋"/>
          <w:b w:val="0"/>
          <w:color w:val="auto"/>
          <w:sz w:val="21"/>
          <w:szCs w:val="21"/>
          <w:highlight w:val="none"/>
        </w:rPr>
        <w:t>18.1 工程保险</w:t>
      </w:r>
      <w:bookmarkEnd w:id="470"/>
    </w:p>
    <w:bookmarkEnd w:id="471"/>
    <w:bookmarkEnd w:id="472"/>
    <w:bookmarkEnd w:id="473"/>
    <w:p w14:paraId="2D37566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除专用合同条款另有约定外，发包人应投保建筑工程一切险或安装工程一切险；发包人委托承包人投保的，因投保产生的保险费和其他相关费用由发包人承担。</w:t>
      </w:r>
    </w:p>
    <w:p w14:paraId="32D3956F">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474" w:name="_Toc371946118"/>
      <w:bookmarkStart w:id="475" w:name="_Toc337558830"/>
      <w:bookmarkStart w:id="476" w:name="_Toc296346623"/>
      <w:bookmarkStart w:id="477" w:name="_Toc296503122"/>
      <w:r>
        <w:rPr>
          <w:rFonts w:hint="eastAsia" w:ascii="仿宋" w:hAnsi="仿宋" w:eastAsia="仿宋" w:cs="仿宋"/>
          <w:b w:val="0"/>
          <w:color w:val="auto"/>
          <w:sz w:val="21"/>
          <w:szCs w:val="21"/>
          <w:highlight w:val="none"/>
        </w:rPr>
        <w:t>18.2 工伤保险</w:t>
      </w:r>
      <w:bookmarkEnd w:id="474"/>
    </w:p>
    <w:bookmarkEnd w:id="475"/>
    <w:bookmarkEnd w:id="476"/>
    <w:bookmarkEnd w:id="477"/>
    <w:p w14:paraId="088ADF8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18.2.1 发包人应依照法律规定参加工伤保险，并为在施工现场的全部员工办理工伤保险，缴纳工伤保险费，并要求监理人及由发包人为履行合同聘请的第三方依法参加工伤保险。</w:t>
      </w:r>
    </w:p>
    <w:p w14:paraId="66D096A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18.2.2 承包人应依照法律规定参加工伤保险，并为其履行合同的全部员工办理工伤保险，缴纳工伤保险费，并要求分包人及由承包人为履行合同聘请的第三方依法参加工伤保险。</w:t>
      </w:r>
    </w:p>
    <w:p w14:paraId="53C3D58A">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478" w:name="_Toc371946119"/>
      <w:bookmarkStart w:id="479" w:name="_Toc337558831"/>
      <w:bookmarkStart w:id="480" w:name="_Toc296503125"/>
      <w:bookmarkStart w:id="481" w:name="_Toc296346626"/>
      <w:r>
        <w:rPr>
          <w:rFonts w:hint="eastAsia" w:ascii="仿宋" w:hAnsi="仿宋" w:eastAsia="仿宋" w:cs="仿宋"/>
          <w:b w:val="0"/>
          <w:color w:val="auto"/>
          <w:sz w:val="21"/>
          <w:szCs w:val="21"/>
          <w:highlight w:val="none"/>
        </w:rPr>
        <w:t>18.3其他保险</w:t>
      </w:r>
      <w:bookmarkEnd w:id="478"/>
    </w:p>
    <w:bookmarkEnd w:id="479"/>
    <w:bookmarkEnd w:id="480"/>
    <w:bookmarkEnd w:id="481"/>
    <w:p w14:paraId="50EE1FBD">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发包人和承包人可以为其施工现场的全部人员办理意外伤害保险并支付保险费，包括其员工及为履行合同聘请的第三方的人员，具体事项由合同当事人在专用合同条款约定。</w:t>
      </w:r>
    </w:p>
    <w:p w14:paraId="50353E9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除专用合同条款另有约定外，承包人应为其施工设备等办理财产保险。</w:t>
      </w:r>
    </w:p>
    <w:p w14:paraId="3881CE94">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482" w:name="_Toc371946120"/>
      <w:r>
        <w:rPr>
          <w:rFonts w:hint="eastAsia" w:ascii="仿宋" w:hAnsi="仿宋" w:eastAsia="仿宋" w:cs="仿宋"/>
          <w:b w:val="0"/>
          <w:color w:val="auto"/>
          <w:sz w:val="21"/>
          <w:szCs w:val="21"/>
          <w:highlight w:val="none"/>
        </w:rPr>
        <w:t>18.4持续保险</w:t>
      </w:r>
      <w:bookmarkEnd w:id="482"/>
    </w:p>
    <w:p w14:paraId="0F691BF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合同当事人应与保险人保持联系，使保险人能够随时了解工程实施中的变动，并确保按保险合同条款要求持续保险。</w:t>
      </w:r>
    </w:p>
    <w:p w14:paraId="1D463F75">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483" w:name="_Toc371946121"/>
      <w:bookmarkStart w:id="484" w:name="_Toc296346627"/>
      <w:bookmarkStart w:id="485" w:name="_Toc337558832"/>
      <w:bookmarkStart w:id="486" w:name="_Toc296503126"/>
      <w:r>
        <w:rPr>
          <w:rFonts w:hint="eastAsia" w:ascii="仿宋" w:hAnsi="仿宋" w:eastAsia="仿宋" w:cs="仿宋"/>
          <w:b w:val="0"/>
          <w:color w:val="auto"/>
          <w:sz w:val="21"/>
          <w:szCs w:val="21"/>
          <w:highlight w:val="none"/>
        </w:rPr>
        <w:t>18.5 保险凭证</w:t>
      </w:r>
      <w:bookmarkEnd w:id="483"/>
    </w:p>
    <w:bookmarkEnd w:id="484"/>
    <w:bookmarkEnd w:id="485"/>
    <w:bookmarkEnd w:id="486"/>
    <w:p w14:paraId="56EDBE0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合同当事人应及时向另一方当事人提交其已投保的各项保险的凭证和保险单复印件。</w:t>
      </w:r>
    </w:p>
    <w:p w14:paraId="00094EF2">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487" w:name="_Toc371946122"/>
      <w:bookmarkStart w:id="488" w:name="_Toc337558833"/>
      <w:bookmarkStart w:id="489" w:name="_Toc296503127"/>
      <w:bookmarkStart w:id="490" w:name="_Toc296346628"/>
      <w:r>
        <w:rPr>
          <w:rFonts w:hint="eastAsia" w:ascii="仿宋" w:hAnsi="仿宋" w:eastAsia="仿宋" w:cs="仿宋"/>
          <w:b w:val="0"/>
          <w:color w:val="auto"/>
          <w:sz w:val="21"/>
          <w:szCs w:val="21"/>
          <w:highlight w:val="none"/>
        </w:rPr>
        <w:t>18.6 未按约定投保的补救</w:t>
      </w:r>
      <w:bookmarkEnd w:id="487"/>
    </w:p>
    <w:bookmarkEnd w:id="488"/>
    <w:bookmarkEnd w:id="489"/>
    <w:bookmarkEnd w:id="490"/>
    <w:p w14:paraId="1784F9F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18.6.1发包人未按合同约定办理保险，或未能使保险持续有效的，则承包人可代为办理，所需费用由发包人承担。发包人未按合同约定办理保险，导致未能得到足额赔偿的，由发包人负责补足。</w:t>
      </w:r>
    </w:p>
    <w:p w14:paraId="3ECA3AF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18.6.2承包人未按合同约定办理保险，或未能使保险持续有效的，则发包人可代为办理，所需费用由承包人承担。承包人未按合同约定办理保险，导致未能得到足额赔偿的，由承包人负责补足。</w:t>
      </w:r>
    </w:p>
    <w:p w14:paraId="79656032">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491" w:name="_Toc371946123"/>
      <w:bookmarkStart w:id="492" w:name="_Toc337558834"/>
      <w:r>
        <w:rPr>
          <w:rFonts w:hint="eastAsia" w:ascii="仿宋" w:hAnsi="仿宋" w:eastAsia="仿宋" w:cs="仿宋"/>
          <w:b w:val="0"/>
          <w:color w:val="auto"/>
          <w:sz w:val="21"/>
          <w:szCs w:val="21"/>
          <w:highlight w:val="none"/>
        </w:rPr>
        <w:t>18.7 通知义务</w:t>
      </w:r>
      <w:bookmarkEnd w:id="491"/>
    </w:p>
    <w:bookmarkEnd w:id="492"/>
    <w:p w14:paraId="0C028F90">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14:paraId="2BE0AC2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保险事故发生时，投保人应按照保险合同规定的条件和期限及时向保险人报告。发包人和承包人应当在知道保险事故发生后及时通知对方。</w:t>
      </w:r>
    </w:p>
    <w:p w14:paraId="597BECDB">
      <w:pPr>
        <w:pStyle w:val="5"/>
        <w:spacing w:before="120" w:line="360" w:lineRule="exact"/>
        <w:rPr>
          <w:rFonts w:hint="eastAsia" w:ascii="仿宋" w:hAnsi="仿宋" w:eastAsia="仿宋" w:cs="仿宋"/>
          <w:b w:val="0"/>
          <w:color w:val="auto"/>
          <w:highlight w:val="none"/>
        </w:rPr>
      </w:pPr>
      <w:bookmarkStart w:id="493" w:name="_Toc371946124"/>
      <w:bookmarkStart w:id="494" w:name="_Toc296503140"/>
      <w:bookmarkStart w:id="495" w:name="_Toc337558835"/>
      <w:bookmarkStart w:id="496" w:name="_Toc296346641"/>
      <w:r>
        <w:rPr>
          <w:rFonts w:hint="eastAsia" w:ascii="仿宋" w:hAnsi="仿宋" w:eastAsia="仿宋" w:cs="仿宋"/>
          <w:b w:val="0"/>
          <w:color w:val="auto"/>
          <w:szCs w:val="21"/>
          <w:highlight w:val="none"/>
        </w:rPr>
        <w:t>19. 索赔</w:t>
      </w:r>
      <w:bookmarkEnd w:id="493"/>
    </w:p>
    <w:bookmarkEnd w:id="494"/>
    <w:bookmarkEnd w:id="495"/>
    <w:bookmarkEnd w:id="496"/>
    <w:p w14:paraId="4ECD4168">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497" w:name="_Toc371946125"/>
      <w:bookmarkStart w:id="498" w:name="_Toc296346642"/>
      <w:bookmarkStart w:id="499" w:name="_Toc337558836"/>
      <w:bookmarkStart w:id="500" w:name="_Toc296503141"/>
      <w:r>
        <w:rPr>
          <w:rFonts w:hint="eastAsia" w:ascii="仿宋" w:hAnsi="仿宋" w:eastAsia="仿宋" w:cs="仿宋"/>
          <w:b w:val="0"/>
          <w:color w:val="auto"/>
          <w:sz w:val="21"/>
          <w:szCs w:val="21"/>
          <w:highlight w:val="none"/>
        </w:rPr>
        <w:t>19.1承包人的索赔</w:t>
      </w:r>
      <w:bookmarkEnd w:id="497"/>
    </w:p>
    <w:bookmarkEnd w:id="498"/>
    <w:bookmarkEnd w:id="499"/>
    <w:bookmarkEnd w:id="500"/>
    <w:p w14:paraId="2B0621A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根据合同约定，承包人认为有权得到追加付款和（或）延长工期的，应按以下程序向发包人提出索赔：</w:t>
      </w:r>
    </w:p>
    <w:p w14:paraId="1EB1A6A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603FEED3">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（2）承包人应在发出索赔意向通知书后28天内，向监理人正式递交索赔报告；索赔报告应详细说明索赔理由以及要求追加的付款金额和（或）延长的工期，并附必要的记录和证明材料；</w:t>
      </w:r>
    </w:p>
    <w:p w14:paraId="7D98C594">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（3）索赔事件具有持续影响的，承包人应按合理时间间隔继续递交延续索赔通知，说明持续影响的实际情况和记录，列出累计的追加付款金额和（或）工期延长天数；</w:t>
      </w:r>
    </w:p>
    <w:p w14:paraId="07F9DAC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（4）在索赔事件影响结束后28天内，承包人应向监理人递交最终索赔报告，说明最终要求索赔的追加付款金额和（或）延长的工期，并附必要的记录和证明材料。</w:t>
      </w:r>
    </w:p>
    <w:p w14:paraId="74BCE7B0">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501" w:name="_Toc371946126"/>
      <w:bookmarkStart w:id="502" w:name="_Toc296346643"/>
      <w:bookmarkStart w:id="503" w:name="_Toc337558837"/>
      <w:bookmarkStart w:id="504" w:name="_Toc296503142"/>
      <w:r>
        <w:rPr>
          <w:rFonts w:hint="eastAsia" w:ascii="仿宋" w:hAnsi="仿宋" w:eastAsia="仿宋" w:cs="仿宋"/>
          <w:b w:val="0"/>
          <w:color w:val="auto"/>
          <w:sz w:val="21"/>
          <w:szCs w:val="21"/>
          <w:highlight w:val="none"/>
        </w:rPr>
        <w:t>19.2 对承包人索赔的处理</w:t>
      </w:r>
      <w:bookmarkEnd w:id="501"/>
    </w:p>
    <w:bookmarkEnd w:id="502"/>
    <w:bookmarkEnd w:id="503"/>
    <w:bookmarkEnd w:id="504"/>
    <w:p w14:paraId="4A91601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对承包人索赔的处理如下：</w:t>
      </w:r>
    </w:p>
    <w:p w14:paraId="7B89CAB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（1）监理人应在收到索赔报告后14天内完成审查并报送发包人。监理人对索赔报告存在异议的，有权要求承包人提交全部原始记录副本；</w:t>
      </w:r>
    </w:p>
    <w:p w14:paraId="2D446F2C">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（2）发包人应在监理人收到索赔报告或有关索赔的进一步证明材料后的28天内，由监理人向承包人出具经发包人签认的索赔处理结果。发包人逾期答复的，则视为认可承包人的索赔要求；</w:t>
      </w:r>
    </w:p>
    <w:p w14:paraId="2F6666C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（3）承包人接受索赔处理结果的，索赔款项在当期进度款中进行支付；承包人不接受索赔处理结果的，按照第20条〔争议解决〕约定处理。</w:t>
      </w:r>
    </w:p>
    <w:p w14:paraId="2CA8517B">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505" w:name="_Toc371946127"/>
      <w:bookmarkStart w:id="506" w:name="_Toc296346644"/>
      <w:bookmarkStart w:id="507" w:name="_Toc337558838"/>
      <w:bookmarkStart w:id="508" w:name="_Toc296503143"/>
      <w:r>
        <w:rPr>
          <w:rFonts w:hint="eastAsia" w:ascii="仿宋" w:hAnsi="仿宋" w:eastAsia="仿宋" w:cs="仿宋"/>
          <w:b w:val="0"/>
          <w:color w:val="auto"/>
          <w:sz w:val="21"/>
          <w:szCs w:val="21"/>
          <w:highlight w:val="none"/>
        </w:rPr>
        <w:t>19.3发包人的索赔</w:t>
      </w:r>
      <w:bookmarkEnd w:id="505"/>
    </w:p>
    <w:bookmarkEnd w:id="506"/>
    <w:bookmarkEnd w:id="507"/>
    <w:bookmarkEnd w:id="508"/>
    <w:p w14:paraId="38E2840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根据合同约定，发包人认为有权得到赔付金额和（或）延长缺陷责任期的，监理人应向承包人发出通知并附有详细的证明。</w:t>
      </w:r>
    </w:p>
    <w:p w14:paraId="7015D53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050AF2D8">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509" w:name="_Toc371946128"/>
      <w:bookmarkStart w:id="510" w:name="_Toc337558839"/>
      <w:bookmarkStart w:id="511" w:name="_Toc296346645"/>
      <w:bookmarkStart w:id="512" w:name="_Toc296503144"/>
      <w:r>
        <w:rPr>
          <w:rFonts w:hint="eastAsia" w:ascii="仿宋" w:hAnsi="仿宋" w:eastAsia="仿宋" w:cs="仿宋"/>
          <w:b w:val="0"/>
          <w:color w:val="auto"/>
          <w:sz w:val="21"/>
          <w:szCs w:val="21"/>
          <w:highlight w:val="none"/>
        </w:rPr>
        <w:t>19.4 对发包人索赔的处理</w:t>
      </w:r>
      <w:bookmarkEnd w:id="509"/>
    </w:p>
    <w:bookmarkEnd w:id="510"/>
    <w:bookmarkEnd w:id="511"/>
    <w:bookmarkEnd w:id="512"/>
    <w:p w14:paraId="20E0CBB1">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对发包人索赔的处理如下：</w:t>
      </w:r>
    </w:p>
    <w:p w14:paraId="5D355689">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（1）承包人收到发包人提交的索赔报告后，应及时审查索赔报告的内容、查验发包人证明材料；</w:t>
      </w:r>
    </w:p>
    <w:p w14:paraId="52117D9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（2）承包人应在收到索赔报告或有关索赔的进一步证明材料后28天内，将索赔处理结果答复发包人。如果承包人未在上述期限内作出答复的，则视为对发包人索赔要求的认可；</w:t>
      </w:r>
    </w:p>
    <w:p w14:paraId="1FD5D78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（3）承包人接受索赔处理结果的，发包人可从应支付给承包人的合同价款中扣除赔付的金额或延长缺陷责任期；发包人不接受索赔处理结果的，按第20条〔争议解决〕约定处理。</w:t>
      </w:r>
    </w:p>
    <w:p w14:paraId="00769CD7">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513" w:name="_Toc371946129"/>
      <w:r>
        <w:rPr>
          <w:rFonts w:hint="eastAsia" w:ascii="仿宋" w:hAnsi="仿宋" w:eastAsia="仿宋" w:cs="仿宋"/>
          <w:b w:val="0"/>
          <w:color w:val="auto"/>
          <w:sz w:val="21"/>
          <w:szCs w:val="21"/>
          <w:highlight w:val="none"/>
        </w:rPr>
        <w:t>19.5 提出索赔的期限</w:t>
      </w:r>
      <w:bookmarkEnd w:id="513"/>
    </w:p>
    <w:p w14:paraId="00DC4C3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（1）承包人按第14.2款〔竣工结算审核〕约定接收竣工付款证书后，应被视为已无权再提出在工程接收证书颁发前所发生的任何索赔。</w:t>
      </w:r>
    </w:p>
    <w:p w14:paraId="78EC4AF6">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（2）承包人按第14.4款〔最终结清〕提交的最终结清申请单中，只限于提出工程接收证书颁发后发生的索赔。提出索赔的期限自接受最终结清证书时终止。</w:t>
      </w:r>
    </w:p>
    <w:p w14:paraId="63371D31">
      <w:pPr>
        <w:pStyle w:val="5"/>
        <w:spacing w:before="120" w:line="360" w:lineRule="exact"/>
        <w:rPr>
          <w:rFonts w:hint="eastAsia" w:ascii="仿宋" w:hAnsi="仿宋" w:eastAsia="仿宋" w:cs="仿宋"/>
          <w:b w:val="0"/>
          <w:color w:val="auto"/>
          <w:highlight w:val="none"/>
        </w:rPr>
      </w:pPr>
      <w:bookmarkStart w:id="514" w:name="_Toc371946130"/>
      <w:r>
        <w:rPr>
          <w:rFonts w:hint="eastAsia" w:ascii="仿宋" w:hAnsi="仿宋" w:eastAsia="仿宋" w:cs="仿宋"/>
          <w:b w:val="0"/>
          <w:color w:val="auto"/>
          <w:szCs w:val="21"/>
          <w:highlight w:val="none"/>
        </w:rPr>
        <w:t>20</w:t>
      </w:r>
      <w:bookmarkStart w:id="515" w:name="_Toc296346647"/>
      <w:bookmarkStart w:id="516" w:name="_Toc337558840"/>
      <w:bookmarkStart w:id="517" w:name="_Toc296503146"/>
      <w:r>
        <w:rPr>
          <w:rFonts w:hint="eastAsia" w:ascii="仿宋" w:hAnsi="仿宋" w:eastAsia="仿宋" w:cs="仿宋"/>
          <w:b w:val="0"/>
          <w:color w:val="auto"/>
          <w:szCs w:val="21"/>
          <w:highlight w:val="none"/>
        </w:rPr>
        <w:t>. 争议解决</w:t>
      </w:r>
      <w:bookmarkEnd w:id="514"/>
    </w:p>
    <w:bookmarkEnd w:id="515"/>
    <w:bookmarkEnd w:id="516"/>
    <w:bookmarkEnd w:id="517"/>
    <w:p w14:paraId="14D001E2">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518" w:name="_Toc371946131"/>
      <w:bookmarkStart w:id="519" w:name="_Toc337558841"/>
      <w:bookmarkStart w:id="520" w:name="_Toc296346648"/>
      <w:bookmarkStart w:id="521" w:name="_Toc296503147"/>
      <w:r>
        <w:rPr>
          <w:rFonts w:hint="eastAsia" w:ascii="仿宋" w:hAnsi="仿宋" w:eastAsia="仿宋" w:cs="仿宋"/>
          <w:b w:val="0"/>
          <w:color w:val="auto"/>
          <w:sz w:val="21"/>
          <w:szCs w:val="21"/>
          <w:highlight w:val="none"/>
        </w:rPr>
        <w:t>20.1和解</w:t>
      </w:r>
      <w:bookmarkEnd w:id="518"/>
    </w:p>
    <w:bookmarkEnd w:id="519"/>
    <w:bookmarkEnd w:id="520"/>
    <w:bookmarkEnd w:id="521"/>
    <w:p w14:paraId="5A841A7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合同当事人可以就争议自行和解，自行和解达成协议的经双方签字并盖章后作为合同补充文件，双方均应遵照执行。</w:t>
      </w:r>
    </w:p>
    <w:p w14:paraId="236DD501">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522" w:name="_Toc371946132"/>
      <w:r>
        <w:rPr>
          <w:rFonts w:hint="eastAsia" w:ascii="仿宋" w:hAnsi="仿宋" w:eastAsia="仿宋" w:cs="仿宋"/>
          <w:b w:val="0"/>
          <w:color w:val="auto"/>
          <w:sz w:val="21"/>
          <w:szCs w:val="21"/>
          <w:highlight w:val="none"/>
        </w:rPr>
        <w:t>20</w:t>
      </w:r>
      <w:bookmarkStart w:id="523" w:name="_Toc296503148"/>
      <w:bookmarkStart w:id="524" w:name="_Toc337558842"/>
      <w:bookmarkStart w:id="525" w:name="_Toc296346649"/>
      <w:r>
        <w:rPr>
          <w:rFonts w:hint="eastAsia" w:ascii="仿宋" w:hAnsi="仿宋" w:eastAsia="仿宋" w:cs="仿宋"/>
          <w:b w:val="0"/>
          <w:color w:val="auto"/>
          <w:sz w:val="21"/>
          <w:szCs w:val="21"/>
          <w:highlight w:val="none"/>
        </w:rPr>
        <w:t>.2调解</w:t>
      </w:r>
      <w:bookmarkEnd w:id="522"/>
    </w:p>
    <w:bookmarkEnd w:id="523"/>
    <w:bookmarkEnd w:id="524"/>
    <w:bookmarkEnd w:id="525"/>
    <w:p w14:paraId="08ABDDD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合同当事人可以就争议请求建设行政主管部门、行业协会或其他第三方进行调解，调解达成协议的，经双方签字并盖章后作为合同补充文件，双方均应遵照执行。</w:t>
      </w:r>
    </w:p>
    <w:p w14:paraId="5D5E1AE2">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526" w:name="_Toc371946133"/>
      <w:bookmarkStart w:id="527" w:name="_Toc337558843"/>
      <w:bookmarkStart w:id="528" w:name="_Toc296503149"/>
      <w:bookmarkStart w:id="529" w:name="_Toc296346650"/>
      <w:r>
        <w:rPr>
          <w:rFonts w:hint="eastAsia" w:ascii="仿宋" w:hAnsi="仿宋" w:eastAsia="仿宋" w:cs="仿宋"/>
          <w:b w:val="0"/>
          <w:color w:val="auto"/>
          <w:sz w:val="21"/>
          <w:szCs w:val="21"/>
          <w:highlight w:val="none"/>
        </w:rPr>
        <w:t>20.3争议评审</w:t>
      </w:r>
      <w:bookmarkEnd w:id="526"/>
    </w:p>
    <w:bookmarkEnd w:id="527"/>
    <w:bookmarkEnd w:id="528"/>
    <w:bookmarkEnd w:id="529"/>
    <w:p w14:paraId="4E39701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合同当事人在专用合同条款中约定采取争议评审方式解决争议以及评审规则，并按下列约定执行： </w:t>
      </w:r>
    </w:p>
    <w:p w14:paraId="409CB81E">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20.3.1 争议评审小组的确定</w:t>
      </w:r>
    </w:p>
    <w:p w14:paraId="1CAB847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合同当事人可以共同选择一名或三名争议评审员，组成争议评审小组。除专用合同条款另有约定外，合同当事人应当自合同签订后28天内，或者争议发生后14天内，选定争议评审员。</w:t>
      </w:r>
    </w:p>
    <w:p w14:paraId="172C92AB">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274193D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除专用合同条款另有约定外，评审员报酬由发包人和承包人各承担一半。</w:t>
      </w:r>
    </w:p>
    <w:p w14:paraId="35A8574F">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20.3.2 争议评审小组的决定</w:t>
      </w:r>
    </w:p>
    <w:p w14:paraId="6E1A984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78B1D18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20.3.3 争议评审小组决定的效力</w:t>
      </w:r>
    </w:p>
    <w:p w14:paraId="08423115">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争议评审小组作出的书面决定经合同当事人签字确认后，对双方具有约束力，双方应遵照执行。</w:t>
      </w:r>
    </w:p>
    <w:p w14:paraId="2922D14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任何一方当事人不接受争议评审小组决定或不履行争议评审小组决定的，双方可选择采用其他争议解决方式。</w:t>
      </w:r>
    </w:p>
    <w:p w14:paraId="45C50BF4">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530" w:name="_Toc371946134"/>
      <w:bookmarkStart w:id="531" w:name="_Toc337558844"/>
      <w:bookmarkStart w:id="532" w:name="_Toc296503150"/>
      <w:bookmarkStart w:id="533" w:name="_Toc296346651"/>
      <w:r>
        <w:rPr>
          <w:rFonts w:hint="eastAsia" w:ascii="仿宋" w:hAnsi="仿宋" w:eastAsia="仿宋" w:cs="仿宋"/>
          <w:b w:val="0"/>
          <w:color w:val="auto"/>
          <w:sz w:val="21"/>
          <w:szCs w:val="21"/>
          <w:highlight w:val="none"/>
        </w:rPr>
        <w:t>20.4仲裁或诉讼</w:t>
      </w:r>
      <w:bookmarkEnd w:id="530"/>
    </w:p>
    <w:bookmarkEnd w:id="531"/>
    <w:bookmarkEnd w:id="532"/>
    <w:bookmarkEnd w:id="533"/>
    <w:p w14:paraId="4C02A538">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因合同及合同有关事项产生的争议，合同当事人可以在专用合同条款中约定以下一种方式解决争议：</w:t>
      </w:r>
    </w:p>
    <w:p w14:paraId="215DEFA2">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（1）向约定的仲裁委员会申请仲裁；</w:t>
      </w:r>
    </w:p>
    <w:p w14:paraId="37E329EA">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（2）向有管辖权的人民法院起诉。</w:t>
      </w:r>
    </w:p>
    <w:p w14:paraId="4128112F">
      <w:pPr>
        <w:pStyle w:val="6"/>
        <w:spacing w:before="120" w:after="120" w:line="360" w:lineRule="exact"/>
        <w:ind w:firstLine="420" w:firstLineChars="200"/>
        <w:rPr>
          <w:rFonts w:hint="eastAsia" w:ascii="仿宋" w:hAnsi="仿宋" w:eastAsia="仿宋" w:cs="仿宋"/>
          <w:b w:val="0"/>
          <w:color w:val="auto"/>
          <w:sz w:val="21"/>
          <w:szCs w:val="21"/>
          <w:highlight w:val="none"/>
        </w:rPr>
      </w:pPr>
      <w:bookmarkStart w:id="534" w:name="_Toc371946135"/>
      <w:bookmarkStart w:id="535" w:name="_Toc296503152"/>
      <w:bookmarkStart w:id="536" w:name="_Toc296346653"/>
      <w:bookmarkStart w:id="537" w:name="_Toc337558845"/>
      <w:r>
        <w:rPr>
          <w:rFonts w:hint="eastAsia" w:ascii="仿宋" w:hAnsi="仿宋" w:eastAsia="仿宋" w:cs="仿宋"/>
          <w:b w:val="0"/>
          <w:color w:val="auto"/>
          <w:sz w:val="21"/>
          <w:szCs w:val="21"/>
          <w:highlight w:val="none"/>
        </w:rPr>
        <w:t>20.5争议解决条款效力</w:t>
      </w:r>
      <w:bookmarkEnd w:id="534"/>
    </w:p>
    <w:bookmarkEnd w:id="535"/>
    <w:bookmarkEnd w:id="536"/>
    <w:bookmarkEnd w:id="537"/>
    <w:p w14:paraId="5EB80D87">
      <w:pPr>
        <w:spacing w:line="36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合同有关争议解决的条款独立存在，合同的变更、解除、终止、无效或者被撤销均不影响其效力。 </w:t>
      </w:r>
    </w:p>
    <w:p w14:paraId="3D658F97"/>
    <w:p w14:paraId="73693C33"/>
    <w:p w14:paraId="3E7F05EC"/>
    <w:p w14:paraId="239B2124"/>
    <w:p w14:paraId="19102B67"/>
    <w:p w14:paraId="7BF8E9DE"/>
    <w:p w14:paraId="0F60586F"/>
    <w:p w14:paraId="134AA1C4"/>
    <w:p w14:paraId="5643B444"/>
    <w:p w14:paraId="0FE5EF7F"/>
    <w:p w14:paraId="52D9AABA"/>
    <w:p w14:paraId="087802FE"/>
    <w:p w14:paraId="306F6580"/>
    <w:p w14:paraId="41AEA597"/>
    <w:p w14:paraId="73B7697D"/>
    <w:p w14:paraId="21A67262"/>
    <w:p w14:paraId="0C4E728E"/>
    <w:p w14:paraId="6E2FD26E"/>
    <w:p w14:paraId="5BAD4A27">
      <w:pPr>
        <w:spacing w:line="360" w:lineRule="auto"/>
        <w:ind w:firstLine="602" w:firstLineChars="200"/>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第三部分 专用合同条款</w:t>
      </w:r>
    </w:p>
    <w:p w14:paraId="2BA98C1F">
      <w:pPr>
        <w:pStyle w:val="5"/>
        <w:spacing w:before="0" w:after="0" w:line="360" w:lineRule="auto"/>
        <w:rPr>
          <w:rFonts w:hint="eastAsia" w:ascii="仿宋" w:hAnsi="仿宋" w:eastAsia="仿宋" w:cs="仿宋"/>
          <w:b w:val="0"/>
          <w:color w:val="auto"/>
          <w:sz w:val="21"/>
          <w:szCs w:val="21"/>
          <w:highlight w:val="none"/>
        </w:rPr>
      </w:pPr>
      <w:bookmarkStart w:id="538" w:name="_Toc371946136"/>
      <w:r>
        <w:rPr>
          <w:rFonts w:hint="eastAsia" w:ascii="仿宋" w:hAnsi="仿宋" w:eastAsia="仿宋" w:cs="仿宋"/>
          <w:b w:val="0"/>
          <w:color w:val="auto"/>
          <w:sz w:val="21"/>
          <w:szCs w:val="21"/>
          <w:highlight w:val="none"/>
        </w:rPr>
        <w:t>1</w:t>
      </w:r>
      <w:bookmarkStart w:id="539" w:name="_Toc296347155"/>
      <w:bookmarkStart w:id="540" w:name="_Toc297120456"/>
      <w:bookmarkStart w:id="541" w:name="_Toc296503156"/>
      <w:bookmarkStart w:id="542" w:name="_Toc292559361"/>
      <w:bookmarkStart w:id="543" w:name="_Toc296346657"/>
      <w:bookmarkStart w:id="544" w:name="_Toc297048342"/>
      <w:bookmarkStart w:id="545" w:name="_Toc292559866"/>
      <w:bookmarkStart w:id="546" w:name="_Toc296891196"/>
      <w:bookmarkStart w:id="547" w:name="_Toc296944495"/>
      <w:bookmarkStart w:id="548" w:name="_Toc296890984"/>
      <w:r>
        <w:rPr>
          <w:rFonts w:hint="eastAsia" w:ascii="仿宋" w:hAnsi="仿宋" w:eastAsia="仿宋" w:cs="仿宋"/>
          <w:b w:val="0"/>
          <w:color w:val="auto"/>
          <w:sz w:val="21"/>
          <w:szCs w:val="21"/>
          <w:highlight w:val="none"/>
        </w:rPr>
        <w:t>. 一般约定</w:t>
      </w:r>
      <w:bookmarkEnd w:id="538"/>
    </w:p>
    <w:bookmarkEnd w:id="539"/>
    <w:bookmarkEnd w:id="540"/>
    <w:bookmarkEnd w:id="541"/>
    <w:bookmarkEnd w:id="542"/>
    <w:bookmarkEnd w:id="543"/>
    <w:bookmarkEnd w:id="544"/>
    <w:bookmarkEnd w:id="545"/>
    <w:bookmarkEnd w:id="546"/>
    <w:bookmarkEnd w:id="547"/>
    <w:bookmarkEnd w:id="548"/>
    <w:p w14:paraId="31A533F4">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1.1 词语定义</w:t>
      </w:r>
    </w:p>
    <w:p w14:paraId="27D7DCA5">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1.1.1合同</w:t>
      </w:r>
    </w:p>
    <w:p w14:paraId="0DC98149">
      <w:pPr>
        <w:spacing w:line="360" w:lineRule="auto"/>
        <w:ind w:left="724" w:leftChars="195" w:hanging="315" w:hanging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1.1.1.</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其他合同文件包括：</w:t>
      </w:r>
      <w:r>
        <w:rPr>
          <w:rFonts w:hint="eastAsia" w:ascii="仿宋" w:hAnsi="仿宋" w:eastAsia="仿宋" w:cs="仿宋"/>
          <w:b/>
          <w:color w:val="auto"/>
          <w:szCs w:val="21"/>
          <w:highlight w:val="none"/>
          <w:u w:val="single"/>
        </w:rPr>
        <w:t>承包人投标文件及澄清、招标文件及补遗</w:t>
      </w:r>
      <w:r>
        <w:rPr>
          <w:rFonts w:hint="eastAsia" w:ascii="仿宋" w:hAnsi="仿宋" w:eastAsia="仿宋" w:cs="仿宋"/>
          <w:color w:val="auto"/>
          <w:szCs w:val="21"/>
          <w:highlight w:val="none"/>
        </w:rPr>
        <w:t>。</w:t>
      </w:r>
    </w:p>
    <w:p w14:paraId="7DF6A793">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1.1.2 合同当事人及其他相关方</w:t>
      </w:r>
    </w:p>
    <w:p w14:paraId="5F49FFFB">
      <w:pPr>
        <w:pStyle w:val="8"/>
        <w:ind w:firstLine="420" w:firstLineChars="200"/>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rPr>
        <w:t>1.1.2.</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监理人</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本项目不设置监理人，合同所涉及的监理人的职能工作由发包人执行</w:t>
      </w:r>
    </w:p>
    <w:p w14:paraId="224CF6B2">
      <w:pPr>
        <w:pStyle w:val="8"/>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w:t>
      </w:r>
    </w:p>
    <w:p w14:paraId="70FAE29C">
      <w:pPr>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名    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w:t>
      </w:r>
    </w:p>
    <w:p w14:paraId="00AB8ABA">
      <w:pPr>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资质类别和等级：</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w:t>
      </w:r>
    </w:p>
    <w:p w14:paraId="1FF945E6">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联系电话：</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w:t>
      </w:r>
    </w:p>
    <w:p w14:paraId="01E25C6A">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电子信箱：</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w:t>
      </w:r>
    </w:p>
    <w:p w14:paraId="2798F64A">
      <w:pPr>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通信地址：</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w:t>
      </w:r>
    </w:p>
    <w:p w14:paraId="0D905D56">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1.1.2.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设计人：</w:t>
      </w:r>
    </w:p>
    <w:p w14:paraId="3E0D1AA3">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名    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b/>
          <w:bCs/>
          <w:color w:val="auto"/>
          <w:szCs w:val="21"/>
          <w:highlight w:val="none"/>
          <w:u w:val="single"/>
        </w:rPr>
        <w:t xml:space="preserve"> </w:t>
      </w:r>
      <w:r>
        <w:rPr>
          <w:rFonts w:hint="eastAsia" w:ascii="仿宋" w:hAnsi="仿宋" w:eastAsia="仿宋" w:cs="仿宋"/>
          <w:color w:val="auto"/>
          <w:szCs w:val="21"/>
          <w:highlight w:val="none"/>
        </w:rPr>
        <w:t>；</w:t>
      </w:r>
    </w:p>
    <w:p w14:paraId="03724D61">
      <w:pPr>
        <w:tabs>
          <w:tab w:val="left" w:pos="5477"/>
        </w:tabs>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资质类别和等级：</w:t>
      </w:r>
      <w:r>
        <w:rPr>
          <w:rFonts w:hint="eastAsia" w:ascii="仿宋" w:hAnsi="仿宋" w:eastAsia="仿宋" w:cs="仿宋"/>
          <w:b/>
          <w:bCs/>
          <w:color w:val="auto"/>
          <w:szCs w:val="21"/>
          <w:highlight w:val="none"/>
          <w:u w:val="single"/>
        </w:rPr>
        <w:t xml:space="preserve"> </w:t>
      </w:r>
      <w:r>
        <w:rPr>
          <w:rFonts w:hint="eastAsia" w:ascii="仿宋" w:hAnsi="仿宋" w:eastAsia="仿宋" w:cs="仿宋"/>
          <w:b/>
          <w:bCs/>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b/>
          <w:bCs/>
          <w:color w:val="auto"/>
          <w:szCs w:val="21"/>
          <w:highlight w:val="none"/>
          <w:u w:val="single"/>
        </w:rPr>
        <w:t xml:space="preserve"> </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ab/>
      </w:r>
    </w:p>
    <w:p w14:paraId="66F800A1">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联系电话：</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b/>
          <w:bCs/>
          <w:color w:val="auto"/>
          <w:szCs w:val="21"/>
          <w:highlight w:val="none"/>
          <w:u w:val="single"/>
        </w:rPr>
        <w:t></w:t>
      </w:r>
      <w:r>
        <w:rPr>
          <w:rFonts w:hint="eastAsia" w:ascii="仿宋" w:hAnsi="仿宋" w:eastAsia="仿宋" w:cs="仿宋"/>
          <w:color w:val="auto"/>
          <w:szCs w:val="21"/>
          <w:highlight w:val="none"/>
          <w:u w:val="single"/>
        </w:rPr>
        <w:t xml:space="preserve">    </w:t>
      </w:r>
      <w:r>
        <w:rPr>
          <w:rFonts w:hint="eastAsia" w:ascii="仿宋" w:hAnsi="仿宋" w:eastAsia="仿宋" w:cs="仿宋"/>
          <w:b/>
          <w:bCs/>
          <w:color w:val="auto"/>
          <w:szCs w:val="21"/>
          <w:highlight w:val="none"/>
          <w:u w:val="single"/>
        </w:rPr>
        <w:t xml:space="preserve">  </w:t>
      </w:r>
      <w:r>
        <w:rPr>
          <w:rFonts w:hint="eastAsia" w:ascii="仿宋" w:hAnsi="仿宋" w:eastAsia="仿宋" w:cs="仿宋"/>
          <w:color w:val="auto"/>
          <w:szCs w:val="21"/>
          <w:highlight w:val="none"/>
        </w:rPr>
        <w:t>；</w:t>
      </w:r>
    </w:p>
    <w:p w14:paraId="186CCF7F">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电子信箱：</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b/>
          <w:bCs/>
          <w:color w:val="auto"/>
          <w:szCs w:val="21"/>
          <w:highlight w:val="none"/>
          <w:u w:val="single"/>
        </w:rPr>
        <w:t></w:t>
      </w:r>
      <w:r>
        <w:rPr>
          <w:rFonts w:hint="eastAsia" w:ascii="仿宋" w:hAnsi="仿宋" w:eastAsia="仿宋" w:cs="仿宋"/>
          <w:color w:val="auto"/>
          <w:szCs w:val="21"/>
          <w:highlight w:val="none"/>
        </w:rPr>
        <w:t>；</w:t>
      </w:r>
    </w:p>
    <w:p w14:paraId="64CBD72D">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通信地址：</w:t>
      </w:r>
      <w:r>
        <w:rPr>
          <w:rFonts w:hint="eastAsia" w:ascii="仿宋" w:hAnsi="仿宋" w:eastAsia="仿宋" w:cs="仿宋"/>
          <w:b/>
          <w:bCs/>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b/>
          <w:bCs/>
          <w:color w:val="auto"/>
          <w:szCs w:val="21"/>
          <w:highlight w:val="none"/>
          <w:u w:val="single"/>
        </w:rPr>
        <w:t xml:space="preserve"> </w:t>
      </w:r>
      <w:r>
        <w:rPr>
          <w:rFonts w:hint="eastAsia" w:ascii="仿宋" w:hAnsi="仿宋" w:eastAsia="仿宋" w:cs="仿宋"/>
          <w:color w:val="auto"/>
          <w:szCs w:val="21"/>
          <w:highlight w:val="none"/>
        </w:rPr>
        <w:t>。</w:t>
      </w:r>
    </w:p>
    <w:p w14:paraId="60203805">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1.1.3 工程和设备</w:t>
      </w:r>
    </w:p>
    <w:p w14:paraId="172B42AA">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1.1.3.</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 xml:space="preserve"> 作为施工现场组成部分的其他场所包括：</w:t>
      </w:r>
      <w:r>
        <w:rPr>
          <w:rFonts w:hint="eastAsia" w:ascii="仿宋" w:hAnsi="仿宋" w:eastAsia="仿宋" w:cs="仿宋"/>
          <w:b/>
          <w:color w:val="auto"/>
          <w:szCs w:val="21"/>
          <w:highlight w:val="none"/>
          <w:u w:val="single"/>
        </w:rPr>
        <w:t>详见本工程总平图</w:t>
      </w:r>
      <w:r>
        <w:rPr>
          <w:rFonts w:hint="eastAsia" w:ascii="仿宋" w:hAnsi="仿宋" w:eastAsia="仿宋" w:cs="仿宋"/>
          <w:color w:val="auto"/>
          <w:szCs w:val="21"/>
          <w:highlight w:val="none"/>
        </w:rPr>
        <w:t>。</w:t>
      </w:r>
    </w:p>
    <w:p w14:paraId="2BFF6675">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1.1.3.</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永久占地包括：</w:t>
      </w:r>
      <w:r>
        <w:rPr>
          <w:rFonts w:hint="eastAsia" w:ascii="仿宋" w:hAnsi="仿宋" w:eastAsia="仿宋" w:cs="仿宋"/>
          <w:b/>
          <w:color w:val="auto"/>
          <w:szCs w:val="21"/>
          <w:highlight w:val="none"/>
          <w:u w:val="single"/>
        </w:rPr>
        <w:t>本合同工程需永久占用的土地</w:t>
      </w:r>
      <w:r>
        <w:rPr>
          <w:rFonts w:hint="eastAsia" w:ascii="仿宋" w:hAnsi="仿宋" w:eastAsia="仿宋" w:cs="仿宋"/>
          <w:color w:val="auto"/>
          <w:szCs w:val="21"/>
          <w:highlight w:val="none"/>
        </w:rPr>
        <w:t>。</w:t>
      </w:r>
    </w:p>
    <w:p w14:paraId="6CF013AD">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1.1.3.</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临时占地包括：</w:t>
      </w:r>
      <w:r>
        <w:rPr>
          <w:rFonts w:hint="eastAsia" w:ascii="仿宋" w:hAnsi="仿宋" w:eastAsia="仿宋" w:cs="仿宋"/>
          <w:b/>
          <w:color w:val="auto"/>
          <w:szCs w:val="21"/>
          <w:highlight w:val="none"/>
          <w:u w:val="single"/>
        </w:rPr>
        <w:t>本合同工程需临时占用的土地</w:t>
      </w:r>
      <w:r>
        <w:rPr>
          <w:rFonts w:hint="eastAsia" w:ascii="仿宋" w:hAnsi="仿宋" w:eastAsia="仿宋" w:cs="仿宋"/>
          <w:color w:val="auto"/>
          <w:szCs w:val="21"/>
          <w:highlight w:val="none"/>
        </w:rPr>
        <w:t>。。</w:t>
      </w:r>
    </w:p>
    <w:p w14:paraId="3CCE4BD4">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1.3法律 </w:t>
      </w:r>
    </w:p>
    <w:p w14:paraId="726C353E">
      <w:pPr>
        <w:spacing w:line="360" w:lineRule="auto"/>
        <w:ind w:firstLine="420" w:firstLineChars="200"/>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适用于合同的其他规范性文件：</w:t>
      </w:r>
      <w:r>
        <w:rPr>
          <w:rFonts w:hint="eastAsia" w:ascii="仿宋" w:hAnsi="仿宋" w:eastAsia="仿宋" w:cs="仿宋"/>
          <w:b/>
          <w:color w:val="auto"/>
          <w:szCs w:val="21"/>
          <w:highlight w:val="none"/>
          <w:u w:val="single"/>
        </w:rPr>
        <w:t>本工程适用于现行国家及工程所在地省、市、县政府有关主管部门制定的有关工程建设的规范性文件</w:t>
      </w:r>
      <w:r>
        <w:rPr>
          <w:rFonts w:hint="eastAsia" w:ascii="仿宋" w:hAnsi="仿宋" w:eastAsia="仿宋" w:cs="仿宋"/>
          <w:color w:val="auto"/>
          <w:szCs w:val="21"/>
          <w:highlight w:val="none"/>
        </w:rPr>
        <w:t>。</w:t>
      </w:r>
    </w:p>
    <w:p w14:paraId="56B19390">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1.4 标准和规范</w:t>
      </w:r>
    </w:p>
    <w:p w14:paraId="30B61B29">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1.4.1适用于工程的标准规范包括：</w:t>
      </w:r>
      <w:r>
        <w:rPr>
          <w:rFonts w:hint="eastAsia" w:ascii="仿宋" w:hAnsi="仿宋" w:eastAsia="仿宋" w:cs="仿宋"/>
          <w:b/>
          <w:color w:val="auto"/>
          <w:szCs w:val="21"/>
          <w:highlight w:val="none"/>
          <w:u w:val="single"/>
        </w:rPr>
        <w:t>除通用合同条款外，还包括本工程招标文件约定的，施工图设计文件及工程量清单所适用的标准和规范及国家、行业和地方现行的有关工程建设的标准和规范、规程、施工质量验收规范及相关配套文件</w:t>
      </w:r>
      <w:r>
        <w:rPr>
          <w:rFonts w:hint="eastAsia" w:ascii="仿宋" w:hAnsi="仿宋" w:eastAsia="仿宋" w:cs="仿宋"/>
          <w:b/>
          <w:color w:val="auto"/>
          <w:szCs w:val="21"/>
          <w:highlight w:val="none"/>
        </w:rPr>
        <w:t>。</w:t>
      </w:r>
    </w:p>
    <w:p w14:paraId="15B84FFB">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1.4.2 发包人提供国外标准、规范的名称：</w:t>
      </w:r>
      <w:r>
        <w:rPr>
          <w:rFonts w:hint="eastAsia" w:ascii="仿宋" w:hAnsi="仿宋" w:eastAsia="仿宋" w:cs="仿宋"/>
          <w:color w:val="auto"/>
          <w:szCs w:val="21"/>
          <w:highlight w:val="none"/>
          <w:u w:val="single"/>
        </w:rPr>
        <w:t>/</w:t>
      </w:r>
      <w:r>
        <w:rPr>
          <w:rFonts w:hint="eastAsia" w:ascii="仿宋" w:hAnsi="仿宋" w:eastAsia="仿宋" w:cs="仿宋"/>
          <w:color w:val="auto"/>
          <w:szCs w:val="21"/>
          <w:highlight w:val="none"/>
        </w:rPr>
        <w:t>；</w:t>
      </w:r>
    </w:p>
    <w:p w14:paraId="273AE653">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发包人提供国外标准、规范的份数：</w:t>
      </w:r>
      <w:r>
        <w:rPr>
          <w:rFonts w:hint="eastAsia" w:ascii="仿宋" w:hAnsi="仿宋" w:eastAsia="仿宋" w:cs="仿宋"/>
          <w:color w:val="auto"/>
          <w:szCs w:val="21"/>
          <w:highlight w:val="none"/>
          <w:u w:val="single"/>
        </w:rPr>
        <w:t>/</w:t>
      </w:r>
      <w:r>
        <w:rPr>
          <w:rFonts w:hint="eastAsia" w:ascii="仿宋" w:hAnsi="仿宋" w:eastAsia="仿宋" w:cs="仿宋"/>
          <w:color w:val="auto"/>
          <w:szCs w:val="21"/>
          <w:highlight w:val="none"/>
        </w:rPr>
        <w:t>；</w:t>
      </w:r>
    </w:p>
    <w:p w14:paraId="50E55831">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发包人提供国外标准、规范的名称：</w:t>
      </w:r>
      <w:r>
        <w:rPr>
          <w:rFonts w:hint="eastAsia" w:ascii="仿宋" w:hAnsi="仿宋" w:eastAsia="仿宋" w:cs="仿宋"/>
          <w:color w:val="auto"/>
          <w:szCs w:val="21"/>
          <w:highlight w:val="none"/>
          <w:u w:val="single"/>
        </w:rPr>
        <w:t>/</w:t>
      </w:r>
      <w:r>
        <w:rPr>
          <w:rFonts w:hint="eastAsia" w:ascii="仿宋" w:hAnsi="仿宋" w:eastAsia="仿宋" w:cs="仿宋"/>
          <w:color w:val="auto"/>
          <w:szCs w:val="21"/>
          <w:highlight w:val="none"/>
        </w:rPr>
        <w:t>。</w:t>
      </w:r>
    </w:p>
    <w:p w14:paraId="5121F428">
      <w:pPr>
        <w:spacing w:line="360" w:lineRule="auto"/>
        <w:ind w:left="0" w:leftChars="0"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1.4.3发包人对工程的技术标准和功能要求的特殊要求：</w:t>
      </w:r>
      <w:r>
        <w:rPr>
          <w:rFonts w:hint="eastAsia" w:ascii="仿宋" w:hAnsi="仿宋" w:eastAsia="仿宋" w:cs="仿宋"/>
          <w:b/>
          <w:color w:val="auto"/>
          <w:szCs w:val="21"/>
          <w:highlight w:val="none"/>
          <w:u w:val="single"/>
        </w:rPr>
        <w:t>本工程招标文件、施工图设计文件及工程量清单有特殊要求的，从其要求</w:t>
      </w:r>
      <w:r>
        <w:rPr>
          <w:rFonts w:hint="eastAsia" w:ascii="仿宋" w:hAnsi="仿宋" w:eastAsia="仿宋" w:cs="仿宋"/>
          <w:color w:val="auto"/>
          <w:szCs w:val="21"/>
          <w:highlight w:val="none"/>
        </w:rPr>
        <w:t>。</w:t>
      </w:r>
    </w:p>
    <w:p w14:paraId="39F50966">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1.5 合同文件的优先顺序</w:t>
      </w:r>
    </w:p>
    <w:p w14:paraId="3886120D">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合同文件组成及优先顺序为：</w:t>
      </w:r>
      <w:r>
        <w:rPr>
          <w:rFonts w:hint="eastAsia" w:ascii="仿宋" w:hAnsi="仿宋" w:eastAsia="仿宋" w:cs="仿宋"/>
          <w:b/>
          <w:color w:val="auto"/>
          <w:szCs w:val="21"/>
          <w:highlight w:val="none"/>
          <w:u w:val="single"/>
        </w:rPr>
        <w:t>按通用合同条款执行</w:t>
      </w:r>
      <w:r>
        <w:rPr>
          <w:rFonts w:hint="eastAsia" w:ascii="仿宋" w:hAnsi="仿宋" w:eastAsia="仿宋" w:cs="仿宋"/>
          <w:color w:val="auto"/>
          <w:szCs w:val="21"/>
          <w:highlight w:val="none"/>
          <w:u w:val="single"/>
        </w:rPr>
        <w:t>。</w:t>
      </w:r>
      <w:r>
        <w:rPr>
          <w:rFonts w:hint="eastAsia" w:ascii="仿宋" w:hAnsi="仿宋" w:eastAsia="仿宋" w:cs="仿宋"/>
          <w:b/>
          <w:color w:val="auto"/>
          <w:szCs w:val="21"/>
          <w:highlight w:val="none"/>
          <w:u w:val="single"/>
        </w:rPr>
        <w:t>本工程通用合同条款和专用合同条款就同一内容约定不一致的，按专用合同条款的约定执行</w:t>
      </w:r>
      <w:r>
        <w:rPr>
          <w:rFonts w:hint="eastAsia" w:ascii="仿宋" w:hAnsi="仿宋" w:eastAsia="仿宋" w:cs="仿宋"/>
          <w:color w:val="auto"/>
          <w:szCs w:val="21"/>
          <w:highlight w:val="none"/>
        </w:rPr>
        <w:t>。</w:t>
      </w:r>
    </w:p>
    <w:p w14:paraId="4D66762A">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1.6 图纸和承包人文件</w:t>
      </w:r>
      <w:r>
        <w:rPr>
          <w:rFonts w:hint="eastAsia" w:ascii="仿宋" w:hAnsi="仿宋" w:eastAsia="仿宋" w:cs="仿宋"/>
          <w:color w:val="auto"/>
          <w:szCs w:val="21"/>
          <w:highlight w:val="none"/>
        </w:rPr>
        <w:tab/>
      </w:r>
    </w:p>
    <w:p w14:paraId="2E45CED6">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1.6.1 图纸的提供</w:t>
      </w:r>
    </w:p>
    <w:p w14:paraId="5E0E4384">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发包人向承包人提供图纸的期限：</w:t>
      </w:r>
      <w:r>
        <w:rPr>
          <w:rFonts w:hint="eastAsia" w:ascii="仿宋" w:hAnsi="仿宋" w:eastAsia="仿宋" w:cs="仿宋"/>
          <w:b/>
          <w:color w:val="auto"/>
          <w:szCs w:val="21"/>
          <w:highlight w:val="none"/>
          <w:u w:val="single"/>
        </w:rPr>
        <w:t>开工日期前3天</w:t>
      </w:r>
      <w:r>
        <w:rPr>
          <w:rFonts w:hint="eastAsia" w:ascii="仿宋" w:hAnsi="仿宋" w:eastAsia="仿宋" w:cs="仿宋"/>
          <w:b/>
          <w:color w:val="auto"/>
          <w:szCs w:val="21"/>
          <w:highlight w:val="none"/>
        </w:rPr>
        <w:t>；</w:t>
      </w:r>
    </w:p>
    <w:p w14:paraId="69B3A0E0">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发包人向承包人提供图纸的数量：</w:t>
      </w:r>
      <w:r>
        <w:rPr>
          <w:rFonts w:hint="eastAsia" w:ascii="仿宋" w:hAnsi="仿宋" w:eastAsia="仿宋" w:cs="仿宋"/>
          <w:b/>
          <w:color w:val="auto"/>
          <w:szCs w:val="21"/>
          <w:highlight w:val="none"/>
          <w:u w:val="single"/>
        </w:rPr>
        <w:t>3套（含招标时提供的1套</w:t>
      </w:r>
      <w:r>
        <w:rPr>
          <w:rFonts w:hint="eastAsia" w:ascii="仿宋" w:hAnsi="仿宋" w:eastAsia="仿宋" w:cs="仿宋"/>
          <w:b/>
          <w:color w:val="auto"/>
          <w:szCs w:val="21"/>
          <w:highlight w:val="none"/>
        </w:rPr>
        <w:t>）；</w:t>
      </w:r>
    </w:p>
    <w:p w14:paraId="73CAF01D">
      <w:pPr>
        <w:spacing w:line="360" w:lineRule="auto"/>
        <w:ind w:firstLine="420" w:firstLineChars="200"/>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发包人向承包人提供图纸的内容：</w:t>
      </w:r>
      <w:r>
        <w:rPr>
          <w:rFonts w:hint="eastAsia" w:ascii="仿宋" w:hAnsi="仿宋" w:eastAsia="仿宋" w:cs="仿宋"/>
          <w:b/>
          <w:color w:val="auto"/>
          <w:szCs w:val="21"/>
          <w:highlight w:val="none"/>
          <w:u w:val="single"/>
        </w:rPr>
        <w:t>完成本工程承包范围内容所需的应当由发包人提供的施工图纸及相关设计成果文件</w:t>
      </w:r>
      <w:r>
        <w:rPr>
          <w:rFonts w:hint="eastAsia" w:ascii="仿宋" w:hAnsi="仿宋" w:eastAsia="仿宋" w:cs="仿宋"/>
          <w:color w:val="auto"/>
          <w:szCs w:val="21"/>
          <w:highlight w:val="none"/>
        </w:rPr>
        <w:t>。</w:t>
      </w:r>
    </w:p>
    <w:p w14:paraId="38F42099">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1.6.4 承包人文件</w:t>
      </w:r>
    </w:p>
    <w:p w14:paraId="271BE42A">
      <w:pPr>
        <w:spacing w:line="360" w:lineRule="auto"/>
        <w:ind w:firstLine="420" w:firstLineChars="200"/>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需要由承包人提供的文件，包括：</w:t>
      </w:r>
      <w:r>
        <w:rPr>
          <w:rFonts w:hint="eastAsia" w:ascii="仿宋" w:hAnsi="仿宋" w:eastAsia="仿宋" w:cs="仿宋"/>
          <w:b/>
          <w:color w:val="auto"/>
          <w:szCs w:val="21"/>
          <w:highlight w:val="none"/>
          <w:u w:val="single"/>
        </w:rPr>
        <w:t>施工组织设计、已标价工程量清单以及监理人要求提供的其他与工程施工有关的文件</w:t>
      </w:r>
      <w:r>
        <w:rPr>
          <w:rFonts w:hint="eastAsia" w:ascii="仿宋" w:hAnsi="仿宋" w:eastAsia="仿宋" w:cs="仿宋"/>
          <w:b/>
          <w:color w:val="auto"/>
          <w:szCs w:val="21"/>
          <w:highlight w:val="none"/>
        </w:rPr>
        <w:t>；</w:t>
      </w:r>
    </w:p>
    <w:p w14:paraId="5AC29355">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承包人提供的文件的期限为：</w:t>
      </w:r>
      <w:r>
        <w:rPr>
          <w:rFonts w:hint="eastAsia" w:ascii="仿宋" w:hAnsi="仿宋" w:eastAsia="仿宋" w:cs="仿宋"/>
          <w:b/>
          <w:color w:val="auto"/>
          <w:szCs w:val="21"/>
          <w:highlight w:val="none"/>
          <w:u w:val="single"/>
        </w:rPr>
        <w:t>按监理人要求提供</w:t>
      </w:r>
      <w:r>
        <w:rPr>
          <w:rFonts w:hint="eastAsia" w:ascii="仿宋" w:hAnsi="仿宋" w:eastAsia="仿宋" w:cs="仿宋"/>
          <w:color w:val="auto"/>
          <w:szCs w:val="21"/>
          <w:highlight w:val="none"/>
        </w:rPr>
        <w:t>；</w:t>
      </w:r>
    </w:p>
    <w:p w14:paraId="1B0BF46A">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承包人提供的文件的数量为：</w:t>
      </w:r>
      <w:r>
        <w:rPr>
          <w:rFonts w:hint="eastAsia" w:ascii="仿宋" w:hAnsi="仿宋" w:eastAsia="仿宋" w:cs="仿宋"/>
          <w:b/>
          <w:color w:val="auto"/>
          <w:szCs w:val="21"/>
          <w:highlight w:val="none"/>
          <w:u w:val="single"/>
        </w:rPr>
        <w:t>按监理人要求提供</w:t>
      </w:r>
      <w:r>
        <w:rPr>
          <w:rFonts w:hint="eastAsia" w:ascii="仿宋" w:hAnsi="仿宋" w:eastAsia="仿宋" w:cs="仿宋"/>
          <w:b/>
          <w:color w:val="auto"/>
          <w:szCs w:val="21"/>
          <w:highlight w:val="none"/>
        </w:rPr>
        <w:t>；</w:t>
      </w:r>
    </w:p>
    <w:p w14:paraId="1D739671">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承包人提供的文件的形式为：</w:t>
      </w:r>
      <w:r>
        <w:rPr>
          <w:rFonts w:hint="eastAsia" w:ascii="仿宋" w:hAnsi="仿宋" w:eastAsia="仿宋" w:cs="仿宋"/>
          <w:b/>
          <w:color w:val="auto"/>
          <w:szCs w:val="21"/>
          <w:highlight w:val="none"/>
          <w:u w:val="single"/>
        </w:rPr>
        <w:t>纸质文件</w:t>
      </w:r>
      <w:r>
        <w:rPr>
          <w:rFonts w:hint="eastAsia" w:ascii="仿宋" w:hAnsi="仿宋" w:eastAsia="仿宋" w:cs="仿宋"/>
          <w:b/>
          <w:color w:val="auto"/>
          <w:szCs w:val="21"/>
          <w:highlight w:val="none"/>
        </w:rPr>
        <w:t>；</w:t>
      </w:r>
    </w:p>
    <w:p w14:paraId="4225F137">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发包人审批承包人文件的期限：</w:t>
      </w:r>
      <w:r>
        <w:rPr>
          <w:rFonts w:hint="eastAsia" w:ascii="仿宋" w:hAnsi="仿宋" w:eastAsia="仿宋" w:cs="仿宋"/>
          <w:b/>
          <w:color w:val="auto"/>
          <w:szCs w:val="21"/>
          <w:highlight w:val="none"/>
          <w:u w:val="single"/>
        </w:rPr>
        <w:t>收到</w:t>
      </w:r>
      <w:r>
        <w:rPr>
          <w:rFonts w:hint="eastAsia" w:ascii="仿宋" w:hAnsi="仿宋" w:eastAsia="仿宋" w:cs="仿宋"/>
          <w:b/>
          <w:color w:val="auto"/>
          <w:szCs w:val="21"/>
          <w:highlight w:val="none"/>
          <w:u w:val="single"/>
          <w:lang w:val="en-US" w:eastAsia="zh-CN"/>
        </w:rPr>
        <w:t>承包人</w:t>
      </w:r>
      <w:r>
        <w:rPr>
          <w:rFonts w:hint="eastAsia" w:ascii="仿宋" w:hAnsi="仿宋" w:eastAsia="仿宋" w:cs="仿宋"/>
          <w:b/>
          <w:color w:val="auto"/>
          <w:szCs w:val="21"/>
          <w:highlight w:val="none"/>
          <w:u w:val="single"/>
        </w:rPr>
        <w:t>人报送</w:t>
      </w:r>
      <w:r>
        <w:rPr>
          <w:rFonts w:hint="eastAsia" w:ascii="仿宋" w:hAnsi="仿宋" w:eastAsia="仿宋" w:cs="仿宋"/>
          <w:b/>
          <w:color w:val="auto"/>
          <w:szCs w:val="21"/>
          <w:highlight w:val="none"/>
          <w:u w:val="single"/>
          <w:lang w:val="en-US" w:eastAsia="zh-CN"/>
        </w:rPr>
        <w:t>的</w:t>
      </w:r>
      <w:r>
        <w:rPr>
          <w:rFonts w:hint="eastAsia" w:ascii="仿宋" w:hAnsi="仿宋" w:eastAsia="仿宋" w:cs="仿宋"/>
          <w:b/>
          <w:color w:val="auto"/>
          <w:szCs w:val="21"/>
          <w:highlight w:val="none"/>
          <w:u w:val="single"/>
        </w:rPr>
        <w:t>文件后3天内，承包人文件需发包人按规定程序报送政府有关部门审批的除外</w:t>
      </w:r>
      <w:r>
        <w:rPr>
          <w:rFonts w:hint="eastAsia" w:ascii="仿宋" w:hAnsi="仿宋" w:eastAsia="仿宋" w:cs="仿宋"/>
          <w:color w:val="auto"/>
          <w:szCs w:val="21"/>
          <w:highlight w:val="none"/>
        </w:rPr>
        <w:t>。</w:t>
      </w:r>
    </w:p>
    <w:p w14:paraId="603CF707">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1.6.5 现场图纸准备</w:t>
      </w:r>
    </w:p>
    <w:p w14:paraId="0FA08DBC">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关于现场图纸准备的约定：</w:t>
      </w:r>
      <w:r>
        <w:rPr>
          <w:rFonts w:hint="eastAsia" w:ascii="仿宋" w:hAnsi="仿宋" w:eastAsia="仿宋" w:cs="仿宋"/>
          <w:b/>
          <w:color w:val="auto"/>
          <w:szCs w:val="21"/>
          <w:highlight w:val="none"/>
          <w:u w:val="single"/>
        </w:rPr>
        <w:t>按通用合同条款执行</w:t>
      </w:r>
      <w:r>
        <w:rPr>
          <w:rFonts w:hint="eastAsia" w:ascii="仿宋" w:hAnsi="仿宋" w:eastAsia="仿宋" w:cs="仿宋"/>
          <w:color w:val="auto"/>
          <w:szCs w:val="21"/>
          <w:highlight w:val="none"/>
        </w:rPr>
        <w:t>。</w:t>
      </w:r>
    </w:p>
    <w:p w14:paraId="4FC21B62">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1.7 联络</w:t>
      </w:r>
    </w:p>
    <w:p w14:paraId="72BD1079">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1.7.1发包人和承包人应当在</w:t>
      </w:r>
      <w:r>
        <w:rPr>
          <w:rFonts w:hint="eastAsia" w:ascii="仿宋" w:hAnsi="仿宋" w:eastAsia="仿宋" w:cs="仿宋"/>
          <w:b/>
          <w:color w:val="auto"/>
          <w:szCs w:val="21"/>
          <w:highlight w:val="none"/>
          <w:u w:val="single"/>
        </w:rPr>
        <w:t>3</w:t>
      </w:r>
      <w:r>
        <w:rPr>
          <w:rFonts w:hint="eastAsia" w:ascii="仿宋" w:hAnsi="仿宋" w:eastAsia="仿宋" w:cs="仿宋"/>
          <w:color w:val="auto"/>
          <w:szCs w:val="21"/>
          <w:highlight w:val="none"/>
        </w:rPr>
        <w:t>天内将与合同有关的通知、批准、证明、证书、指示、指令、要求、请求、同意、意见、确定和决定等书面函件送达对方当事人。</w:t>
      </w:r>
    </w:p>
    <w:p w14:paraId="1D1EC9D5">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1.7.2 发包人接收文件的地点：</w:t>
      </w:r>
      <w:r>
        <w:rPr>
          <w:rFonts w:hint="eastAsia" w:ascii="仿宋" w:hAnsi="仿宋" w:eastAsia="仿宋" w:cs="仿宋"/>
          <w:b/>
          <w:color w:val="auto"/>
          <w:szCs w:val="21"/>
          <w:highlight w:val="none"/>
          <w:u w:val="single"/>
        </w:rPr>
        <w:t>发包人办公地点或施工现场</w:t>
      </w:r>
      <w:r>
        <w:rPr>
          <w:rFonts w:hint="eastAsia" w:ascii="仿宋" w:hAnsi="仿宋" w:eastAsia="仿宋" w:cs="仿宋"/>
          <w:color w:val="auto"/>
          <w:szCs w:val="21"/>
          <w:highlight w:val="none"/>
        </w:rPr>
        <w:t>；</w:t>
      </w:r>
    </w:p>
    <w:p w14:paraId="10B084D8">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发包人指定的接收人为：</w:t>
      </w:r>
      <w:r>
        <w:rPr>
          <w:rFonts w:hint="eastAsia" w:ascii="仿宋" w:hAnsi="仿宋" w:eastAsia="仿宋" w:cs="仿宋"/>
          <w:b/>
          <w:color w:val="auto"/>
          <w:szCs w:val="21"/>
          <w:highlight w:val="none"/>
          <w:u w:val="single"/>
        </w:rPr>
        <w:t>专用合同条款第2.2款约定的发包人代表</w:t>
      </w:r>
      <w:r>
        <w:rPr>
          <w:rFonts w:hint="eastAsia" w:ascii="仿宋" w:hAnsi="仿宋" w:eastAsia="仿宋" w:cs="仿宋"/>
          <w:color w:val="auto"/>
          <w:szCs w:val="21"/>
          <w:highlight w:val="none"/>
        </w:rPr>
        <w:t>；</w:t>
      </w:r>
    </w:p>
    <w:p w14:paraId="2184B083">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承包人接收文件的地点：</w:t>
      </w:r>
      <w:r>
        <w:rPr>
          <w:rFonts w:hint="eastAsia" w:ascii="仿宋" w:hAnsi="仿宋" w:eastAsia="仿宋" w:cs="仿宋"/>
          <w:b/>
          <w:color w:val="auto"/>
          <w:szCs w:val="21"/>
          <w:highlight w:val="none"/>
          <w:u w:val="single"/>
        </w:rPr>
        <w:t>施工现场</w:t>
      </w:r>
      <w:r>
        <w:rPr>
          <w:rFonts w:hint="eastAsia" w:ascii="仿宋" w:hAnsi="仿宋" w:eastAsia="仿宋" w:cs="仿宋"/>
          <w:color w:val="auto"/>
          <w:szCs w:val="21"/>
          <w:highlight w:val="none"/>
        </w:rPr>
        <w:t>；</w:t>
      </w:r>
    </w:p>
    <w:p w14:paraId="2F3BE072">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承包人指定的接收人为：</w:t>
      </w:r>
      <w:r>
        <w:rPr>
          <w:rFonts w:hint="eastAsia" w:ascii="仿宋" w:hAnsi="仿宋" w:eastAsia="仿宋" w:cs="仿宋"/>
          <w:b/>
          <w:color w:val="auto"/>
          <w:szCs w:val="21"/>
          <w:highlight w:val="none"/>
          <w:u w:val="single"/>
        </w:rPr>
        <w:t>专用合同条款第3.2 款约定的承包人项目经</w:t>
      </w:r>
      <w:r>
        <w:rPr>
          <w:rFonts w:hint="eastAsia" w:ascii="仿宋" w:hAnsi="仿宋" w:eastAsia="仿宋" w:cs="仿宋"/>
          <w:b/>
          <w:color w:val="auto"/>
          <w:szCs w:val="21"/>
          <w:highlight w:val="none"/>
        </w:rPr>
        <w:t>理</w:t>
      </w:r>
      <w:r>
        <w:rPr>
          <w:rFonts w:hint="eastAsia" w:ascii="仿宋" w:hAnsi="仿宋" w:eastAsia="仿宋" w:cs="仿宋"/>
          <w:color w:val="auto"/>
          <w:szCs w:val="21"/>
          <w:highlight w:val="none"/>
        </w:rPr>
        <w:t>。</w:t>
      </w:r>
    </w:p>
    <w:p w14:paraId="258BDE44">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监理人接收文件的地点：</w:t>
      </w:r>
      <w:r>
        <w:rPr>
          <w:rFonts w:hint="eastAsia" w:ascii="仿宋" w:hAnsi="仿宋" w:eastAsia="仿宋" w:cs="仿宋"/>
          <w:b/>
          <w:color w:val="auto"/>
          <w:szCs w:val="21"/>
          <w:highlight w:val="none"/>
          <w:u w:val="single"/>
        </w:rPr>
        <w:t>施工现场</w:t>
      </w:r>
      <w:r>
        <w:rPr>
          <w:rFonts w:hint="eastAsia" w:ascii="仿宋" w:hAnsi="仿宋" w:eastAsia="仿宋" w:cs="仿宋"/>
          <w:color w:val="auto"/>
          <w:szCs w:val="21"/>
          <w:highlight w:val="none"/>
        </w:rPr>
        <w:t>；</w:t>
      </w:r>
    </w:p>
    <w:p w14:paraId="5003AFF6">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监理人指定的接收人为：</w:t>
      </w:r>
      <w:r>
        <w:rPr>
          <w:rFonts w:hint="eastAsia" w:ascii="仿宋" w:hAnsi="仿宋" w:eastAsia="仿宋" w:cs="仿宋"/>
          <w:b/>
          <w:color w:val="auto"/>
          <w:szCs w:val="21"/>
          <w:highlight w:val="none"/>
          <w:u w:val="single"/>
        </w:rPr>
        <w:t>专用合同条款第4.2 款约定的</w:t>
      </w:r>
      <w:r>
        <w:rPr>
          <w:rFonts w:hint="eastAsia" w:ascii="仿宋" w:hAnsi="仿宋" w:eastAsia="仿宋" w:cs="仿宋"/>
          <w:color w:val="auto"/>
          <w:szCs w:val="21"/>
          <w:highlight w:val="none"/>
        </w:rPr>
        <w:t>。</w:t>
      </w:r>
    </w:p>
    <w:p w14:paraId="141EA63F">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1.10 交通运输</w:t>
      </w:r>
    </w:p>
    <w:p w14:paraId="3FC2E7D5">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bookmarkStart w:id="549" w:name="_Toc304295521"/>
      <w:bookmarkStart w:id="550" w:name="_Toc312677986"/>
      <w:bookmarkStart w:id="551" w:name="_Toc318581155"/>
      <w:bookmarkStart w:id="552" w:name="_Toc303539100"/>
      <w:bookmarkStart w:id="553" w:name="_Toc300934943"/>
      <w:r>
        <w:rPr>
          <w:rFonts w:hint="eastAsia" w:ascii="仿宋" w:hAnsi="仿宋" w:eastAsia="仿宋" w:cs="仿宋"/>
          <w:color w:val="auto"/>
          <w:szCs w:val="21"/>
          <w:highlight w:val="none"/>
        </w:rPr>
        <w:t>.10.1 出入现场的权利</w:t>
      </w:r>
    </w:p>
    <w:p w14:paraId="4952ED7B">
      <w:pPr>
        <w:spacing w:line="360" w:lineRule="auto"/>
        <w:ind w:firstLine="420" w:firstLineChars="200"/>
        <w:jc w:val="left"/>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关于出入现场的权利的约定：</w:t>
      </w:r>
      <w:r>
        <w:rPr>
          <w:rFonts w:hint="eastAsia" w:ascii="仿宋" w:hAnsi="仿宋" w:eastAsia="仿宋" w:cs="仿宋"/>
          <w:b/>
          <w:color w:val="auto"/>
          <w:szCs w:val="21"/>
          <w:highlight w:val="none"/>
          <w:u w:val="single"/>
        </w:rPr>
        <w:t>发包人应根据施工需要，协助承包人取得出入施工现场所需的批准手续和全部权利，批准手续由承包人办理并承担相关手续费用，该费用已包含在签约合同价中，发包人不再另行支付</w:t>
      </w:r>
      <w:r>
        <w:rPr>
          <w:rFonts w:hint="eastAsia" w:ascii="仿宋" w:hAnsi="仿宋" w:eastAsia="仿宋" w:cs="仿宋"/>
          <w:color w:val="auto"/>
          <w:szCs w:val="21"/>
          <w:highlight w:val="none"/>
        </w:rPr>
        <w:t>。</w:t>
      </w:r>
    </w:p>
    <w:p w14:paraId="7241F969">
      <w:pPr>
        <w:spacing w:line="360" w:lineRule="auto"/>
        <w:ind w:firstLine="422" w:firstLineChars="200"/>
        <w:jc w:val="left"/>
        <w:rPr>
          <w:rFonts w:hint="eastAsia" w:ascii="仿宋" w:hAnsi="仿宋" w:eastAsia="仿宋" w:cs="仿宋"/>
          <w:color w:val="auto"/>
          <w:szCs w:val="21"/>
          <w:highlight w:val="none"/>
        </w:rPr>
      </w:pPr>
      <w:r>
        <w:rPr>
          <w:rFonts w:hint="eastAsia" w:ascii="仿宋" w:hAnsi="仿宋" w:eastAsia="仿宋" w:cs="仿宋"/>
          <w:b/>
          <w:color w:val="auto"/>
          <w:szCs w:val="21"/>
          <w:highlight w:val="none"/>
          <w:u w:val="single"/>
        </w:rPr>
        <w:t>承包人应在订立合同前查勘施工现场，并根据工程规模及技术参数合理预见工程施工所需的进出施工现场的方式、手段、路径等。因承包人未合理预见所增加的费用和（或）延误的工期由承包人</w:t>
      </w:r>
      <w:r>
        <w:rPr>
          <w:rFonts w:hint="eastAsia" w:ascii="仿宋" w:hAnsi="仿宋" w:eastAsia="仿宋" w:cs="仿宋"/>
          <w:b/>
          <w:color w:val="auto"/>
          <w:szCs w:val="21"/>
          <w:highlight w:val="none"/>
        </w:rPr>
        <w:t>承担</w:t>
      </w:r>
      <w:r>
        <w:rPr>
          <w:rFonts w:hint="eastAsia" w:ascii="仿宋" w:hAnsi="仿宋" w:eastAsia="仿宋" w:cs="仿宋"/>
          <w:color w:val="auto"/>
          <w:szCs w:val="21"/>
          <w:highlight w:val="none"/>
        </w:rPr>
        <w:t>。</w:t>
      </w:r>
    </w:p>
    <w:p w14:paraId="061073E5">
      <w:pPr>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1.10.2 场外交通</w:t>
      </w:r>
    </w:p>
    <w:p w14:paraId="74EFCCE6">
      <w:pPr>
        <w:spacing w:line="360" w:lineRule="auto"/>
        <w:ind w:firstLine="420" w:firstLineChars="200"/>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关于场外交通的权利约定：</w:t>
      </w:r>
      <w:r>
        <w:rPr>
          <w:rFonts w:hint="eastAsia" w:ascii="仿宋" w:hAnsi="仿宋" w:eastAsia="仿宋" w:cs="仿宋"/>
          <w:b/>
          <w:bCs/>
          <w:color w:val="auto"/>
          <w:szCs w:val="21"/>
          <w:highlight w:val="none"/>
          <w:u w:val="single"/>
        </w:rPr>
        <w:t>承包人车辆外出行驶所需的场外公共道路的通行费、养路费和税款等由承包人承担，承包人应采取有效的措施，避开城镇居民密集区，避免其车辆对运输沿线道路的损坏、污染和对沿线居民的噪声干扰；一旦导致对沿线道路的损坏、污染或噪声干扰，承包人应自费进行维修、补偿或赔偿，费用由承包人自行</w:t>
      </w:r>
      <w:r>
        <w:rPr>
          <w:rFonts w:hint="eastAsia" w:ascii="仿宋" w:hAnsi="仿宋" w:eastAsia="仿宋" w:cs="仿宋"/>
          <w:b/>
          <w:color w:val="auto"/>
          <w:szCs w:val="21"/>
          <w:highlight w:val="none"/>
          <w:u w:val="single"/>
        </w:rPr>
        <w:t>承担</w:t>
      </w:r>
      <w:r>
        <w:rPr>
          <w:rFonts w:hint="eastAsia" w:ascii="仿宋" w:hAnsi="仿宋" w:eastAsia="仿宋" w:cs="仿宋"/>
          <w:color w:val="auto"/>
          <w:szCs w:val="21"/>
          <w:highlight w:val="none"/>
        </w:rPr>
        <w:t>。</w:t>
      </w:r>
    </w:p>
    <w:bookmarkEnd w:id="549"/>
    <w:bookmarkEnd w:id="550"/>
    <w:bookmarkEnd w:id="551"/>
    <w:bookmarkEnd w:id="552"/>
    <w:bookmarkEnd w:id="553"/>
    <w:p w14:paraId="44530FF2">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bookmarkStart w:id="554" w:name="_Toc303539101"/>
      <w:bookmarkStart w:id="555" w:name="_Toc304295522"/>
      <w:bookmarkStart w:id="556" w:name="_Toc300934944"/>
      <w:bookmarkStart w:id="557" w:name="_Toc318581156"/>
      <w:bookmarkStart w:id="558" w:name="_Toc312677987"/>
      <w:r>
        <w:rPr>
          <w:rFonts w:hint="eastAsia" w:ascii="仿宋" w:hAnsi="仿宋" w:eastAsia="仿宋" w:cs="仿宋"/>
          <w:color w:val="auto"/>
          <w:szCs w:val="21"/>
          <w:highlight w:val="none"/>
        </w:rPr>
        <w:t>.10.3 场内交通</w:t>
      </w:r>
    </w:p>
    <w:p w14:paraId="574E0928">
      <w:pPr>
        <w:spacing w:line="360" w:lineRule="auto"/>
        <w:ind w:firstLine="420" w:firstLineChars="200"/>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关于场外交通和场内交通的边界的约定：</w:t>
      </w:r>
      <w:r>
        <w:rPr>
          <w:rFonts w:hint="eastAsia" w:ascii="仿宋" w:hAnsi="仿宋" w:eastAsia="仿宋" w:cs="仿宋"/>
          <w:b/>
          <w:color w:val="auto"/>
          <w:szCs w:val="21"/>
          <w:highlight w:val="none"/>
          <w:u w:val="single"/>
        </w:rPr>
        <w:t>以本合同工程规划红线为界，红线以内为场内，红线以外为场外</w:t>
      </w:r>
      <w:r>
        <w:rPr>
          <w:rFonts w:hint="eastAsia" w:ascii="仿宋" w:hAnsi="仿宋" w:eastAsia="仿宋" w:cs="仿宋"/>
          <w:color w:val="auto"/>
          <w:szCs w:val="21"/>
          <w:highlight w:val="none"/>
        </w:rPr>
        <w:t>。</w:t>
      </w:r>
    </w:p>
    <w:p w14:paraId="48AC3A65">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关于发包人向承包人免费提供满足工程施工需要的场内道路和交通设施的约定：</w:t>
      </w:r>
      <w:r>
        <w:rPr>
          <w:rFonts w:hint="eastAsia" w:ascii="仿宋" w:hAnsi="仿宋" w:eastAsia="仿宋" w:cs="仿宋"/>
          <w:b/>
          <w:color w:val="auto"/>
          <w:szCs w:val="21"/>
          <w:highlight w:val="none"/>
          <w:u w:val="single"/>
        </w:rPr>
        <w:t>承包人可免费使用场内已有的道路和交通设施。</w:t>
      </w:r>
      <w:bookmarkEnd w:id="554"/>
      <w:bookmarkEnd w:id="555"/>
      <w:bookmarkEnd w:id="556"/>
      <w:bookmarkEnd w:id="557"/>
      <w:bookmarkEnd w:id="558"/>
      <w:bookmarkStart w:id="559" w:name="_Toc318581157"/>
      <w:r>
        <w:rPr>
          <w:rFonts w:hint="eastAsia" w:ascii="仿宋" w:hAnsi="仿宋" w:eastAsia="仿宋" w:cs="仿宋"/>
          <w:b/>
          <w:color w:val="auto"/>
          <w:szCs w:val="21"/>
          <w:highlight w:val="none"/>
          <w:u w:val="single"/>
        </w:rPr>
        <w:t>因承包人原因造成上述道路或交通设施损坏的，承包人负责修复并承担由此增加的费用。为满足工程施工所需的其他场内临时道路和交通设施由承包人负责修建、维修、养护和管理。发包人和监理人可以为实现合同目的免费使用承包人修建的场内临时道路和交通设施</w:t>
      </w:r>
      <w:r>
        <w:rPr>
          <w:rFonts w:hint="eastAsia" w:ascii="仿宋" w:hAnsi="仿宋" w:eastAsia="仿宋" w:cs="仿宋"/>
          <w:color w:val="auto"/>
          <w:szCs w:val="21"/>
          <w:highlight w:val="none"/>
        </w:rPr>
        <w:t>。</w:t>
      </w:r>
    </w:p>
    <w:p w14:paraId="1AF2873D">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1.10.4超大件和超重件的运输</w:t>
      </w:r>
    </w:p>
    <w:p w14:paraId="4240E046">
      <w:pPr>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运输超大件或超重件所需的道路和桥梁临时加固改造费用和其他有关费用由</w:t>
      </w:r>
      <w:r>
        <w:rPr>
          <w:rFonts w:hint="eastAsia" w:ascii="仿宋" w:hAnsi="仿宋" w:eastAsia="仿宋" w:cs="仿宋"/>
          <w:b/>
          <w:color w:val="auto"/>
          <w:szCs w:val="21"/>
          <w:highlight w:val="none"/>
          <w:u w:val="single"/>
        </w:rPr>
        <w:t>承包人</w:t>
      </w:r>
      <w:r>
        <w:rPr>
          <w:rFonts w:hint="eastAsia" w:ascii="仿宋" w:hAnsi="仿宋" w:eastAsia="仿宋" w:cs="仿宋"/>
          <w:color w:val="auto"/>
          <w:szCs w:val="21"/>
          <w:highlight w:val="none"/>
        </w:rPr>
        <w:t>承担，</w:t>
      </w:r>
      <w:r>
        <w:rPr>
          <w:rFonts w:hint="eastAsia" w:ascii="仿宋" w:hAnsi="仿宋" w:eastAsia="仿宋" w:cs="仿宋"/>
          <w:b/>
          <w:color w:val="auto"/>
          <w:szCs w:val="21"/>
          <w:highlight w:val="none"/>
        </w:rPr>
        <w:t>该费用已包含在签约合同价中，发包人不再另行支付</w:t>
      </w:r>
      <w:r>
        <w:rPr>
          <w:rFonts w:hint="eastAsia" w:ascii="仿宋" w:hAnsi="仿宋" w:eastAsia="仿宋" w:cs="仿宋"/>
          <w:color w:val="auto"/>
          <w:szCs w:val="21"/>
          <w:highlight w:val="none"/>
        </w:rPr>
        <w:t>。</w:t>
      </w:r>
    </w:p>
    <w:bookmarkEnd w:id="559"/>
    <w:p w14:paraId="76A941F9">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1.11 知识产权</w:t>
      </w:r>
    </w:p>
    <w:p w14:paraId="42A6FAB1">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1.11.1关于发包人提供给承包人的图纸、发包人为实施工程自行编制或委托编制的技术规范以及反映发包人关于合同要求或其他类似性质的文件的著作权的归属：</w:t>
      </w:r>
      <w:r>
        <w:rPr>
          <w:rFonts w:hint="eastAsia" w:ascii="仿宋" w:hAnsi="仿宋" w:eastAsia="仿宋" w:cs="仿宋"/>
          <w:b/>
          <w:color w:val="auto"/>
          <w:szCs w:val="21"/>
          <w:highlight w:val="none"/>
          <w:u w:val="single"/>
        </w:rPr>
        <w:t>著作权属于发包人</w:t>
      </w:r>
      <w:r>
        <w:rPr>
          <w:rFonts w:hint="eastAsia" w:ascii="仿宋" w:hAnsi="仿宋" w:eastAsia="仿宋" w:cs="仿宋"/>
          <w:color w:val="auto"/>
          <w:szCs w:val="21"/>
          <w:highlight w:val="none"/>
        </w:rPr>
        <w:t>。</w:t>
      </w:r>
    </w:p>
    <w:p w14:paraId="5732F611">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关于发包人提供的上述文件的使用限制的要求：</w:t>
      </w:r>
      <w:r>
        <w:rPr>
          <w:rFonts w:hint="eastAsia" w:ascii="仿宋" w:hAnsi="仿宋" w:eastAsia="仿宋" w:cs="仿宋"/>
          <w:color w:val="auto"/>
          <w:szCs w:val="21"/>
          <w:highlight w:val="none"/>
          <w:u w:val="single"/>
        </w:rPr>
        <w:t xml:space="preserve"> </w:t>
      </w:r>
      <w:r>
        <w:rPr>
          <w:rFonts w:hint="eastAsia" w:ascii="仿宋" w:hAnsi="仿宋" w:eastAsia="仿宋" w:cs="仿宋"/>
          <w:b/>
          <w:color w:val="auto"/>
          <w:szCs w:val="21"/>
          <w:highlight w:val="none"/>
          <w:u w:val="single"/>
        </w:rPr>
        <w:t>按通用合同条款执行</w:t>
      </w:r>
      <w:r>
        <w:rPr>
          <w:rFonts w:hint="eastAsia" w:ascii="仿宋" w:hAnsi="仿宋" w:eastAsia="仿宋" w:cs="仿宋"/>
          <w:color w:val="auto"/>
          <w:szCs w:val="21"/>
          <w:highlight w:val="none"/>
        </w:rPr>
        <w:t>。</w:t>
      </w:r>
    </w:p>
    <w:p w14:paraId="60F03AAB">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1.11.2 关于承包人为实施工程所编制文件的著作权的归属：</w:t>
      </w:r>
      <w:r>
        <w:rPr>
          <w:rFonts w:hint="eastAsia" w:ascii="仿宋" w:hAnsi="仿宋" w:eastAsia="仿宋" w:cs="仿宋"/>
          <w:b/>
          <w:color w:val="auto"/>
          <w:szCs w:val="21"/>
          <w:highlight w:val="none"/>
          <w:u w:val="single"/>
        </w:rPr>
        <w:t>除署名权以外的著作权属于发包人</w:t>
      </w:r>
      <w:r>
        <w:rPr>
          <w:rFonts w:hint="eastAsia" w:ascii="仿宋" w:hAnsi="仿宋" w:eastAsia="仿宋" w:cs="仿宋"/>
          <w:color w:val="auto"/>
          <w:szCs w:val="21"/>
          <w:highlight w:val="none"/>
        </w:rPr>
        <w:t>。</w:t>
      </w:r>
    </w:p>
    <w:p w14:paraId="42EFF043">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关于承包人提供的上述文件的使用限制的要求：</w:t>
      </w:r>
      <w:r>
        <w:rPr>
          <w:rFonts w:hint="eastAsia" w:ascii="仿宋" w:hAnsi="仿宋" w:eastAsia="仿宋" w:cs="仿宋"/>
          <w:b/>
          <w:color w:val="auto"/>
          <w:szCs w:val="21"/>
          <w:highlight w:val="none"/>
          <w:u w:val="single"/>
        </w:rPr>
        <w:t>按通用合同条款执行</w:t>
      </w:r>
      <w:r>
        <w:rPr>
          <w:rFonts w:hint="eastAsia" w:ascii="仿宋" w:hAnsi="仿宋" w:eastAsia="仿宋" w:cs="仿宋"/>
          <w:color w:val="auto"/>
          <w:szCs w:val="21"/>
          <w:highlight w:val="none"/>
        </w:rPr>
        <w:t>。</w:t>
      </w:r>
    </w:p>
    <w:p w14:paraId="09F5AE12">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1.11.4 承包人在施工过程中所采用的专利、专有技术、技术秘密的使用费的承担方式：</w:t>
      </w:r>
      <w:r>
        <w:rPr>
          <w:rFonts w:hint="eastAsia" w:ascii="仿宋" w:hAnsi="仿宋" w:eastAsia="仿宋" w:cs="仿宋"/>
          <w:b/>
          <w:color w:val="auto"/>
          <w:szCs w:val="21"/>
          <w:highlight w:val="none"/>
          <w:u w:val="single"/>
        </w:rPr>
        <w:t>已包含在签约合同价中，发包人不另行支付</w:t>
      </w:r>
      <w:r>
        <w:rPr>
          <w:rFonts w:hint="eastAsia" w:ascii="仿宋" w:hAnsi="仿宋" w:eastAsia="仿宋" w:cs="仿宋"/>
          <w:color w:val="auto"/>
          <w:szCs w:val="21"/>
          <w:highlight w:val="none"/>
        </w:rPr>
        <w:t>。</w:t>
      </w:r>
    </w:p>
    <w:p w14:paraId="30832F87">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1.13工程量清单错误的修正、</w:t>
      </w:r>
    </w:p>
    <w:p w14:paraId="4F14D342">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有下列情况时，可以参照本合同专用合同条款10.4.1.条变更估价原则调整合同价格：</w:t>
      </w:r>
    </w:p>
    <w:p w14:paraId="0F6DF5FF">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（1）当工程量清单存在缺项、漏项的；</w:t>
      </w:r>
    </w:p>
    <w:p w14:paraId="6DDE002E">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（2）分部分项实际工程量与已标价工程量清单偏差增加超过15%； </w:t>
      </w:r>
    </w:p>
    <w:p w14:paraId="7F0A5342">
      <w:pPr>
        <w:spacing w:line="360" w:lineRule="auto"/>
        <w:ind w:firstLine="420" w:firstLineChars="200"/>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（3）未按照国家现行计量规范强制性规定计量的。</w:t>
      </w:r>
    </w:p>
    <w:p w14:paraId="6DA26A7C">
      <w:pPr>
        <w:spacing w:line="360" w:lineRule="auto"/>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 xml:space="preserve">  </w:t>
      </w:r>
      <w:r>
        <w:rPr>
          <w:rFonts w:hint="eastAsia" w:ascii="仿宋" w:hAnsi="仿宋" w:eastAsia="仿宋" w:cs="仿宋"/>
          <w:b/>
          <w:bCs/>
          <w:color w:val="auto"/>
          <w:szCs w:val="21"/>
          <w:highlight w:val="none"/>
          <w:u w:val="single"/>
        </w:rPr>
        <w:t>工程量清单中的任何错误和遗漏，不应免除承包人根据合同约定的义务和其按图纸、规范履行合同的责任。</w:t>
      </w:r>
      <w:r>
        <w:rPr>
          <w:rFonts w:hint="eastAsia" w:ascii="仿宋" w:hAnsi="仿宋" w:eastAsia="仿宋" w:cs="仿宋"/>
          <w:b/>
          <w:color w:val="auto"/>
          <w:szCs w:val="21"/>
          <w:highlight w:val="none"/>
          <w:u w:val="single"/>
        </w:rPr>
        <w:t>若出现设计图纸与招标工程量清单对应项目描述不符，承包人应按照发包人提供的设计图纸实施合同工程，并且综合单价不予调整</w:t>
      </w:r>
      <w:r>
        <w:rPr>
          <w:rFonts w:hint="eastAsia" w:ascii="仿宋" w:hAnsi="仿宋" w:eastAsia="仿宋" w:cs="仿宋"/>
          <w:color w:val="auto"/>
          <w:szCs w:val="21"/>
          <w:highlight w:val="none"/>
          <w:u w:val="single"/>
        </w:rPr>
        <w:t>。</w:t>
      </w:r>
      <w:r>
        <w:rPr>
          <w:rFonts w:hint="eastAsia" w:ascii="仿宋" w:hAnsi="仿宋" w:eastAsia="仿宋" w:cs="仿宋"/>
          <w:b/>
          <w:color w:val="auto"/>
          <w:szCs w:val="21"/>
          <w:highlight w:val="none"/>
          <w:u w:val="single"/>
        </w:rPr>
        <w:t>承包人投标文件中已标价工程量清单的分部分项项目特征及计量单位与招标文件工程量清单相应内容不符的，按照不利于承包人的原则进行处</w:t>
      </w:r>
      <w:r>
        <w:rPr>
          <w:rFonts w:hint="eastAsia" w:ascii="仿宋" w:hAnsi="仿宋" w:eastAsia="仿宋" w:cs="仿宋"/>
          <w:b/>
          <w:bCs/>
          <w:color w:val="auto"/>
          <w:szCs w:val="21"/>
          <w:highlight w:val="none"/>
          <w:u w:val="single"/>
        </w:rPr>
        <w:t>理。工程量清单中按单价合同承包的项目的工程量是用作投标报价与评标的估算工程量，不作为最终结算的工程量。用于结算的工程量是承包人实际完成的，并按合同有关规定计量的工程量</w:t>
      </w:r>
      <w:r>
        <w:rPr>
          <w:rFonts w:hint="eastAsia" w:ascii="仿宋" w:hAnsi="仿宋" w:eastAsia="仿宋" w:cs="仿宋"/>
          <w:b/>
          <w:bCs/>
          <w:color w:val="auto"/>
          <w:szCs w:val="21"/>
          <w:highlight w:val="none"/>
        </w:rPr>
        <w:t>。</w:t>
      </w:r>
    </w:p>
    <w:p w14:paraId="3DC6D3C2">
      <w:pPr>
        <w:pStyle w:val="5"/>
        <w:spacing w:before="0" w:after="0" w:line="360" w:lineRule="auto"/>
        <w:rPr>
          <w:rFonts w:hint="eastAsia" w:ascii="仿宋" w:hAnsi="仿宋" w:eastAsia="仿宋" w:cs="仿宋"/>
          <w:color w:val="auto"/>
          <w:sz w:val="21"/>
          <w:szCs w:val="21"/>
          <w:highlight w:val="none"/>
        </w:rPr>
      </w:pPr>
      <w:bookmarkStart w:id="560" w:name="_Toc371946137"/>
      <w:r>
        <w:rPr>
          <w:rFonts w:hint="eastAsia" w:ascii="仿宋" w:hAnsi="仿宋" w:eastAsia="仿宋" w:cs="仿宋"/>
          <w:color w:val="auto"/>
          <w:sz w:val="21"/>
          <w:szCs w:val="21"/>
          <w:highlight w:val="none"/>
        </w:rPr>
        <w:t>2</w:t>
      </w:r>
      <w:bookmarkStart w:id="561" w:name="_Toc297120457"/>
      <w:bookmarkStart w:id="562" w:name="_Toc296346658"/>
      <w:bookmarkStart w:id="563" w:name="_Toc296890985"/>
      <w:bookmarkStart w:id="564" w:name="_Toc296347156"/>
      <w:bookmarkStart w:id="565" w:name="_Toc296944496"/>
      <w:bookmarkStart w:id="566" w:name="_Toc296503157"/>
      <w:bookmarkStart w:id="567" w:name="_Toc296891197"/>
      <w:bookmarkStart w:id="568" w:name="_Toc292559867"/>
      <w:bookmarkStart w:id="569" w:name="_Toc297048343"/>
      <w:bookmarkStart w:id="570" w:name="_Toc292559362"/>
      <w:r>
        <w:rPr>
          <w:rFonts w:hint="eastAsia" w:ascii="仿宋" w:hAnsi="仿宋" w:eastAsia="仿宋" w:cs="仿宋"/>
          <w:color w:val="auto"/>
          <w:sz w:val="21"/>
          <w:szCs w:val="21"/>
          <w:highlight w:val="none"/>
        </w:rPr>
        <w:t>. 发包人</w:t>
      </w:r>
      <w:bookmarkEnd w:id="560"/>
    </w:p>
    <w:p w14:paraId="67C15E09">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2.1 许可或批准</w:t>
      </w:r>
    </w:p>
    <w:p w14:paraId="2B5E2F1C">
      <w:pPr>
        <w:spacing w:line="360" w:lineRule="auto"/>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u w:val="single"/>
        </w:rPr>
        <w:t>因发包人原因未能及时办理完毕应当由发包人办理的许可、批准或备案，如因此导致承包人工期延误的，经发包人批准后顺延工期</w:t>
      </w:r>
      <w:r>
        <w:rPr>
          <w:rFonts w:hint="eastAsia" w:ascii="仿宋" w:hAnsi="仿宋" w:eastAsia="仿宋" w:cs="仿宋"/>
          <w:color w:val="auto"/>
          <w:szCs w:val="21"/>
          <w:highlight w:val="none"/>
        </w:rPr>
        <w:t>。</w:t>
      </w:r>
    </w:p>
    <w:bookmarkEnd w:id="561"/>
    <w:bookmarkEnd w:id="562"/>
    <w:bookmarkEnd w:id="563"/>
    <w:bookmarkEnd w:id="564"/>
    <w:bookmarkEnd w:id="565"/>
    <w:bookmarkEnd w:id="566"/>
    <w:bookmarkEnd w:id="567"/>
    <w:bookmarkEnd w:id="568"/>
    <w:bookmarkEnd w:id="569"/>
    <w:bookmarkEnd w:id="570"/>
    <w:p w14:paraId="6709E0C6">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 发包人代表</w:t>
      </w:r>
    </w:p>
    <w:p w14:paraId="2F0E130C">
      <w:pPr>
        <w:spacing w:line="360" w:lineRule="auto"/>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姓    名：</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p>
    <w:p w14:paraId="56B36878">
      <w:pPr>
        <w:spacing w:line="360" w:lineRule="auto"/>
        <w:ind w:firstLine="420" w:firstLineChars="200"/>
        <w:rPr>
          <w:rFonts w:hint="default" w:ascii="仿宋" w:hAnsi="仿宋" w:eastAsia="仿宋" w:cs="仿宋"/>
          <w:color w:val="auto"/>
          <w:szCs w:val="21"/>
          <w:highlight w:val="none"/>
          <w:u w:val="single"/>
          <w:lang w:val="en-US"/>
        </w:rPr>
      </w:pPr>
      <w:r>
        <w:rPr>
          <w:rFonts w:hint="eastAsia" w:ascii="仿宋" w:hAnsi="仿宋" w:eastAsia="仿宋" w:cs="仿宋"/>
          <w:color w:val="auto"/>
          <w:szCs w:val="21"/>
          <w:highlight w:val="none"/>
        </w:rPr>
        <w:t>身份证号：</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p>
    <w:p w14:paraId="1D1D2E4B">
      <w:pPr>
        <w:spacing w:line="360" w:lineRule="auto"/>
        <w:ind w:firstLine="420" w:firstLineChars="200"/>
        <w:rPr>
          <w:rFonts w:hint="default" w:ascii="仿宋" w:hAnsi="仿宋" w:eastAsia="仿宋" w:cs="仿宋"/>
          <w:color w:val="auto"/>
          <w:szCs w:val="21"/>
          <w:highlight w:val="none"/>
          <w:u w:val="single"/>
          <w:lang w:val="en-US" w:eastAsia="zh-CN"/>
        </w:rPr>
      </w:pPr>
      <w:r>
        <w:rPr>
          <w:rFonts w:hint="eastAsia" w:ascii="仿宋" w:hAnsi="仿宋" w:eastAsia="仿宋" w:cs="仿宋"/>
          <w:color w:val="auto"/>
          <w:szCs w:val="21"/>
          <w:highlight w:val="none"/>
        </w:rPr>
        <w:t>职    务：</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p>
    <w:p w14:paraId="46D69545">
      <w:pPr>
        <w:spacing w:line="360" w:lineRule="auto"/>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联系电话：</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p>
    <w:p w14:paraId="04FDCF00">
      <w:pPr>
        <w:spacing w:line="360" w:lineRule="auto"/>
        <w:ind w:firstLine="420" w:firstLineChars="200"/>
        <w:rPr>
          <w:rFonts w:hint="default" w:ascii="仿宋" w:hAnsi="仿宋" w:eastAsia="仿宋" w:cs="仿宋"/>
          <w:color w:val="auto"/>
          <w:szCs w:val="21"/>
          <w:highlight w:val="none"/>
          <w:u w:val="single"/>
          <w:lang w:val="en-US" w:eastAsia="zh-CN"/>
        </w:rPr>
      </w:pPr>
      <w:r>
        <w:rPr>
          <w:rFonts w:hint="eastAsia" w:ascii="仿宋" w:hAnsi="仿宋" w:eastAsia="仿宋" w:cs="仿宋"/>
          <w:color w:val="auto"/>
          <w:szCs w:val="21"/>
          <w:highlight w:val="none"/>
        </w:rPr>
        <w:t>电子信箱：</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p>
    <w:p w14:paraId="4F498B1C">
      <w:pPr>
        <w:spacing w:line="360" w:lineRule="auto"/>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通信地址：</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成都市金堂县赵镇街道金广路886号</w:t>
      </w:r>
      <w:r>
        <w:rPr>
          <w:rFonts w:hint="eastAsia" w:ascii="仿宋" w:hAnsi="仿宋" w:eastAsia="仿宋" w:cs="仿宋"/>
          <w:color w:val="auto"/>
          <w:szCs w:val="21"/>
          <w:highlight w:val="none"/>
          <w:u w:val="single"/>
        </w:rPr>
        <w:t xml:space="preserve"> </w:t>
      </w:r>
    </w:p>
    <w:p w14:paraId="4B86D853">
      <w:pPr>
        <w:tabs>
          <w:tab w:val="left" w:pos="5460"/>
        </w:tabs>
        <w:spacing w:line="360" w:lineRule="auto"/>
        <w:ind w:firstLine="525"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发包人对发包人代表的授权范围如下：</w:t>
      </w:r>
    </w:p>
    <w:p w14:paraId="54DD9096">
      <w:pPr>
        <w:tabs>
          <w:tab w:val="left" w:pos="5460"/>
        </w:tabs>
        <w:spacing w:line="360" w:lineRule="auto"/>
        <w:ind w:firstLine="527" w:firstLineChars="250"/>
        <w:rPr>
          <w:rFonts w:hint="eastAsia" w:ascii="仿宋" w:hAnsi="仿宋" w:eastAsia="仿宋" w:cs="仿宋"/>
          <w:b/>
          <w:color w:val="auto"/>
          <w:szCs w:val="21"/>
          <w:highlight w:val="none"/>
          <w:u w:val="single"/>
        </w:rPr>
      </w:pPr>
      <w:r>
        <w:rPr>
          <w:rFonts w:hint="eastAsia" w:ascii="仿宋" w:hAnsi="仿宋" w:eastAsia="仿宋" w:cs="仿宋"/>
          <w:b/>
          <w:color w:val="auto"/>
          <w:szCs w:val="21"/>
          <w:highlight w:val="none"/>
          <w:u w:val="single"/>
        </w:rPr>
        <w:t>（1）代表发包人对工程质量、投资、进度和安全生产进行控制及监督管理；</w:t>
      </w:r>
    </w:p>
    <w:p w14:paraId="51DB1801">
      <w:pPr>
        <w:tabs>
          <w:tab w:val="left" w:pos="5460"/>
        </w:tabs>
        <w:spacing w:line="360" w:lineRule="auto"/>
        <w:ind w:firstLine="527" w:firstLineChars="250"/>
        <w:rPr>
          <w:rFonts w:hint="eastAsia" w:ascii="仿宋" w:hAnsi="仿宋" w:eastAsia="仿宋" w:cs="仿宋"/>
          <w:b/>
          <w:color w:val="auto"/>
          <w:szCs w:val="21"/>
          <w:highlight w:val="none"/>
          <w:u w:val="single"/>
        </w:rPr>
      </w:pPr>
      <w:r>
        <w:rPr>
          <w:rFonts w:hint="eastAsia" w:ascii="仿宋" w:hAnsi="仿宋" w:eastAsia="仿宋" w:cs="仿宋"/>
          <w:b/>
          <w:color w:val="auto"/>
          <w:szCs w:val="21"/>
          <w:highlight w:val="none"/>
          <w:u w:val="single"/>
        </w:rPr>
        <w:t>（2）协调设计、监理、施工和其他相关单位之间的关系；</w:t>
      </w:r>
    </w:p>
    <w:p w14:paraId="7C550CCB">
      <w:pPr>
        <w:tabs>
          <w:tab w:val="left" w:pos="5460"/>
        </w:tabs>
        <w:spacing w:line="360" w:lineRule="auto"/>
        <w:ind w:firstLine="527" w:firstLineChars="250"/>
        <w:rPr>
          <w:rFonts w:hint="eastAsia" w:ascii="仿宋" w:hAnsi="仿宋" w:eastAsia="仿宋" w:cs="仿宋"/>
          <w:color w:val="auto"/>
          <w:szCs w:val="21"/>
          <w:highlight w:val="none"/>
          <w:u w:val="single"/>
        </w:rPr>
      </w:pPr>
      <w:r>
        <w:rPr>
          <w:rFonts w:hint="eastAsia" w:ascii="仿宋" w:hAnsi="仿宋" w:eastAsia="仿宋" w:cs="仿宋"/>
          <w:b/>
          <w:color w:val="auto"/>
          <w:szCs w:val="21"/>
          <w:highlight w:val="none"/>
          <w:u w:val="single"/>
        </w:rPr>
        <w:t>（3）现场技术、经济签证单的审批</w:t>
      </w:r>
      <w:r>
        <w:rPr>
          <w:rFonts w:hint="eastAsia" w:ascii="仿宋" w:hAnsi="仿宋" w:eastAsia="仿宋" w:cs="仿宋"/>
          <w:color w:val="auto"/>
          <w:szCs w:val="21"/>
          <w:highlight w:val="none"/>
          <w:u w:val="single"/>
        </w:rPr>
        <w:t xml:space="preserve">。 </w:t>
      </w:r>
    </w:p>
    <w:p w14:paraId="7DD45E08">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2.4 施工现场、施工条件和基础资料的提供</w:t>
      </w:r>
    </w:p>
    <w:p w14:paraId="522E131C">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2.4.1 提供施工现场</w:t>
      </w:r>
    </w:p>
    <w:p w14:paraId="5F598411">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关于发包人移交施工现场的期限要求：</w:t>
      </w:r>
      <w:r>
        <w:rPr>
          <w:rFonts w:hint="eastAsia" w:ascii="仿宋" w:hAnsi="仿宋" w:eastAsia="仿宋" w:cs="仿宋"/>
          <w:b/>
          <w:color w:val="auto"/>
          <w:szCs w:val="21"/>
          <w:highlight w:val="none"/>
          <w:u w:val="single"/>
        </w:rPr>
        <w:t>发包人应最迟于开工日期3天前向承包人移交施工现场</w:t>
      </w:r>
      <w:r>
        <w:rPr>
          <w:rFonts w:hint="eastAsia" w:ascii="仿宋" w:hAnsi="仿宋" w:eastAsia="仿宋" w:cs="仿宋"/>
          <w:color w:val="auto"/>
          <w:szCs w:val="21"/>
          <w:highlight w:val="none"/>
        </w:rPr>
        <w:t>。</w:t>
      </w:r>
    </w:p>
    <w:p w14:paraId="0DF615BA">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2.4.2 提供施工条件</w:t>
      </w:r>
    </w:p>
    <w:p w14:paraId="29A2815A">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关于发包人应负责提供施工所需要的条件，包括：</w:t>
      </w:r>
    </w:p>
    <w:p w14:paraId="7F33F2C9">
      <w:pPr>
        <w:spacing w:line="360" w:lineRule="auto"/>
        <w:ind w:firstLine="422" w:firstLineChars="200"/>
        <w:rPr>
          <w:rFonts w:hint="eastAsia" w:ascii="仿宋" w:hAnsi="仿宋" w:eastAsia="仿宋" w:cs="仿宋"/>
          <w:b/>
          <w:color w:val="auto"/>
          <w:szCs w:val="21"/>
          <w:highlight w:val="none"/>
          <w:u w:val="single"/>
        </w:rPr>
      </w:pPr>
      <w:r>
        <w:rPr>
          <w:rFonts w:hint="eastAsia" w:ascii="仿宋" w:hAnsi="仿宋" w:eastAsia="仿宋" w:cs="仿宋"/>
          <w:b/>
          <w:color w:val="auto"/>
          <w:szCs w:val="21"/>
          <w:highlight w:val="none"/>
          <w:u w:val="single"/>
        </w:rPr>
        <w:t>（1）甲方提供水、电接入位置，由乙方自行负责，按相关产权单位要求办理接入事宜；</w:t>
      </w:r>
    </w:p>
    <w:p w14:paraId="170C9935">
      <w:pPr>
        <w:spacing w:line="360" w:lineRule="auto"/>
        <w:ind w:firstLine="422" w:firstLineChars="200"/>
        <w:rPr>
          <w:rFonts w:hint="eastAsia" w:ascii="仿宋" w:hAnsi="仿宋" w:eastAsia="仿宋" w:cs="仿宋"/>
          <w:b/>
          <w:color w:val="auto"/>
          <w:szCs w:val="21"/>
          <w:highlight w:val="none"/>
          <w:u w:val="single"/>
        </w:rPr>
      </w:pPr>
      <w:r>
        <w:rPr>
          <w:rFonts w:hint="eastAsia" w:ascii="仿宋" w:hAnsi="仿宋" w:eastAsia="仿宋" w:cs="仿宋"/>
          <w:b/>
          <w:color w:val="auto"/>
          <w:szCs w:val="21"/>
          <w:highlight w:val="none"/>
          <w:u w:val="single"/>
        </w:rPr>
        <w:t>（2）向承包人提供正常施工所需要的进入施工现场的交通条件；</w:t>
      </w:r>
    </w:p>
    <w:p w14:paraId="48046E9A">
      <w:pPr>
        <w:spacing w:line="360" w:lineRule="auto"/>
        <w:ind w:firstLine="422" w:firstLineChars="200"/>
        <w:rPr>
          <w:rFonts w:hint="eastAsia" w:ascii="仿宋" w:hAnsi="仿宋" w:eastAsia="仿宋" w:cs="仿宋"/>
          <w:color w:val="auto"/>
          <w:szCs w:val="21"/>
          <w:highlight w:val="none"/>
        </w:rPr>
      </w:pPr>
      <w:r>
        <w:rPr>
          <w:rFonts w:hint="eastAsia" w:ascii="仿宋" w:hAnsi="仿宋" w:eastAsia="仿宋" w:cs="仿宋"/>
          <w:b/>
          <w:color w:val="auto"/>
          <w:szCs w:val="21"/>
          <w:highlight w:val="none"/>
          <w:u w:val="single"/>
        </w:rPr>
        <w:t>（3）协调处理施工现场周围地下管线和邻近建筑物、构筑物、古树名木的保护工作，并承担相关保护费用；因承包人原因导致上述地下管线和邻近建筑物、构筑物、古树名木破坏、损毁或损失扩大的，由承包人承担相应责任并赔偿损失</w:t>
      </w:r>
      <w:r>
        <w:rPr>
          <w:rFonts w:hint="eastAsia" w:ascii="仿宋" w:hAnsi="仿宋" w:eastAsia="仿宋" w:cs="仿宋"/>
          <w:color w:val="auto"/>
          <w:szCs w:val="21"/>
          <w:highlight w:val="none"/>
        </w:rPr>
        <w:t>。</w:t>
      </w:r>
    </w:p>
    <w:p w14:paraId="7F8EB3EA">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2.4.4 逾期提供的责任</w:t>
      </w:r>
    </w:p>
    <w:p w14:paraId="0FD2A4A5">
      <w:pPr>
        <w:spacing w:line="360" w:lineRule="auto"/>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u w:val="single"/>
        </w:rPr>
        <w:t>因发包人原因未能按合同约定及时向承包人提供施工现场、施工条件、基础资料的，如因此导致承包人工期延误的，经发包人批准后顺延工期，除此之外，发包人无需向承包人承担任何责任</w:t>
      </w:r>
      <w:r>
        <w:rPr>
          <w:rFonts w:hint="eastAsia" w:ascii="仿宋" w:hAnsi="仿宋" w:eastAsia="仿宋" w:cs="仿宋"/>
          <w:color w:val="auto"/>
          <w:szCs w:val="21"/>
          <w:highlight w:val="none"/>
        </w:rPr>
        <w:t>。</w:t>
      </w:r>
    </w:p>
    <w:p w14:paraId="3A371DFD">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2.5 资金来源证明及支付担保</w:t>
      </w:r>
    </w:p>
    <w:p w14:paraId="7B770DC8">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发包人提供资金来源证明的期限要求：</w:t>
      </w:r>
      <w:r>
        <w:rPr>
          <w:rFonts w:hint="eastAsia" w:ascii="仿宋" w:hAnsi="仿宋" w:eastAsia="仿宋" w:cs="仿宋"/>
          <w:b/>
          <w:color w:val="auto"/>
          <w:szCs w:val="21"/>
          <w:highlight w:val="none"/>
          <w:u w:val="single"/>
        </w:rPr>
        <w:t>不提供</w:t>
      </w:r>
      <w:r>
        <w:rPr>
          <w:rFonts w:hint="eastAsia" w:ascii="仿宋" w:hAnsi="仿宋" w:eastAsia="仿宋" w:cs="仿宋"/>
          <w:color w:val="auto"/>
          <w:szCs w:val="21"/>
          <w:highlight w:val="none"/>
        </w:rPr>
        <w:t>。</w:t>
      </w:r>
    </w:p>
    <w:p w14:paraId="2167C36B">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发包人是否提供支付担保：</w:t>
      </w:r>
      <w:r>
        <w:rPr>
          <w:rFonts w:hint="eastAsia" w:ascii="仿宋" w:hAnsi="仿宋" w:eastAsia="仿宋" w:cs="仿宋"/>
          <w:b/>
          <w:color w:val="auto"/>
          <w:szCs w:val="21"/>
          <w:highlight w:val="none"/>
          <w:u w:val="single"/>
        </w:rPr>
        <w:t>不提供</w:t>
      </w:r>
      <w:r>
        <w:rPr>
          <w:rFonts w:hint="eastAsia" w:ascii="仿宋" w:hAnsi="仿宋" w:eastAsia="仿宋" w:cs="仿宋"/>
          <w:color w:val="auto"/>
          <w:szCs w:val="21"/>
          <w:highlight w:val="none"/>
        </w:rPr>
        <w:t>。</w:t>
      </w:r>
    </w:p>
    <w:p w14:paraId="2A3397C6">
      <w:pPr>
        <w:spacing w:line="360" w:lineRule="auto"/>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发包人提供支付担保的形式：</w:t>
      </w:r>
      <w:r>
        <w:rPr>
          <w:rFonts w:hint="eastAsia" w:ascii="仿宋" w:hAnsi="仿宋" w:eastAsia="仿宋" w:cs="仿宋"/>
          <w:color w:val="auto"/>
          <w:szCs w:val="21"/>
          <w:highlight w:val="none"/>
          <w:u w:val="single"/>
        </w:rPr>
        <w:t xml:space="preserve"> / </w:t>
      </w:r>
      <w:r>
        <w:rPr>
          <w:rFonts w:hint="eastAsia" w:ascii="仿宋" w:hAnsi="仿宋" w:eastAsia="仿宋" w:cs="仿宋"/>
          <w:color w:val="auto"/>
          <w:szCs w:val="21"/>
          <w:highlight w:val="none"/>
        </w:rPr>
        <w:t>。</w:t>
      </w:r>
    </w:p>
    <w:p w14:paraId="726E05C1">
      <w:pPr>
        <w:pStyle w:val="5"/>
        <w:spacing w:before="0" w:after="0" w:line="360" w:lineRule="auto"/>
        <w:rPr>
          <w:rFonts w:hint="eastAsia" w:ascii="仿宋" w:hAnsi="仿宋" w:eastAsia="仿宋" w:cs="仿宋"/>
          <w:b w:val="0"/>
          <w:color w:val="auto"/>
          <w:sz w:val="21"/>
          <w:szCs w:val="21"/>
          <w:highlight w:val="none"/>
        </w:rPr>
      </w:pPr>
      <w:bookmarkStart w:id="571" w:name="_Toc371946138"/>
      <w:r>
        <w:rPr>
          <w:rFonts w:hint="eastAsia" w:ascii="仿宋" w:hAnsi="仿宋" w:eastAsia="仿宋" w:cs="仿宋"/>
          <w:b w:val="0"/>
          <w:color w:val="auto"/>
          <w:sz w:val="21"/>
          <w:szCs w:val="21"/>
          <w:highlight w:val="none"/>
        </w:rPr>
        <w:t>3</w:t>
      </w:r>
      <w:bookmarkStart w:id="572" w:name="_Toc296890986"/>
      <w:bookmarkStart w:id="573" w:name="_Toc296891198"/>
      <w:bookmarkStart w:id="574" w:name="_Toc292559363"/>
      <w:bookmarkStart w:id="575" w:name="_Toc297048344"/>
      <w:bookmarkStart w:id="576" w:name="_Toc297120458"/>
      <w:bookmarkStart w:id="577" w:name="_Toc296503158"/>
      <w:bookmarkStart w:id="578" w:name="_Toc296346659"/>
      <w:bookmarkStart w:id="579" w:name="_Toc292559868"/>
      <w:bookmarkStart w:id="580" w:name="_Toc296347157"/>
      <w:bookmarkStart w:id="581" w:name="_Toc296944497"/>
      <w:r>
        <w:rPr>
          <w:rFonts w:hint="eastAsia" w:ascii="仿宋" w:hAnsi="仿宋" w:eastAsia="仿宋" w:cs="仿宋"/>
          <w:b w:val="0"/>
          <w:color w:val="auto"/>
          <w:sz w:val="21"/>
          <w:szCs w:val="21"/>
          <w:highlight w:val="none"/>
        </w:rPr>
        <w:t>. 承包人</w:t>
      </w:r>
      <w:bookmarkEnd w:id="571"/>
    </w:p>
    <w:bookmarkEnd w:id="572"/>
    <w:bookmarkEnd w:id="573"/>
    <w:bookmarkEnd w:id="574"/>
    <w:bookmarkEnd w:id="575"/>
    <w:bookmarkEnd w:id="576"/>
    <w:bookmarkEnd w:id="577"/>
    <w:bookmarkEnd w:id="578"/>
    <w:bookmarkEnd w:id="579"/>
    <w:bookmarkEnd w:id="580"/>
    <w:bookmarkEnd w:id="581"/>
    <w:p w14:paraId="6B764BD7">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3.1 承包人的一般义务</w:t>
      </w:r>
    </w:p>
    <w:p w14:paraId="7FADC8C6">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（9）承包人提交的竣工资料的内容：</w:t>
      </w:r>
      <w:r>
        <w:rPr>
          <w:rFonts w:hint="eastAsia" w:ascii="仿宋" w:hAnsi="仿宋" w:eastAsia="仿宋" w:cs="仿宋"/>
          <w:b/>
          <w:color w:val="auto"/>
          <w:szCs w:val="21"/>
          <w:highlight w:val="none"/>
          <w:u w:val="single"/>
        </w:rPr>
        <w:t>承包人应按现行法律及规范规定编制竣工资料，并按照监理人要求的内容提交完整的竣工资料</w:t>
      </w:r>
      <w:r>
        <w:rPr>
          <w:rFonts w:hint="eastAsia" w:ascii="仿宋" w:hAnsi="仿宋" w:eastAsia="仿宋" w:cs="仿宋"/>
          <w:color w:val="auto"/>
          <w:szCs w:val="21"/>
          <w:highlight w:val="none"/>
        </w:rPr>
        <w:t>。</w:t>
      </w:r>
    </w:p>
    <w:p w14:paraId="13B8AEAD">
      <w:pPr>
        <w:spacing w:line="360" w:lineRule="auto"/>
        <w:ind w:firstLine="630" w:firstLineChars="3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承包人需要提交的竣工资料套数：</w:t>
      </w:r>
      <w:r>
        <w:rPr>
          <w:rFonts w:hint="eastAsia" w:ascii="仿宋" w:hAnsi="仿宋" w:eastAsia="仿宋" w:cs="仿宋"/>
          <w:b/>
          <w:bCs/>
          <w:color w:val="auto"/>
          <w:szCs w:val="21"/>
          <w:highlight w:val="none"/>
          <w:u w:val="single"/>
        </w:rPr>
        <w:t>伍套</w:t>
      </w:r>
      <w:r>
        <w:rPr>
          <w:rFonts w:hint="eastAsia" w:ascii="仿宋" w:hAnsi="仿宋" w:eastAsia="仿宋" w:cs="仿宋"/>
          <w:color w:val="auto"/>
          <w:szCs w:val="21"/>
          <w:highlight w:val="none"/>
        </w:rPr>
        <w:t>。</w:t>
      </w:r>
    </w:p>
    <w:p w14:paraId="41A77DC5">
      <w:pPr>
        <w:spacing w:line="360" w:lineRule="auto"/>
        <w:ind w:left="0" w:left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承包人提交的竣工资料的费用承担：</w:t>
      </w:r>
      <w:r>
        <w:rPr>
          <w:rFonts w:hint="eastAsia" w:ascii="仿宋" w:hAnsi="仿宋" w:eastAsia="仿宋" w:cs="仿宋"/>
          <w:b/>
          <w:color w:val="auto"/>
          <w:szCs w:val="21"/>
          <w:highlight w:val="none"/>
          <w:u w:val="single"/>
        </w:rPr>
        <w:t>全部由承包人承担（含竣工图编制费用）</w:t>
      </w:r>
      <w:r>
        <w:rPr>
          <w:rFonts w:hint="eastAsia" w:ascii="仿宋" w:hAnsi="仿宋" w:eastAsia="仿宋" w:cs="仿宋"/>
          <w:color w:val="auto"/>
          <w:szCs w:val="21"/>
          <w:highlight w:val="none"/>
        </w:rPr>
        <w:t>。</w:t>
      </w:r>
    </w:p>
    <w:p w14:paraId="0AAE5F25">
      <w:pPr>
        <w:tabs>
          <w:tab w:val="left" w:pos="6930"/>
        </w:tabs>
        <w:spacing w:line="360" w:lineRule="auto"/>
        <w:ind w:firstLine="613" w:firstLineChars="292"/>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承包人提交的竣工资料移交时间：</w:t>
      </w:r>
      <w:r>
        <w:rPr>
          <w:rFonts w:hint="eastAsia" w:ascii="仿宋" w:hAnsi="仿宋" w:eastAsia="仿宋" w:cs="仿宋"/>
          <w:b/>
          <w:color w:val="auto"/>
          <w:szCs w:val="21"/>
          <w:highlight w:val="none"/>
          <w:u w:val="single"/>
        </w:rPr>
        <w:t>竣工验收前14天向发包人和监理人提交竣工验收申请报告及相关资料。竣工验收合格后28天内向发包人和监理人提交竣工结算报告及相关资料。结算审计完成后28天内按照监理人要求的内容向发包人移交完整的竣工资料</w:t>
      </w:r>
      <w:r>
        <w:rPr>
          <w:rFonts w:hint="eastAsia" w:ascii="仿宋" w:hAnsi="仿宋" w:eastAsia="仿宋" w:cs="仿宋"/>
          <w:b/>
          <w:color w:val="auto"/>
          <w:szCs w:val="21"/>
          <w:highlight w:val="none"/>
        </w:rPr>
        <w:t>。</w:t>
      </w:r>
    </w:p>
    <w:p w14:paraId="22D8E346">
      <w:pPr>
        <w:spacing w:line="360" w:lineRule="auto"/>
        <w:ind w:firstLine="630" w:firstLineChars="3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承包人提交的竣工资料形式要求：</w:t>
      </w:r>
      <w:r>
        <w:rPr>
          <w:rFonts w:hint="eastAsia" w:ascii="仿宋" w:hAnsi="仿宋" w:eastAsia="仿宋" w:cs="仿宋"/>
          <w:b/>
          <w:color w:val="auto"/>
          <w:szCs w:val="21"/>
          <w:highlight w:val="none"/>
          <w:u w:val="single"/>
        </w:rPr>
        <w:t>纸质（图纸及预、结算书附电子文档</w:t>
      </w:r>
      <w:r>
        <w:rPr>
          <w:rFonts w:hint="eastAsia" w:ascii="仿宋" w:hAnsi="仿宋" w:eastAsia="仿宋" w:cs="仿宋"/>
          <w:b/>
          <w:color w:val="auto"/>
          <w:szCs w:val="21"/>
          <w:highlight w:val="none"/>
        </w:rPr>
        <w:t>）</w:t>
      </w:r>
      <w:r>
        <w:rPr>
          <w:rFonts w:hint="eastAsia" w:ascii="仿宋" w:hAnsi="仿宋" w:eastAsia="仿宋" w:cs="仿宋"/>
          <w:color w:val="auto"/>
          <w:szCs w:val="21"/>
          <w:highlight w:val="none"/>
        </w:rPr>
        <w:t>。</w:t>
      </w:r>
    </w:p>
    <w:p w14:paraId="613D39E9">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（10）承包人应履行的其他义务：</w:t>
      </w:r>
      <w:r>
        <w:rPr>
          <w:rFonts w:hint="eastAsia" w:ascii="仿宋" w:hAnsi="仿宋" w:eastAsia="仿宋" w:cs="仿宋"/>
          <w:b/>
          <w:color w:val="auto"/>
          <w:szCs w:val="21"/>
          <w:highlight w:val="none"/>
          <w:u w:val="single"/>
        </w:rPr>
        <w:t>根据施工需要和本合同约定，发包人和监理人要求承包人履行的其它义务</w:t>
      </w:r>
      <w:r>
        <w:rPr>
          <w:rFonts w:hint="eastAsia" w:ascii="仿宋" w:hAnsi="仿宋" w:eastAsia="仿宋" w:cs="仿宋"/>
          <w:color w:val="auto"/>
          <w:szCs w:val="21"/>
          <w:highlight w:val="none"/>
        </w:rPr>
        <w:t>。</w:t>
      </w:r>
    </w:p>
    <w:p w14:paraId="39501BF1">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3.2 项目经理</w:t>
      </w:r>
    </w:p>
    <w:p w14:paraId="241CDC9A">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3.2.1 项目经理：</w:t>
      </w:r>
    </w:p>
    <w:p w14:paraId="59422148">
      <w:pPr>
        <w:spacing w:line="360" w:lineRule="auto"/>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 xml:space="preserve">姓    名： </w:t>
      </w:r>
      <w:r>
        <w:rPr>
          <w:rFonts w:hint="eastAsia" w:ascii="仿宋" w:hAnsi="仿宋" w:eastAsia="仿宋" w:cs="仿宋"/>
          <w:b/>
          <w:bCs/>
          <w:color w:val="auto"/>
          <w:szCs w:val="21"/>
          <w:highlight w:val="none"/>
          <w:u w:val="single"/>
        </w:rPr>
        <w:t xml:space="preserve">    </w:t>
      </w:r>
      <w:r>
        <w:rPr>
          <w:rFonts w:hint="eastAsia" w:ascii="仿宋" w:hAnsi="仿宋" w:eastAsia="仿宋" w:cs="仿宋"/>
          <w:b/>
          <w:bCs/>
          <w:color w:val="auto"/>
          <w:szCs w:val="21"/>
          <w:highlight w:val="none"/>
        </w:rPr>
        <w:t>；</w:t>
      </w:r>
    </w:p>
    <w:p w14:paraId="09020406">
      <w:pPr>
        <w:spacing w:line="360" w:lineRule="auto"/>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 xml:space="preserve">身份证号： </w:t>
      </w:r>
      <w:r>
        <w:rPr>
          <w:rFonts w:hint="eastAsia" w:ascii="仿宋" w:hAnsi="仿宋" w:eastAsia="仿宋" w:cs="仿宋"/>
          <w:b/>
          <w:bCs/>
          <w:color w:val="auto"/>
          <w:szCs w:val="21"/>
          <w:highlight w:val="none"/>
          <w:u w:val="single"/>
        </w:rPr>
        <w:t xml:space="preserve">  </w:t>
      </w:r>
      <w:r>
        <w:rPr>
          <w:rFonts w:hint="eastAsia" w:ascii="仿宋" w:hAnsi="仿宋" w:eastAsia="仿宋" w:cs="仿宋"/>
          <w:b/>
          <w:bCs/>
          <w:color w:val="auto"/>
          <w:szCs w:val="21"/>
          <w:highlight w:val="none"/>
        </w:rPr>
        <w:t>；</w:t>
      </w:r>
    </w:p>
    <w:p w14:paraId="1470C49A">
      <w:pPr>
        <w:spacing w:line="360" w:lineRule="auto"/>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建造师执业资格等级：</w:t>
      </w:r>
      <w:r>
        <w:rPr>
          <w:rFonts w:hint="eastAsia" w:ascii="仿宋" w:hAnsi="仿宋" w:eastAsia="仿宋" w:cs="仿宋"/>
          <w:b/>
          <w:bCs/>
          <w:color w:val="auto"/>
          <w:szCs w:val="21"/>
          <w:highlight w:val="none"/>
          <w:u w:val="single"/>
        </w:rPr>
        <w:t xml:space="preserve">   </w:t>
      </w:r>
      <w:r>
        <w:rPr>
          <w:rFonts w:hint="eastAsia" w:ascii="仿宋" w:hAnsi="仿宋" w:eastAsia="仿宋" w:cs="仿宋"/>
          <w:b/>
          <w:bCs/>
          <w:color w:val="auto"/>
          <w:szCs w:val="21"/>
          <w:highlight w:val="none"/>
        </w:rPr>
        <w:t>；</w:t>
      </w:r>
    </w:p>
    <w:p w14:paraId="44A1690B">
      <w:pPr>
        <w:spacing w:line="360" w:lineRule="auto"/>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 xml:space="preserve">建造师注册证书号： </w:t>
      </w:r>
      <w:r>
        <w:rPr>
          <w:rFonts w:hint="eastAsia" w:ascii="仿宋" w:hAnsi="仿宋" w:eastAsia="仿宋" w:cs="仿宋"/>
          <w:b/>
          <w:bCs/>
          <w:color w:val="auto"/>
          <w:szCs w:val="21"/>
          <w:highlight w:val="none"/>
          <w:u w:val="single"/>
        </w:rPr>
        <w:t xml:space="preserve">   </w:t>
      </w:r>
      <w:r>
        <w:rPr>
          <w:rFonts w:hint="eastAsia" w:ascii="仿宋" w:hAnsi="仿宋" w:eastAsia="仿宋" w:cs="仿宋"/>
          <w:b/>
          <w:bCs/>
          <w:color w:val="auto"/>
          <w:szCs w:val="21"/>
          <w:highlight w:val="none"/>
        </w:rPr>
        <w:t>；</w:t>
      </w:r>
    </w:p>
    <w:p w14:paraId="35D7B972">
      <w:pPr>
        <w:spacing w:line="360" w:lineRule="auto"/>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建造师执业印章号：</w:t>
      </w:r>
      <w:r>
        <w:rPr>
          <w:rFonts w:hint="eastAsia" w:ascii="仿宋" w:hAnsi="仿宋" w:eastAsia="仿宋" w:cs="仿宋"/>
          <w:b/>
          <w:bCs/>
          <w:color w:val="auto"/>
          <w:szCs w:val="21"/>
          <w:highlight w:val="none"/>
          <w:u w:val="single"/>
        </w:rPr>
        <w:t xml:space="preserve">     /   </w:t>
      </w:r>
      <w:r>
        <w:rPr>
          <w:rFonts w:hint="eastAsia" w:ascii="仿宋" w:hAnsi="仿宋" w:eastAsia="仿宋" w:cs="仿宋"/>
          <w:b/>
          <w:bCs/>
          <w:color w:val="auto"/>
          <w:szCs w:val="21"/>
          <w:highlight w:val="none"/>
        </w:rPr>
        <w:t>；</w:t>
      </w:r>
    </w:p>
    <w:p w14:paraId="08D40D2F">
      <w:pPr>
        <w:spacing w:line="360" w:lineRule="auto"/>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安全生产考核合格证书号：</w:t>
      </w:r>
      <w:r>
        <w:rPr>
          <w:rFonts w:hint="eastAsia" w:ascii="仿宋" w:hAnsi="仿宋" w:eastAsia="仿宋" w:cs="仿宋"/>
          <w:b/>
          <w:bCs/>
          <w:color w:val="auto"/>
          <w:szCs w:val="21"/>
          <w:highlight w:val="none"/>
          <w:u w:val="single"/>
        </w:rPr>
        <w:t xml:space="preserve">   </w:t>
      </w:r>
      <w:r>
        <w:rPr>
          <w:rFonts w:hint="eastAsia" w:ascii="仿宋" w:hAnsi="仿宋" w:eastAsia="仿宋" w:cs="仿宋"/>
          <w:b/>
          <w:bCs/>
          <w:color w:val="auto"/>
          <w:szCs w:val="21"/>
          <w:highlight w:val="none"/>
        </w:rPr>
        <w:t>；</w:t>
      </w:r>
    </w:p>
    <w:p w14:paraId="24A3F1D7">
      <w:pPr>
        <w:spacing w:line="360" w:lineRule="auto"/>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联系电话：</w:t>
      </w:r>
      <w:r>
        <w:rPr>
          <w:rFonts w:hint="eastAsia" w:ascii="仿宋" w:hAnsi="仿宋" w:eastAsia="仿宋" w:cs="仿宋"/>
          <w:b/>
          <w:bCs/>
          <w:color w:val="auto"/>
          <w:szCs w:val="21"/>
          <w:highlight w:val="none"/>
          <w:u w:val="single"/>
        </w:rPr>
        <w:t xml:space="preserve">  </w:t>
      </w:r>
      <w:r>
        <w:rPr>
          <w:rFonts w:hint="eastAsia" w:ascii="仿宋" w:hAnsi="仿宋" w:eastAsia="仿宋" w:cs="仿宋"/>
          <w:b/>
          <w:bCs/>
          <w:color w:val="auto"/>
          <w:szCs w:val="21"/>
          <w:highlight w:val="none"/>
        </w:rPr>
        <w:t>；</w:t>
      </w:r>
    </w:p>
    <w:p w14:paraId="0E181A5D">
      <w:pPr>
        <w:spacing w:line="360" w:lineRule="auto"/>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电子信箱：</w:t>
      </w:r>
      <w:r>
        <w:rPr>
          <w:rFonts w:hint="eastAsia" w:ascii="仿宋" w:hAnsi="仿宋" w:eastAsia="仿宋" w:cs="仿宋"/>
          <w:b/>
          <w:bCs/>
          <w:color w:val="auto"/>
          <w:szCs w:val="21"/>
          <w:highlight w:val="none"/>
          <w:u w:val="single"/>
        </w:rPr>
        <w:t xml:space="preserve"> </w:t>
      </w:r>
      <w:r>
        <w:rPr>
          <w:rFonts w:hint="eastAsia" w:ascii="仿宋" w:hAnsi="仿宋" w:eastAsia="仿宋" w:cs="仿宋"/>
          <w:b/>
          <w:bCs/>
          <w:color w:val="auto"/>
          <w:szCs w:val="21"/>
          <w:highlight w:val="none"/>
        </w:rPr>
        <w:t>；</w:t>
      </w:r>
    </w:p>
    <w:p w14:paraId="63A3234B">
      <w:pPr>
        <w:spacing w:line="360" w:lineRule="auto"/>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 xml:space="preserve">通信地址： </w:t>
      </w:r>
      <w:r>
        <w:rPr>
          <w:rFonts w:hint="eastAsia" w:ascii="仿宋" w:hAnsi="仿宋" w:eastAsia="仿宋" w:cs="仿宋"/>
          <w:b/>
          <w:bCs/>
          <w:color w:val="auto"/>
          <w:szCs w:val="21"/>
          <w:highlight w:val="none"/>
          <w:u w:val="single"/>
        </w:rPr>
        <w:t xml:space="preserve">  </w:t>
      </w:r>
      <w:r>
        <w:rPr>
          <w:rFonts w:hint="eastAsia" w:ascii="仿宋" w:hAnsi="仿宋" w:eastAsia="仿宋" w:cs="仿宋"/>
          <w:b/>
          <w:bCs/>
          <w:color w:val="auto"/>
          <w:szCs w:val="21"/>
          <w:highlight w:val="none"/>
        </w:rPr>
        <w:t>；</w:t>
      </w:r>
    </w:p>
    <w:p w14:paraId="7578EF22">
      <w:pPr>
        <w:spacing w:line="360" w:lineRule="auto"/>
        <w:ind w:firstLine="420" w:firstLineChars="200"/>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承包人对项目经理的授权范围如下：</w:t>
      </w:r>
      <w:r>
        <w:rPr>
          <w:rFonts w:hint="eastAsia" w:ascii="仿宋" w:hAnsi="仿宋" w:eastAsia="仿宋" w:cs="仿宋"/>
          <w:b/>
          <w:color w:val="auto"/>
          <w:szCs w:val="21"/>
          <w:highlight w:val="none"/>
          <w:u w:val="single"/>
        </w:rPr>
        <w:t>代表承包人负责履行合同，对本合同工程进行全面施工管理。承包人为履行合同发出的一切函件均应盖有承包人单位章并由承包人项目经理签字。未经发包人同意，承包人项目经理不得授权其他人员履行其按合同约定应当履行的职责</w:t>
      </w:r>
      <w:r>
        <w:rPr>
          <w:rFonts w:hint="eastAsia" w:ascii="仿宋" w:hAnsi="仿宋" w:eastAsia="仿宋" w:cs="仿宋"/>
          <w:b/>
          <w:color w:val="auto"/>
          <w:szCs w:val="21"/>
          <w:highlight w:val="none"/>
        </w:rPr>
        <w:t>。</w:t>
      </w:r>
    </w:p>
    <w:p w14:paraId="0863FA41">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关于项目经理每月在施工现场的时间要求：</w:t>
      </w:r>
      <w:r>
        <w:rPr>
          <w:rFonts w:hint="eastAsia" w:ascii="仿宋" w:hAnsi="仿宋" w:eastAsia="仿宋" w:cs="仿宋"/>
          <w:b/>
          <w:color w:val="auto"/>
          <w:szCs w:val="21"/>
          <w:highlight w:val="none"/>
          <w:u w:val="single"/>
        </w:rPr>
        <w:t>项目经理应常驻施工现场，且每月在施工现场时间不得少于28天（含，下同）</w:t>
      </w:r>
      <w:r>
        <w:rPr>
          <w:rFonts w:hint="eastAsia" w:ascii="仿宋" w:hAnsi="仿宋" w:eastAsia="仿宋" w:cs="仿宋"/>
          <w:color w:val="auto"/>
          <w:szCs w:val="21"/>
          <w:highlight w:val="none"/>
        </w:rPr>
        <w:t>。</w:t>
      </w:r>
    </w:p>
    <w:p w14:paraId="06A65630">
      <w:pPr>
        <w:spacing w:line="360" w:lineRule="auto"/>
        <w:ind w:firstLine="420" w:firstLineChars="200"/>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承包人未提交劳动合同，以及没有为项目经理缴纳社会保险证明的违约责任：</w:t>
      </w:r>
      <w:r>
        <w:rPr>
          <w:rFonts w:hint="eastAsia" w:ascii="仿宋" w:hAnsi="仿宋" w:eastAsia="仿宋" w:cs="仿宋"/>
          <w:b/>
          <w:color w:val="auto"/>
          <w:szCs w:val="21"/>
          <w:highlight w:val="none"/>
          <w:u w:val="single"/>
        </w:rPr>
        <w:t>承包人不按要求提交上述文件或者经查实承包人在投标文件中提供虚假的上述文件骗取中标的，发包人有权与承包人解除或终止合同，由承包人承担全部责任（包括按规定承担行政责任），并由承包人按照专用合同条款第16.2.3项的约定承担违约责任</w:t>
      </w:r>
      <w:r>
        <w:rPr>
          <w:rFonts w:hint="eastAsia" w:ascii="仿宋" w:hAnsi="仿宋" w:eastAsia="仿宋" w:cs="仿宋"/>
          <w:color w:val="auto"/>
          <w:szCs w:val="21"/>
          <w:highlight w:val="none"/>
        </w:rPr>
        <w:t>。</w:t>
      </w:r>
    </w:p>
    <w:p w14:paraId="6EA21466">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项目经理未经批准，擅自离开施工现场的违约责任：</w:t>
      </w:r>
      <w:r>
        <w:rPr>
          <w:rFonts w:hint="eastAsia" w:ascii="仿宋" w:hAnsi="仿宋" w:eastAsia="仿宋" w:cs="仿宋"/>
          <w:b/>
          <w:color w:val="auto"/>
          <w:szCs w:val="21"/>
          <w:highlight w:val="none"/>
          <w:u w:val="single"/>
        </w:rPr>
        <w:t>发包人或监理人每发现项目经理缺（脱）岗1次，由承包人向发包人支付每次</w:t>
      </w:r>
      <w:r>
        <w:rPr>
          <w:rFonts w:hint="eastAsia" w:ascii="仿宋" w:hAnsi="仿宋" w:eastAsia="仿宋" w:cs="仿宋"/>
          <w:b/>
          <w:color w:val="auto"/>
          <w:szCs w:val="21"/>
          <w:highlight w:val="none"/>
          <w:u w:val="single"/>
          <w:lang w:val="en-US" w:eastAsia="zh-CN"/>
        </w:rPr>
        <w:t>5000</w:t>
      </w:r>
      <w:r>
        <w:rPr>
          <w:rFonts w:hint="eastAsia" w:ascii="仿宋" w:hAnsi="仿宋" w:eastAsia="仿宋" w:cs="仿宋"/>
          <w:b/>
          <w:color w:val="auto"/>
          <w:szCs w:val="21"/>
          <w:highlight w:val="none"/>
          <w:u w:val="single"/>
        </w:rPr>
        <w:t>元的违约金。项目经理未经批准，一月内累计缺（脱）岗5次以上或连续缺岗2天以上影响正常施工管理的，发包人有权要求承包人更换项目经理或(和)停工整顿，承包人除按照签约合同价5%的金额向发包人支付违约金外，还应当根据停工天数按每天</w:t>
      </w:r>
      <w:r>
        <w:rPr>
          <w:rFonts w:hint="eastAsia" w:ascii="仿宋" w:hAnsi="仿宋" w:eastAsia="仿宋" w:cs="仿宋"/>
          <w:b/>
          <w:color w:val="auto"/>
          <w:szCs w:val="21"/>
          <w:highlight w:val="none"/>
          <w:u w:val="single"/>
          <w:lang w:val="en-US" w:eastAsia="zh-CN"/>
        </w:rPr>
        <w:t>10000</w:t>
      </w:r>
      <w:r>
        <w:rPr>
          <w:rFonts w:hint="eastAsia" w:ascii="仿宋" w:hAnsi="仿宋" w:eastAsia="仿宋" w:cs="仿宋"/>
          <w:b/>
          <w:color w:val="auto"/>
          <w:szCs w:val="21"/>
          <w:highlight w:val="none"/>
          <w:u w:val="single"/>
        </w:rPr>
        <w:t>元向发包人支付停工损失，由此增加的费用和（或）延误的工期由承包人承担。承包人拒不整改的，承包人应按照签约合同价20%的金额向发包人支付违约金，并且发包人有权与承包人解除合同</w:t>
      </w:r>
      <w:r>
        <w:rPr>
          <w:rFonts w:hint="eastAsia" w:ascii="仿宋" w:hAnsi="仿宋" w:eastAsia="仿宋" w:cs="仿宋"/>
          <w:color w:val="auto"/>
          <w:szCs w:val="21"/>
          <w:highlight w:val="none"/>
        </w:rPr>
        <w:t>。</w:t>
      </w:r>
    </w:p>
    <w:p w14:paraId="675A62D0">
      <w:pPr>
        <w:spacing w:line="360" w:lineRule="auto"/>
        <w:ind w:firstLine="420" w:firstLineChars="200"/>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3.2.3 承包人擅自更换项目经理的违约责任：</w:t>
      </w:r>
      <w:r>
        <w:rPr>
          <w:rFonts w:hint="eastAsia" w:ascii="仿宋" w:hAnsi="仿宋" w:eastAsia="仿宋" w:cs="仿宋"/>
          <w:b/>
          <w:color w:val="auto"/>
          <w:szCs w:val="21"/>
          <w:highlight w:val="none"/>
          <w:u w:val="single"/>
        </w:rPr>
        <w:t>合同中约定的项目经理因正当理由确实无法履职，承包人需要更换项目经理的，应提前14天书面报告发包人和监理人，否则，属于承包人擅自更换项目经理，擅自更换的项目经理无权履行职责，视为承包人非法转包，或视为原项目经理未经批准擅自离开施工现场，由承包人按照专用合同条款第3.2.1项的相关约定承担违约责任</w:t>
      </w:r>
      <w:r>
        <w:rPr>
          <w:rFonts w:hint="eastAsia" w:ascii="仿宋" w:hAnsi="仿宋" w:eastAsia="仿宋" w:cs="仿宋"/>
          <w:color w:val="auto"/>
          <w:szCs w:val="21"/>
          <w:highlight w:val="none"/>
        </w:rPr>
        <w:t>。</w:t>
      </w:r>
    </w:p>
    <w:p w14:paraId="507A35F9">
      <w:pPr>
        <w:spacing w:line="360" w:lineRule="auto"/>
        <w:ind w:firstLine="315" w:firstLineChars="150"/>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 xml:space="preserve"> 3.2.4 承包人无正当理由拒绝更换项目经理的违约责任： </w:t>
      </w:r>
      <w:r>
        <w:rPr>
          <w:rFonts w:hint="eastAsia" w:ascii="仿宋" w:hAnsi="仿宋" w:eastAsia="仿宋" w:cs="仿宋"/>
          <w:b/>
          <w:color w:val="auto"/>
          <w:szCs w:val="21"/>
          <w:highlight w:val="none"/>
          <w:u w:val="single"/>
        </w:rPr>
        <w:t>承包人无正当理由拒绝按照发包人书面通知的要求更换不称职的项目经理的，承包人应按照签约合同价20%的金额向发包人支付违约金，并且发包人有权与承包人解除或终止合同</w:t>
      </w:r>
      <w:r>
        <w:rPr>
          <w:rFonts w:hint="eastAsia" w:ascii="仿宋" w:hAnsi="仿宋" w:eastAsia="仿宋" w:cs="仿宋"/>
          <w:color w:val="auto"/>
          <w:szCs w:val="21"/>
          <w:highlight w:val="none"/>
        </w:rPr>
        <w:t>。</w:t>
      </w:r>
    </w:p>
    <w:p w14:paraId="3894664E">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3.3 承包人人员</w:t>
      </w:r>
    </w:p>
    <w:p w14:paraId="7F809466">
      <w:pPr>
        <w:spacing w:line="360" w:lineRule="auto"/>
        <w:ind w:firstLine="420" w:firstLineChars="200"/>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3.3.1 承包人提交项目管理机构及施工现场管理人员安排报告的期限：</w:t>
      </w:r>
      <w:r>
        <w:rPr>
          <w:rFonts w:hint="eastAsia" w:ascii="仿宋" w:hAnsi="仿宋" w:eastAsia="仿宋" w:cs="仿宋"/>
          <w:b/>
          <w:color w:val="auto"/>
          <w:szCs w:val="21"/>
          <w:highlight w:val="none"/>
          <w:u w:val="single"/>
        </w:rPr>
        <w:t>承包人应严格按照其投标文件所列的项目管理机构在监理工程师或发包人指定的日期内派驻项目经理、主要技术负责人和施工管理人员进场，未经发包人批准不得擅自更换</w:t>
      </w:r>
      <w:r>
        <w:rPr>
          <w:rFonts w:hint="eastAsia" w:ascii="仿宋" w:hAnsi="仿宋" w:eastAsia="仿宋" w:cs="仿宋"/>
          <w:b/>
          <w:color w:val="auto"/>
          <w:szCs w:val="21"/>
          <w:highlight w:val="none"/>
        </w:rPr>
        <w:t>。</w:t>
      </w:r>
    </w:p>
    <w:p w14:paraId="1E74685E">
      <w:pPr>
        <w:spacing w:line="360" w:lineRule="auto"/>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3.3.3 承包人无正当理由拒绝撤换主要施工管理人员的违约责任：</w:t>
      </w:r>
      <w:r>
        <w:rPr>
          <w:rFonts w:hint="eastAsia" w:ascii="仿宋" w:hAnsi="仿宋" w:eastAsia="仿宋" w:cs="仿宋"/>
          <w:b/>
          <w:color w:val="auto"/>
          <w:szCs w:val="21"/>
          <w:highlight w:val="none"/>
          <w:u w:val="single"/>
        </w:rPr>
        <w:t>承包人无正当理由拒绝撤换不合格的主要施工管理人员的，承包人除按照签约合同价5%的金额向发包人支付违约金外，发包人有权要求承包人停工整顿，停工期间还应当按每天</w:t>
      </w:r>
      <w:r>
        <w:rPr>
          <w:rFonts w:hint="eastAsia" w:ascii="仿宋" w:hAnsi="仿宋" w:eastAsia="仿宋" w:cs="仿宋"/>
          <w:b/>
          <w:color w:val="auto"/>
          <w:szCs w:val="21"/>
          <w:highlight w:val="none"/>
          <w:u w:val="single"/>
          <w:lang w:val="en-US" w:eastAsia="zh-CN"/>
        </w:rPr>
        <w:t>10000</w:t>
      </w:r>
      <w:r>
        <w:rPr>
          <w:rFonts w:hint="eastAsia" w:ascii="仿宋" w:hAnsi="仿宋" w:eastAsia="仿宋" w:cs="仿宋"/>
          <w:b/>
          <w:color w:val="auto"/>
          <w:szCs w:val="21"/>
          <w:highlight w:val="none"/>
          <w:u w:val="single"/>
        </w:rPr>
        <w:t>元向发包人支付停工损失，由此增加的费用和（或）延误的工期由承包人承担。情节严重的，发包人有权与承包人解除合同，并由承包人按照专用合同条款第16.2.3项的约定承担违约责任</w:t>
      </w:r>
      <w:r>
        <w:rPr>
          <w:rFonts w:hint="eastAsia" w:ascii="仿宋" w:hAnsi="仿宋" w:eastAsia="仿宋" w:cs="仿宋"/>
          <w:color w:val="auto"/>
          <w:szCs w:val="21"/>
          <w:highlight w:val="none"/>
        </w:rPr>
        <w:t>。</w:t>
      </w:r>
    </w:p>
    <w:p w14:paraId="5C2A47CF">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3.3.4 承包人主要施工管理人员离开施工现场的批准要求：</w:t>
      </w:r>
      <w:r>
        <w:rPr>
          <w:rFonts w:hint="eastAsia" w:ascii="仿宋" w:hAnsi="仿宋" w:eastAsia="仿宋" w:cs="仿宋"/>
          <w:b/>
          <w:color w:val="auto"/>
          <w:szCs w:val="21"/>
          <w:highlight w:val="none"/>
          <w:u w:val="single"/>
        </w:rPr>
        <w:t>按照通用合同条款执行</w:t>
      </w:r>
      <w:r>
        <w:rPr>
          <w:rFonts w:hint="eastAsia" w:ascii="仿宋" w:hAnsi="仿宋" w:eastAsia="仿宋" w:cs="仿宋"/>
          <w:color w:val="auto"/>
          <w:szCs w:val="21"/>
          <w:highlight w:val="none"/>
        </w:rPr>
        <w:t>。</w:t>
      </w:r>
    </w:p>
    <w:p w14:paraId="46DA714A">
      <w:pPr>
        <w:spacing w:line="360" w:lineRule="auto"/>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3.3.5承包人擅自更换主要施工管理人员的违约责任：</w:t>
      </w:r>
      <w:r>
        <w:rPr>
          <w:rFonts w:hint="eastAsia" w:ascii="仿宋" w:hAnsi="仿宋" w:eastAsia="仿宋" w:cs="仿宋"/>
          <w:b/>
          <w:color w:val="auto"/>
          <w:szCs w:val="21"/>
          <w:highlight w:val="none"/>
          <w:u w:val="single"/>
        </w:rPr>
        <w:t>承包人擅自更换主要技术负责人的，参照项目经理按照第3.2.3项的相关约定承担违约责任。承包人擅自更换其他主要施工管理人员，按照签约合同价5%的金额向发包人支付违约金</w:t>
      </w:r>
      <w:r>
        <w:rPr>
          <w:rFonts w:hint="eastAsia" w:ascii="仿宋" w:hAnsi="仿宋" w:eastAsia="仿宋" w:cs="仿宋"/>
          <w:color w:val="auto"/>
          <w:szCs w:val="21"/>
          <w:highlight w:val="none"/>
          <w:u w:val="single"/>
        </w:rPr>
        <w:t>。</w:t>
      </w:r>
      <w:r>
        <w:rPr>
          <w:rFonts w:hint="eastAsia" w:ascii="仿宋" w:hAnsi="仿宋" w:eastAsia="仿宋" w:cs="仿宋"/>
          <w:b/>
          <w:color w:val="auto"/>
          <w:szCs w:val="21"/>
          <w:highlight w:val="none"/>
          <w:u w:val="single"/>
        </w:rPr>
        <w:t>情节严重的，发包人有权与承包人解除合同，并由承包人按照专用合同条款第16.2.3项的约定承担违约责任</w:t>
      </w:r>
      <w:r>
        <w:rPr>
          <w:rFonts w:hint="eastAsia" w:ascii="仿宋" w:hAnsi="仿宋" w:eastAsia="仿宋" w:cs="仿宋"/>
          <w:color w:val="auto"/>
          <w:szCs w:val="21"/>
          <w:highlight w:val="none"/>
        </w:rPr>
        <w:t>。</w:t>
      </w:r>
    </w:p>
    <w:p w14:paraId="67BDB183">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承包人主要施工管理人员擅自离开施工现场的违约责任：</w:t>
      </w:r>
      <w:r>
        <w:rPr>
          <w:rFonts w:hint="eastAsia" w:ascii="仿宋" w:hAnsi="仿宋" w:eastAsia="仿宋" w:cs="仿宋"/>
          <w:b/>
          <w:color w:val="auto"/>
          <w:szCs w:val="21"/>
          <w:highlight w:val="none"/>
          <w:u w:val="single"/>
        </w:rPr>
        <w:t>主要技术负责人擅自离开施工现场的，参照项目经理按照第3.2.1项的相关约定承担违约责任。其他主要施工管理人员擅自离开施工现场的，每发现缺（脱）岗1次，由承包人按每人次向发包人支付2000元的违约金，一月内累计缺（脱）岗5次以上或连续缺岗3天以上影响正常施工管理的，发包人有权要求承包人更换不称职的管理人员或(和)停工整顿，承包人除按照签约合同价5%的金额向发包人支付违约金外，还应当根据停工天数按每天</w:t>
      </w:r>
      <w:r>
        <w:rPr>
          <w:rFonts w:hint="eastAsia" w:ascii="仿宋" w:hAnsi="仿宋" w:eastAsia="仿宋" w:cs="仿宋"/>
          <w:b/>
          <w:color w:val="auto"/>
          <w:szCs w:val="21"/>
          <w:highlight w:val="none"/>
          <w:u w:val="single"/>
          <w:lang w:val="en-US" w:eastAsia="zh-CN"/>
        </w:rPr>
        <w:t>10000</w:t>
      </w:r>
      <w:r>
        <w:rPr>
          <w:rFonts w:hint="eastAsia" w:ascii="仿宋" w:hAnsi="仿宋" w:eastAsia="仿宋" w:cs="仿宋"/>
          <w:b/>
          <w:color w:val="auto"/>
          <w:szCs w:val="21"/>
          <w:highlight w:val="none"/>
          <w:u w:val="single"/>
        </w:rPr>
        <w:t>元向发包人支付停工损失，由此增加的费用和（或）延误的工期由承包人承担。承包人拒不整改的，承包人应按照签约合同价20%的金额向发包人支付违约金，并且发包人有权与承包人解除合同</w:t>
      </w:r>
      <w:r>
        <w:rPr>
          <w:rFonts w:hint="eastAsia" w:ascii="仿宋" w:hAnsi="仿宋" w:eastAsia="仿宋" w:cs="仿宋"/>
          <w:color w:val="auto"/>
          <w:szCs w:val="21"/>
          <w:highlight w:val="none"/>
        </w:rPr>
        <w:t>。</w:t>
      </w:r>
    </w:p>
    <w:p w14:paraId="36C1A8D3">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bookmarkStart w:id="582" w:name="_Toc304295523"/>
      <w:bookmarkStart w:id="583" w:name="_Toc297120459"/>
      <w:bookmarkStart w:id="584" w:name="_Toc296346660"/>
      <w:bookmarkStart w:id="585" w:name="_Toc292559364"/>
      <w:bookmarkStart w:id="586" w:name="_Toc296347158"/>
      <w:bookmarkStart w:id="587" w:name="_Toc300934945"/>
      <w:bookmarkStart w:id="588" w:name="_Toc297048345"/>
      <w:bookmarkStart w:id="589" w:name="_Toc296891199"/>
      <w:bookmarkStart w:id="590" w:name="_Toc297216151"/>
      <w:bookmarkStart w:id="591" w:name="_Toc292559869"/>
      <w:bookmarkStart w:id="592" w:name="_Toc312677988"/>
      <w:bookmarkStart w:id="593" w:name="_Toc296503159"/>
      <w:bookmarkStart w:id="594" w:name="_Toc296890987"/>
      <w:bookmarkStart w:id="595" w:name="_Toc297123492"/>
      <w:bookmarkStart w:id="596" w:name="_Toc303539102"/>
      <w:bookmarkStart w:id="597" w:name="_Toc296944498"/>
      <w:r>
        <w:rPr>
          <w:rFonts w:hint="eastAsia" w:ascii="仿宋" w:hAnsi="仿宋" w:eastAsia="仿宋" w:cs="仿宋"/>
          <w:color w:val="auto"/>
          <w:szCs w:val="21"/>
          <w:highlight w:val="none"/>
        </w:rPr>
        <w:t>.5 分包</w:t>
      </w:r>
    </w:p>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14:paraId="236ACBE3">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bookmarkStart w:id="598" w:name="_Toc304295524"/>
      <w:bookmarkStart w:id="599" w:name="_Toc296347159"/>
      <w:bookmarkStart w:id="600" w:name="_Toc297216152"/>
      <w:bookmarkStart w:id="601" w:name="_Toc297120460"/>
      <w:bookmarkStart w:id="602" w:name="_Toc296503160"/>
      <w:bookmarkStart w:id="603" w:name="_Toc292559870"/>
      <w:bookmarkStart w:id="604" w:name="_Toc297123493"/>
      <w:bookmarkStart w:id="605" w:name="_Toc296944499"/>
      <w:bookmarkStart w:id="606" w:name="_Toc300934946"/>
      <w:bookmarkStart w:id="607" w:name="_Toc297048346"/>
      <w:bookmarkStart w:id="608" w:name="_Toc303539103"/>
      <w:bookmarkStart w:id="609" w:name="_Toc296346661"/>
      <w:bookmarkStart w:id="610" w:name="_Toc296890988"/>
      <w:bookmarkStart w:id="611" w:name="_Toc292559365"/>
      <w:bookmarkStart w:id="612" w:name="_Toc296891200"/>
      <w:bookmarkStart w:id="613" w:name="_Toc318581158"/>
      <w:bookmarkStart w:id="614" w:name="_Toc312677989"/>
      <w:r>
        <w:rPr>
          <w:rFonts w:hint="eastAsia" w:ascii="仿宋" w:hAnsi="仿宋" w:eastAsia="仿宋" w:cs="仿宋"/>
          <w:color w:val="auto"/>
          <w:szCs w:val="21"/>
          <w:highlight w:val="none"/>
        </w:rPr>
        <w:t>.5.1 分包的一般约定</w:t>
      </w:r>
    </w:p>
    <w:p w14:paraId="5DBDE4D5">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禁止分包的工程包括：</w:t>
      </w:r>
      <w:r>
        <w:rPr>
          <w:rFonts w:hint="eastAsia" w:ascii="仿宋" w:hAnsi="仿宋" w:eastAsia="仿宋" w:cs="仿宋"/>
          <w:b/>
          <w:color w:val="auto"/>
          <w:szCs w:val="21"/>
          <w:highlight w:val="none"/>
          <w:u w:val="single"/>
        </w:rPr>
        <w:t xml:space="preserve"> /    </w:t>
      </w:r>
      <w:r>
        <w:rPr>
          <w:rFonts w:hint="eastAsia" w:ascii="仿宋" w:hAnsi="仿宋" w:eastAsia="仿宋" w:cs="仿宋"/>
          <w:color w:val="auto"/>
          <w:szCs w:val="21"/>
          <w:highlight w:val="none"/>
        </w:rPr>
        <w:t>。</w:t>
      </w:r>
    </w:p>
    <w:p w14:paraId="6A44C338">
      <w:pPr>
        <w:spacing w:line="360" w:lineRule="auto"/>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主体结构、关键性工作的范围：</w:t>
      </w:r>
      <w:r>
        <w:rPr>
          <w:rFonts w:hint="eastAsia" w:ascii="仿宋" w:hAnsi="仿宋" w:eastAsia="仿宋" w:cs="仿宋"/>
          <w:b/>
          <w:color w:val="auto"/>
          <w:szCs w:val="21"/>
          <w:highlight w:val="none"/>
          <w:u w:val="single"/>
        </w:rPr>
        <w:t xml:space="preserve">    /   </w:t>
      </w:r>
      <w:r>
        <w:rPr>
          <w:rFonts w:hint="eastAsia" w:ascii="仿宋" w:hAnsi="仿宋" w:eastAsia="仿宋" w:cs="仿宋"/>
          <w:color w:val="auto"/>
          <w:szCs w:val="21"/>
          <w:highlight w:val="none"/>
        </w:rPr>
        <w:t>。</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Start w:id="615" w:name="_Toc303539104"/>
      <w:bookmarkStart w:id="616" w:name="_Toc296890989"/>
      <w:bookmarkStart w:id="617" w:name="_Toc297120461"/>
      <w:bookmarkStart w:id="618" w:name="_Toc297216153"/>
      <w:bookmarkStart w:id="619" w:name="_Toc296347160"/>
      <w:bookmarkStart w:id="620" w:name="_Toc296503161"/>
      <w:bookmarkStart w:id="621" w:name="_Toc296944500"/>
      <w:bookmarkStart w:id="622" w:name="_Toc297048347"/>
      <w:bookmarkStart w:id="623" w:name="_Toc296891201"/>
      <w:bookmarkStart w:id="624" w:name="_Toc297123494"/>
      <w:bookmarkStart w:id="625" w:name="_Toc300934947"/>
      <w:bookmarkStart w:id="626" w:name="_Toc304295525"/>
      <w:bookmarkStart w:id="627" w:name="_Toc296346662"/>
    </w:p>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14:paraId="5DF61398">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3</w:t>
      </w:r>
      <w:bookmarkStart w:id="628" w:name="_Toc312677990"/>
      <w:bookmarkStart w:id="629" w:name="_Toc318581159"/>
      <w:r>
        <w:rPr>
          <w:rFonts w:hint="eastAsia" w:ascii="仿宋" w:hAnsi="仿宋" w:eastAsia="仿宋" w:cs="仿宋"/>
          <w:color w:val="auto"/>
          <w:szCs w:val="21"/>
          <w:highlight w:val="none"/>
        </w:rPr>
        <w:t>.5.2分包的确定</w:t>
      </w:r>
    </w:p>
    <w:p w14:paraId="49FF748B">
      <w:pPr>
        <w:spacing w:line="360" w:lineRule="auto"/>
        <w:ind w:firstLine="420" w:firstLineChars="200"/>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允许分包的专业工程包括：</w:t>
      </w:r>
      <w:r>
        <w:rPr>
          <w:rFonts w:hint="eastAsia" w:ascii="仿宋" w:hAnsi="仿宋" w:eastAsia="仿宋" w:cs="仿宋"/>
          <w:b/>
          <w:color w:val="auto"/>
          <w:szCs w:val="21"/>
          <w:highlight w:val="none"/>
          <w:u w:val="single"/>
        </w:rPr>
        <w:t>本合同工程</w:t>
      </w:r>
      <w:r>
        <w:rPr>
          <w:rFonts w:hint="eastAsia" w:ascii="仿宋" w:hAnsi="仿宋" w:eastAsia="仿宋" w:cs="仿宋"/>
          <w:b/>
          <w:color w:val="auto"/>
          <w:szCs w:val="21"/>
          <w:highlight w:val="none"/>
          <w:u w:val="single"/>
          <w:lang w:val="zh-CN"/>
        </w:rPr>
        <w:t>部分非主体、非关键性工作且是相关政府部门要求需专业资质或特殊要求才能施工完成的专业工程，经发包人同意后可以分包，相应资质应符合国家相关规定，承包人对分包的项目向发包人承担全部责任</w:t>
      </w:r>
      <w:r>
        <w:rPr>
          <w:rFonts w:hint="eastAsia" w:ascii="仿宋" w:hAnsi="仿宋" w:eastAsia="仿宋" w:cs="仿宋"/>
          <w:b/>
          <w:color w:val="auto"/>
          <w:szCs w:val="21"/>
          <w:highlight w:val="none"/>
          <w:lang w:val="zh-CN"/>
        </w:rPr>
        <w:t>。</w:t>
      </w:r>
    </w:p>
    <w:p w14:paraId="5EF6A367">
      <w:pPr>
        <w:spacing w:line="360" w:lineRule="auto"/>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其他关于分包的约定：</w:t>
      </w:r>
      <w:r>
        <w:rPr>
          <w:rFonts w:hint="eastAsia" w:ascii="仿宋" w:hAnsi="仿宋" w:eastAsia="仿宋" w:cs="仿宋"/>
          <w:b/>
          <w:color w:val="auto"/>
          <w:szCs w:val="21"/>
          <w:highlight w:val="none"/>
          <w:u w:val="single"/>
        </w:rPr>
        <w:t xml:space="preserve">     /   </w:t>
      </w:r>
      <w:r>
        <w:rPr>
          <w:rFonts w:hint="eastAsia" w:ascii="仿宋" w:hAnsi="仿宋" w:eastAsia="仿宋" w:cs="仿宋"/>
          <w:color w:val="auto"/>
          <w:szCs w:val="21"/>
          <w:highlight w:val="none"/>
        </w:rPr>
        <w:t>。</w:t>
      </w:r>
    </w:p>
    <w:p w14:paraId="7C3ADCFD">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3.5.4 分包合同价款</w:t>
      </w:r>
    </w:p>
    <w:p w14:paraId="11F6FF6B">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关于分包合同价款支付的约定：</w:t>
      </w:r>
      <w:r>
        <w:rPr>
          <w:rFonts w:hint="eastAsia" w:ascii="仿宋" w:hAnsi="仿宋" w:eastAsia="仿宋" w:cs="仿宋"/>
          <w:b/>
          <w:color w:val="auto"/>
          <w:szCs w:val="21"/>
          <w:highlight w:val="none"/>
          <w:u w:val="single"/>
        </w:rPr>
        <w:t xml:space="preserve">    /    </w:t>
      </w:r>
      <w:r>
        <w:rPr>
          <w:rFonts w:hint="eastAsia" w:ascii="仿宋" w:hAnsi="仿宋" w:eastAsia="仿宋" w:cs="仿宋"/>
          <w:color w:val="auto"/>
          <w:szCs w:val="21"/>
          <w:highlight w:val="none"/>
        </w:rPr>
        <w:t>。</w:t>
      </w:r>
    </w:p>
    <w:bookmarkEnd w:id="628"/>
    <w:bookmarkEnd w:id="629"/>
    <w:p w14:paraId="0D69F8A2">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3.6 工程照管与成品、半成品保护</w:t>
      </w:r>
    </w:p>
    <w:p w14:paraId="3CC81027">
      <w:pPr>
        <w:spacing w:before="0"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承包人负责照管工程及工程相关的材料、工程设备的起始时间：</w:t>
      </w:r>
      <w:r>
        <w:rPr>
          <w:rFonts w:hint="eastAsia" w:ascii="仿宋" w:hAnsi="仿宋" w:eastAsia="仿宋" w:cs="仿宋"/>
          <w:b/>
          <w:color w:val="auto"/>
          <w:szCs w:val="21"/>
          <w:highlight w:val="none"/>
          <w:u w:val="single"/>
        </w:rPr>
        <w:t>按通用合同条款执行</w:t>
      </w:r>
      <w:r>
        <w:rPr>
          <w:rFonts w:hint="eastAsia" w:ascii="仿宋" w:hAnsi="仿宋" w:eastAsia="仿宋" w:cs="仿宋"/>
          <w:color w:val="auto"/>
          <w:szCs w:val="21"/>
          <w:highlight w:val="none"/>
        </w:rPr>
        <w:t>。</w:t>
      </w:r>
    </w:p>
    <w:p w14:paraId="20A14EC9">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3.7 履约担保</w:t>
      </w:r>
    </w:p>
    <w:p w14:paraId="321B16D3">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承包人是否提供履约担保：</w:t>
      </w:r>
      <w:r>
        <w:rPr>
          <w:rFonts w:hint="eastAsia" w:ascii="仿宋" w:hAnsi="仿宋" w:eastAsia="仿宋" w:cs="仿宋"/>
          <w:b/>
          <w:color w:val="auto"/>
          <w:szCs w:val="21"/>
          <w:highlight w:val="none"/>
          <w:u w:val="single"/>
          <w:lang w:val="en-US" w:eastAsia="zh-CN"/>
        </w:rPr>
        <w:t>不提供</w:t>
      </w:r>
      <w:r>
        <w:rPr>
          <w:rFonts w:hint="eastAsia" w:ascii="仿宋" w:hAnsi="仿宋" w:eastAsia="仿宋" w:cs="仿宋"/>
          <w:color w:val="auto"/>
          <w:szCs w:val="21"/>
          <w:highlight w:val="none"/>
        </w:rPr>
        <w:t>。</w:t>
      </w:r>
    </w:p>
    <w:p w14:paraId="5A5038FB">
      <w:pPr>
        <w:spacing w:line="360" w:lineRule="auto"/>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承包人提供履约担保的形式、金额及期限的：</w:t>
      </w:r>
      <w:r>
        <w:rPr>
          <w:rFonts w:hint="eastAsia" w:ascii="仿宋" w:hAnsi="仿宋" w:eastAsia="仿宋" w:cs="仿宋"/>
          <w:b/>
          <w:color w:val="auto"/>
          <w:szCs w:val="21"/>
          <w:highlight w:val="none"/>
          <w:u w:val="single"/>
          <w:lang w:val="en-US" w:eastAsia="zh-CN"/>
        </w:rPr>
        <w:t>/</w:t>
      </w:r>
      <w:r>
        <w:rPr>
          <w:rFonts w:hint="eastAsia" w:ascii="仿宋" w:hAnsi="仿宋" w:eastAsia="仿宋" w:cs="仿宋"/>
          <w:b/>
          <w:color w:val="auto"/>
          <w:szCs w:val="21"/>
          <w:highlight w:val="none"/>
        </w:rPr>
        <w:t>。</w:t>
      </w:r>
    </w:p>
    <w:p w14:paraId="2BD230CD">
      <w:pPr>
        <w:spacing w:line="360" w:lineRule="auto"/>
        <w:ind w:firstLine="420" w:firstLineChars="200"/>
        <w:rPr>
          <w:rFonts w:hint="eastAsia" w:ascii="仿宋" w:hAnsi="仿宋" w:eastAsia="仿宋" w:cs="仿宋"/>
          <w:b/>
          <w:color w:val="auto"/>
          <w:szCs w:val="21"/>
          <w:highlight w:val="none"/>
        </w:rPr>
      </w:pPr>
      <w:r>
        <w:rPr>
          <w:rFonts w:hint="eastAsia" w:ascii="仿宋" w:hAnsi="仿宋" w:eastAsia="仿宋" w:cs="仿宋"/>
          <w:bCs/>
          <w:color w:val="auto"/>
          <w:szCs w:val="21"/>
          <w:highlight w:val="none"/>
        </w:rPr>
        <w:t>履约担保的退还时间：</w:t>
      </w:r>
      <w:r>
        <w:rPr>
          <w:rFonts w:hint="eastAsia" w:ascii="仿宋" w:hAnsi="仿宋" w:eastAsia="仿宋" w:cs="仿宋"/>
          <w:b/>
          <w:color w:val="auto"/>
          <w:szCs w:val="21"/>
          <w:highlight w:val="none"/>
          <w:u w:val="single"/>
          <w:lang w:val="en-US" w:eastAsia="zh-CN"/>
        </w:rPr>
        <w:t>/</w:t>
      </w:r>
      <w:r>
        <w:rPr>
          <w:rFonts w:hint="eastAsia" w:ascii="仿宋" w:hAnsi="仿宋" w:eastAsia="仿宋" w:cs="仿宋"/>
          <w:b/>
          <w:color w:val="auto"/>
          <w:szCs w:val="21"/>
          <w:highlight w:val="none"/>
        </w:rPr>
        <w:t>。</w:t>
      </w:r>
    </w:p>
    <w:p w14:paraId="2B7EF4FE">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3.8水电接入</w:t>
      </w:r>
    </w:p>
    <w:p w14:paraId="7AD293A4">
      <w:pPr>
        <w:spacing w:line="360" w:lineRule="auto"/>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u w:val="single"/>
        </w:rPr>
        <w:t>甲方提供水、电接入位置，由乙方自行负责，按相关产权单位要求办理接入事宜，相关费用已包含在承包人报价</w:t>
      </w:r>
      <w:r>
        <w:rPr>
          <w:rFonts w:hint="eastAsia" w:ascii="仿宋" w:hAnsi="仿宋" w:eastAsia="仿宋" w:cs="仿宋"/>
          <w:b/>
          <w:color w:val="auto"/>
          <w:szCs w:val="21"/>
          <w:highlight w:val="none"/>
          <w:u w:val="single"/>
          <w:lang w:val="en-US" w:eastAsia="zh-CN"/>
        </w:rPr>
        <w:t>中</w:t>
      </w:r>
      <w:r>
        <w:rPr>
          <w:rFonts w:hint="eastAsia" w:ascii="仿宋" w:hAnsi="仿宋" w:eastAsia="仿宋" w:cs="仿宋"/>
          <w:b/>
          <w:color w:val="auto"/>
          <w:szCs w:val="21"/>
          <w:highlight w:val="none"/>
          <w:u w:val="single"/>
        </w:rPr>
        <w:t>，承包人已综合考虑，发包人不再就此向承包人支付任何费用</w:t>
      </w:r>
      <w:r>
        <w:rPr>
          <w:rFonts w:hint="eastAsia" w:ascii="仿宋" w:hAnsi="仿宋" w:eastAsia="仿宋" w:cs="仿宋"/>
          <w:b/>
          <w:color w:val="auto"/>
          <w:szCs w:val="21"/>
          <w:highlight w:val="none"/>
        </w:rPr>
        <w:t>。</w:t>
      </w:r>
    </w:p>
    <w:p w14:paraId="69BD48AA">
      <w:pPr>
        <w:pStyle w:val="5"/>
        <w:spacing w:before="0" w:after="0" w:line="360" w:lineRule="auto"/>
        <w:rPr>
          <w:rFonts w:hint="eastAsia" w:ascii="仿宋" w:hAnsi="仿宋" w:eastAsia="仿宋" w:cs="仿宋"/>
          <w:b w:val="0"/>
          <w:color w:val="auto"/>
          <w:sz w:val="21"/>
          <w:szCs w:val="21"/>
          <w:highlight w:val="none"/>
          <w:lang w:eastAsia="zh-CN"/>
        </w:rPr>
      </w:pPr>
      <w:bookmarkStart w:id="630" w:name="_Toc371946139"/>
      <w:r>
        <w:rPr>
          <w:rFonts w:hint="eastAsia" w:ascii="仿宋" w:hAnsi="仿宋" w:eastAsia="仿宋" w:cs="仿宋"/>
          <w:b w:val="0"/>
          <w:color w:val="auto"/>
          <w:sz w:val="21"/>
          <w:szCs w:val="21"/>
          <w:highlight w:val="none"/>
        </w:rPr>
        <w:t>4</w:t>
      </w:r>
      <w:bookmarkStart w:id="631" w:name="_Toc297120462"/>
      <w:bookmarkStart w:id="632" w:name="_Toc292559366"/>
      <w:bookmarkStart w:id="633" w:name="_Toc296944501"/>
      <w:bookmarkStart w:id="634" w:name="_Toc296891202"/>
      <w:bookmarkStart w:id="635" w:name="_Toc267251413"/>
      <w:bookmarkStart w:id="636" w:name="_Toc292559871"/>
      <w:bookmarkStart w:id="637" w:name="_Toc297048348"/>
      <w:bookmarkStart w:id="638" w:name="_Toc296503162"/>
      <w:bookmarkStart w:id="639" w:name="_Toc296346663"/>
      <w:bookmarkStart w:id="640" w:name="_Toc296347161"/>
      <w:bookmarkStart w:id="641" w:name="_Toc296890990"/>
      <w:r>
        <w:rPr>
          <w:rFonts w:hint="eastAsia" w:ascii="仿宋" w:hAnsi="仿宋" w:eastAsia="仿宋" w:cs="仿宋"/>
          <w:b w:val="0"/>
          <w:color w:val="auto"/>
          <w:sz w:val="21"/>
          <w:szCs w:val="21"/>
          <w:highlight w:val="none"/>
        </w:rPr>
        <w:t>. 监</w:t>
      </w:r>
      <w:bookmarkEnd w:id="631"/>
      <w:bookmarkEnd w:id="632"/>
      <w:bookmarkEnd w:id="633"/>
      <w:bookmarkEnd w:id="634"/>
      <w:bookmarkEnd w:id="635"/>
      <w:bookmarkEnd w:id="636"/>
      <w:bookmarkEnd w:id="637"/>
      <w:bookmarkEnd w:id="638"/>
      <w:bookmarkEnd w:id="639"/>
      <w:bookmarkEnd w:id="640"/>
      <w:bookmarkEnd w:id="641"/>
      <w:r>
        <w:rPr>
          <w:rFonts w:hint="eastAsia" w:ascii="仿宋" w:hAnsi="仿宋" w:eastAsia="仿宋" w:cs="仿宋"/>
          <w:b w:val="0"/>
          <w:color w:val="auto"/>
          <w:sz w:val="21"/>
          <w:szCs w:val="21"/>
          <w:highlight w:val="none"/>
        </w:rPr>
        <w:t>理人</w:t>
      </w:r>
      <w:bookmarkEnd w:id="630"/>
      <w:r>
        <w:rPr>
          <w:rFonts w:hint="eastAsia" w:ascii="仿宋" w:hAnsi="仿宋" w:eastAsia="仿宋" w:cs="仿宋"/>
          <w:b w:val="0"/>
          <w:color w:val="auto"/>
          <w:sz w:val="21"/>
          <w:szCs w:val="21"/>
          <w:highlight w:val="none"/>
          <w:lang w:eastAsia="zh-CN"/>
        </w:rPr>
        <w:t>（</w:t>
      </w:r>
      <w:r>
        <w:rPr>
          <w:rFonts w:hint="eastAsia" w:ascii="仿宋" w:hAnsi="仿宋" w:eastAsia="仿宋" w:cs="仿宋"/>
          <w:b w:val="0"/>
          <w:color w:val="auto"/>
          <w:sz w:val="21"/>
          <w:szCs w:val="21"/>
          <w:highlight w:val="none"/>
          <w:lang w:val="en-US" w:eastAsia="zh-CN"/>
        </w:rPr>
        <w:t>本项目不设置监理人，合同中所涉及到监理人的职能工作，均由发包人执行。</w:t>
      </w:r>
      <w:r>
        <w:rPr>
          <w:rFonts w:hint="eastAsia" w:ascii="仿宋" w:hAnsi="仿宋" w:eastAsia="仿宋" w:cs="仿宋"/>
          <w:b w:val="0"/>
          <w:color w:val="auto"/>
          <w:sz w:val="21"/>
          <w:szCs w:val="21"/>
          <w:highlight w:val="none"/>
          <w:lang w:eastAsia="zh-CN"/>
        </w:rPr>
        <w:t>）</w:t>
      </w:r>
    </w:p>
    <w:p w14:paraId="07B9FCD8">
      <w:pPr>
        <w:spacing w:after="0" w:line="360" w:lineRule="auto"/>
        <w:ind w:firstLine="420" w:firstLineChars="200"/>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4.1监理人的一般规定：</w:t>
      </w:r>
      <w:r>
        <w:rPr>
          <w:rFonts w:hint="eastAsia" w:ascii="仿宋" w:hAnsi="仿宋" w:eastAsia="仿宋" w:cs="仿宋"/>
          <w:b/>
          <w:color w:val="auto"/>
          <w:szCs w:val="21"/>
          <w:highlight w:val="none"/>
          <w:u w:val="single"/>
          <w:lang w:val="en-US" w:eastAsia="zh-CN"/>
        </w:rPr>
        <w:t>/</w:t>
      </w:r>
      <w:r>
        <w:rPr>
          <w:rFonts w:hint="eastAsia" w:ascii="仿宋" w:hAnsi="仿宋" w:eastAsia="仿宋" w:cs="仿宋"/>
          <w:b/>
          <w:color w:val="auto"/>
          <w:szCs w:val="21"/>
          <w:highlight w:val="none"/>
        </w:rPr>
        <w:t>。</w:t>
      </w:r>
    </w:p>
    <w:p w14:paraId="1C407636">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关于监理人的监理内容：</w:t>
      </w:r>
      <w:r>
        <w:rPr>
          <w:rFonts w:hint="eastAsia" w:ascii="仿宋" w:hAnsi="仿宋" w:eastAsia="仿宋" w:cs="仿宋"/>
          <w:b/>
          <w:color w:val="auto"/>
          <w:szCs w:val="21"/>
          <w:highlight w:val="none"/>
          <w:u w:val="single"/>
          <w:lang w:val="en-US" w:eastAsia="zh-CN"/>
        </w:rPr>
        <w:t>/</w:t>
      </w:r>
      <w:r>
        <w:rPr>
          <w:rFonts w:hint="eastAsia" w:ascii="仿宋" w:hAnsi="仿宋" w:eastAsia="仿宋" w:cs="仿宋"/>
          <w:color w:val="auto"/>
          <w:szCs w:val="21"/>
          <w:highlight w:val="none"/>
        </w:rPr>
        <w:t>。</w:t>
      </w:r>
    </w:p>
    <w:p w14:paraId="434437D2">
      <w:pPr>
        <w:spacing w:line="360" w:lineRule="auto"/>
        <w:ind w:firstLine="420" w:firstLineChars="200"/>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关于监理人的监理权限：</w:t>
      </w:r>
      <w:r>
        <w:rPr>
          <w:rFonts w:hint="eastAsia" w:ascii="仿宋" w:hAnsi="仿宋" w:eastAsia="仿宋" w:cs="仿宋"/>
          <w:b/>
          <w:color w:val="auto"/>
          <w:szCs w:val="21"/>
          <w:highlight w:val="none"/>
          <w:u w:val="single"/>
          <w:lang w:val="en-US" w:eastAsia="zh-CN"/>
        </w:rPr>
        <w:t>/</w:t>
      </w:r>
      <w:r>
        <w:rPr>
          <w:rFonts w:hint="eastAsia" w:ascii="仿宋" w:hAnsi="仿宋" w:eastAsia="仿宋" w:cs="仿宋"/>
          <w:color w:val="auto"/>
          <w:szCs w:val="21"/>
          <w:highlight w:val="none"/>
        </w:rPr>
        <w:t>。</w:t>
      </w:r>
    </w:p>
    <w:p w14:paraId="70DC24F0">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关于监理人在施工现场的办公场所、生活场所的提供和费用承担的约定：</w:t>
      </w:r>
      <w:r>
        <w:rPr>
          <w:rFonts w:hint="eastAsia" w:ascii="仿宋" w:hAnsi="仿宋" w:eastAsia="仿宋" w:cs="仿宋"/>
          <w:b/>
          <w:color w:val="auto"/>
          <w:szCs w:val="21"/>
          <w:highlight w:val="none"/>
          <w:u w:val="single"/>
          <w:lang w:val="en-US" w:eastAsia="zh-CN"/>
        </w:rPr>
        <w:t>/</w:t>
      </w:r>
      <w:r>
        <w:rPr>
          <w:rFonts w:hint="eastAsia" w:ascii="仿宋" w:hAnsi="仿宋" w:eastAsia="仿宋" w:cs="仿宋"/>
          <w:color w:val="auto"/>
          <w:szCs w:val="21"/>
          <w:highlight w:val="none"/>
        </w:rPr>
        <w:t>。</w:t>
      </w:r>
    </w:p>
    <w:p w14:paraId="69A21AAF">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4.2 监理人员</w:t>
      </w:r>
    </w:p>
    <w:p w14:paraId="4615001E">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姓    名：</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w:t>
      </w:r>
    </w:p>
    <w:p w14:paraId="036EFAF3">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职    务：</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w:t>
      </w:r>
    </w:p>
    <w:p w14:paraId="294742B8">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监理工程师执业资格证书号：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w:t>
      </w:r>
    </w:p>
    <w:p w14:paraId="675EBA28">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身份证号：</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w:t>
      </w:r>
    </w:p>
    <w:p w14:paraId="6D1043AB">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联系电话：</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w:t>
      </w:r>
    </w:p>
    <w:p w14:paraId="16025E20">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电子信箱：</w:t>
      </w:r>
      <w:r>
        <w:rPr>
          <w:rFonts w:hint="eastAsia" w:ascii="仿宋" w:hAnsi="仿宋" w:eastAsia="仿宋" w:cs="仿宋"/>
          <w:color w:val="auto"/>
          <w:szCs w:val="21"/>
          <w:highlight w:val="none"/>
          <w:u w:val="single"/>
          <w:lang w:val="en-US" w:eastAsia="zh-CN"/>
        </w:rPr>
        <w:t xml:space="preserve">  /  </w:t>
      </w:r>
      <w:r>
        <w:rPr>
          <w:rFonts w:hint="eastAsia" w:ascii="仿宋" w:hAnsi="仿宋" w:eastAsia="仿宋" w:cs="仿宋"/>
          <w:color w:val="auto"/>
          <w:szCs w:val="21"/>
          <w:highlight w:val="none"/>
        </w:rPr>
        <w:t>；</w:t>
      </w:r>
    </w:p>
    <w:p w14:paraId="646F6E92">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通信地址：</w:t>
      </w:r>
      <w:r>
        <w:rPr>
          <w:rFonts w:hint="eastAsia" w:ascii="仿宋" w:hAnsi="仿宋" w:eastAsia="仿宋" w:cs="仿宋"/>
          <w:color w:val="auto"/>
          <w:szCs w:val="21"/>
          <w:highlight w:val="none"/>
          <w:u w:val="single"/>
          <w:lang w:val="en-US" w:eastAsia="zh-CN"/>
        </w:rPr>
        <w:t xml:space="preserve"> 成都市金堂县金广路886号</w:t>
      </w:r>
      <w:r>
        <w:rPr>
          <w:rFonts w:hint="eastAsia" w:ascii="仿宋" w:hAnsi="仿宋" w:eastAsia="仿宋" w:cs="仿宋"/>
          <w:color w:val="auto"/>
          <w:szCs w:val="21"/>
          <w:highlight w:val="none"/>
        </w:rPr>
        <w:t>；</w:t>
      </w:r>
    </w:p>
    <w:p w14:paraId="5966C5D3">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关于监理人的其他约定：按照监理合同约定执行。</w:t>
      </w:r>
    </w:p>
    <w:p w14:paraId="463FE023">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4.4 商定或确定</w:t>
      </w:r>
    </w:p>
    <w:p w14:paraId="7405365F">
      <w:pPr>
        <w:spacing w:line="360" w:lineRule="auto"/>
        <w:ind w:firstLine="420" w:firstLineChars="200"/>
        <w:rPr>
          <w:rFonts w:hint="eastAsia" w:ascii="仿宋" w:hAnsi="仿宋" w:eastAsia="仿宋" w:cs="仿宋"/>
          <w:color w:val="auto"/>
          <w:szCs w:val="21"/>
          <w:highlight w:val="none"/>
        </w:rPr>
      </w:pPr>
      <w:bookmarkStart w:id="642" w:name="_Toc267251418"/>
      <w:r>
        <w:rPr>
          <w:rFonts w:hint="eastAsia" w:ascii="仿宋" w:hAnsi="仿宋" w:eastAsia="仿宋" w:cs="仿宋"/>
          <w:color w:val="auto"/>
          <w:szCs w:val="21"/>
          <w:highlight w:val="none"/>
        </w:rPr>
        <w:t>在发包人和承包人不能通过协商达成一致意见时，发包人授权监理人对以下事项进行确定：</w:t>
      </w:r>
    </w:p>
    <w:p w14:paraId="00BBD285">
      <w:pPr>
        <w:spacing w:line="360" w:lineRule="auto"/>
        <w:ind w:firstLine="422" w:firstLineChars="200"/>
        <w:rPr>
          <w:rFonts w:hint="eastAsia" w:ascii="仿宋" w:hAnsi="仿宋" w:eastAsia="仿宋" w:cs="仿宋"/>
          <w:color w:val="auto"/>
          <w:szCs w:val="21"/>
          <w:highlight w:val="none"/>
          <w:u w:val="single"/>
        </w:rPr>
      </w:pPr>
      <w:r>
        <w:rPr>
          <w:rFonts w:hint="eastAsia" w:ascii="仿宋" w:hAnsi="仿宋" w:eastAsia="仿宋" w:cs="仿宋"/>
          <w:b/>
          <w:color w:val="auto"/>
          <w:szCs w:val="21"/>
          <w:highlight w:val="none"/>
          <w:u w:val="single"/>
        </w:rPr>
        <w:t>（1）质量事项（需要经质量鉴定的除外）</w:t>
      </w:r>
      <w:r>
        <w:rPr>
          <w:rFonts w:hint="eastAsia" w:ascii="仿宋" w:hAnsi="仿宋" w:eastAsia="仿宋" w:cs="仿宋"/>
          <w:color w:val="auto"/>
          <w:szCs w:val="21"/>
          <w:highlight w:val="none"/>
          <w:u w:val="single"/>
        </w:rPr>
        <w:t>；</w:t>
      </w:r>
    </w:p>
    <w:p w14:paraId="61D0C3FA">
      <w:pPr>
        <w:spacing w:line="360" w:lineRule="auto"/>
        <w:ind w:firstLine="422" w:firstLineChars="200"/>
        <w:rPr>
          <w:rFonts w:hint="eastAsia" w:ascii="仿宋" w:hAnsi="仿宋" w:eastAsia="仿宋" w:cs="仿宋"/>
          <w:b/>
          <w:color w:val="auto"/>
          <w:szCs w:val="21"/>
          <w:highlight w:val="none"/>
          <w:u w:val="single"/>
        </w:rPr>
      </w:pPr>
      <w:r>
        <w:rPr>
          <w:rFonts w:hint="eastAsia" w:ascii="仿宋" w:hAnsi="仿宋" w:eastAsia="仿宋" w:cs="仿宋"/>
          <w:b/>
          <w:color w:val="auto"/>
          <w:szCs w:val="21"/>
          <w:highlight w:val="none"/>
          <w:u w:val="single"/>
        </w:rPr>
        <w:t>（2）进度事项（决定工期延长和工期索赔除外）；</w:t>
      </w:r>
    </w:p>
    <w:p w14:paraId="5037F1D7">
      <w:pPr>
        <w:spacing w:line="360" w:lineRule="auto"/>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u w:val="single"/>
        </w:rPr>
        <w:t>（3）安全文明生产事项（安全文明施工措施现场评价除外）</w:t>
      </w:r>
      <w:r>
        <w:rPr>
          <w:rFonts w:hint="eastAsia" w:ascii="仿宋" w:hAnsi="仿宋" w:eastAsia="仿宋" w:cs="仿宋"/>
          <w:color w:val="auto"/>
          <w:szCs w:val="21"/>
          <w:highlight w:val="none"/>
        </w:rPr>
        <w:t>。</w:t>
      </w:r>
    </w:p>
    <w:p w14:paraId="68F8D96D">
      <w:pPr>
        <w:pStyle w:val="5"/>
        <w:spacing w:before="0" w:after="0" w:line="360" w:lineRule="auto"/>
        <w:rPr>
          <w:rFonts w:hint="eastAsia" w:ascii="仿宋" w:hAnsi="仿宋" w:eastAsia="仿宋" w:cs="仿宋"/>
          <w:b w:val="0"/>
          <w:color w:val="auto"/>
          <w:sz w:val="21"/>
          <w:szCs w:val="21"/>
          <w:highlight w:val="none"/>
        </w:rPr>
      </w:pPr>
      <w:bookmarkStart w:id="643" w:name="_Toc371946140"/>
      <w:r>
        <w:rPr>
          <w:rFonts w:hint="eastAsia" w:ascii="仿宋" w:hAnsi="仿宋" w:eastAsia="仿宋" w:cs="仿宋"/>
          <w:b w:val="0"/>
          <w:color w:val="auto"/>
          <w:sz w:val="21"/>
          <w:szCs w:val="21"/>
          <w:highlight w:val="none"/>
        </w:rPr>
        <w:t>5</w:t>
      </w:r>
      <w:bookmarkEnd w:id="642"/>
      <w:bookmarkStart w:id="644" w:name="_Toc292559872"/>
      <w:bookmarkStart w:id="645" w:name="_Toc296890991"/>
      <w:bookmarkStart w:id="646" w:name="_Toc296503163"/>
      <w:bookmarkStart w:id="647" w:name="_Toc296944502"/>
      <w:bookmarkStart w:id="648" w:name="_Toc297048349"/>
      <w:bookmarkStart w:id="649" w:name="_Toc292559367"/>
      <w:bookmarkStart w:id="650" w:name="_Toc296891203"/>
      <w:bookmarkStart w:id="651" w:name="_Toc297120463"/>
      <w:bookmarkStart w:id="652" w:name="_Toc296346664"/>
      <w:bookmarkStart w:id="653" w:name="_Toc296347162"/>
      <w:r>
        <w:rPr>
          <w:rFonts w:hint="eastAsia" w:ascii="仿宋" w:hAnsi="仿宋" w:eastAsia="仿宋" w:cs="仿宋"/>
          <w:b w:val="0"/>
          <w:color w:val="auto"/>
          <w:sz w:val="21"/>
          <w:szCs w:val="21"/>
          <w:highlight w:val="none"/>
        </w:rPr>
        <w:t>. 工程质量</w:t>
      </w:r>
      <w:bookmarkEnd w:id="643"/>
    </w:p>
    <w:p w14:paraId="54456D4D">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5.1 质量要求</w:t>
      </w:r>
    </w:p>
    <w:p w14:paraId="4C8B75F8">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bookmarkStart w:id="654" w:name="_Toc297123496"/>
      <w:bookmarkStart w:id="655" w:name="_Toc312677997"/>
      <w:bookmarkStart w:id="656" w:name="_Toc300934949"/>
      <w:bookmarkStart w:id="657" w:name="_Toc304295527"/>
      <w:bookmarkStart w:id="658" w:name="_Toc297216155"/>
      <w:bookmarkStart w:id="659" w:name="_Toc303539106"/>
      <w:bookmarkStart w:id="660" w:name="_Toc318581164"/>
      <w:r>
        <w:rPr>
          <w:rFonts w:hint="eastAsia" w:ascii="仿宋" w:hAnsi="仿宋" w:eastAsia="仿宋" w:cs="仿宋"/>
          <w:color w:val="auto"/>
          <w:szCs w:val="21"/>
          <w:highlight w:val="none"/>
        </w:rPr>
        <w:t>.1.1 特殊质量标准和要求：</w:t>
      </w:r>
      <w:r>
        <w:rPr>
          <w:rStyle w:val="31"/>
          <w:rFonts w:hint="eastAsia" w:ascii="仿宋" w:hAnsi="仿宋" w:eastAsia="仿宋" w:cs="仿宋"/>
          <w:color w:val="auto"/>
          <w:szCs w:val="21"/>
          <w:highlight w:val="none"/>
        </w:rPr>
        <w:t>符合本工程设计文件、工程量清单和招标文件约定的技术标准和要求</w:t>
      </w:r>
      <w:r>
        <w:rPr>
          <w:rFonts w:hint="eastAsia" w:ascii="仿宋" w:hAnsi="仿宋" w:eastAsia="仿宋" w:cs="仿宋"/>
          <w:color w:val="auto"/>
          <w:szCs w:val="21"/>
          <w:highlight w:val="none"/>
        </w:rPr>
        <w:t>。</w:t>
      </w:r>
    </w:p>
    <w:p w14:paraId="5E8AB36F">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关于工程奖项的约定：</w:t>
      </w:r>
      <w:r>
        <w:rPr>
          <w:rFonts w:hint="eastAsia" w:ascii="仿宋" w:hAnsi="仿宋" w:eastAsia="仿宋" w:cs="仿宋"/>
          <w:color w:val="auto"/>
          <w:szCs w:val="21"/>
          <w:highlight w:val="none"/>
          <w:u w:val="single"/>
        </w:rPr>
        <w:t>/</w:t>
      </w:r>
      <w:r>
        <w:rPr>
          <w:rFonts w:hint="eastAsia" w:ascii="仿宋" w:hAnsi="仿宋" w:eastAsia="仿宋" w:cs="仿宋"/>
          <w:color w:val="auto"/>
          <w:szCs w:val="21"/>
          <w:highlight w:val="none"/>
        </w:rPr>
        <w:t>。</w:t>
      </w:r>
    </w:p>
    <w:p w14:paraId="6744DB3A">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5.3 隐蔽工程检查</w:t>
      </w:r>
    </w:p>
    <w:p w14:paraId="254E7BB8">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5.3.2承包人提前通知监理人隐蔽工程检查的期限的约定： </w:t>
      </w:r>
      <w:r>
        <w:rPr>
          <w:rFonts w:hint="eastAsia" w:ascii="仿宋" w:hAnsi="仿宋" w:eastAsia="仿宋" w:cs="仿宋"/>
          <w:b/>
          <w:color w:val="auto"/>
          <w:szCs w:val="21"/>
          <w:highlight w:val="none"/>
          <w:u w:val="single"/>
        </w:rPr>
        <w:t>按通用合同条款执行</w:t>
      </w:r>
      <w:r>
        <w:rPr>
          <w:rFonts w:hint="eastAsia" w:ascii="仿宋" w:hAnsi="仿宋" w:eastAsia="仿宋" w:cs="仿宋"/>
          <w:color w:val="auto"/>
          <w:szCs w:val="21"/>
          <w:highlight w:val="none"/>
        </w:rPr>
        <w:t>。</w:t>
      </w:r>
    </w:p>
    <w:p w14:paraId="15D9BD53">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监理人不能按时进行检查时，应提前</w:t>
      </w:r>
      <w:r>
        <w:rPr>
          <w:rFonts w:hint="eastAsia" w:ascii="仿宋" w:hAnsi="仿宋" w:eastAsia="仿宋" w:cs="仿宋"/>
          <w:b/>
          <w:color w:val="auto"/>
          <w:szCs w:val="21"/>
          <w:highlight w:val="none"/>
          <w:u w:val="single"/>
        </w:rPr>
        <w:t>24</w:t>
      </w:r>
      <w:r>
        <w:rPr>
          <w:rFonts w:hint="eastAsia" w:ascii="仿宋" w:hAnsi="仿宋" w:eastAsia="仿宋" w:cs="仿宋"/>
          <w:color w:val="auto"/>
          <w:szCs w:val="21"/>
          <w:highlight w:val="none"/>
        </w:rPr>
        <w:t>小时提交书面延期要求。</w:t>
      </w:r>
    </w:p>
    <w:p w14:paraId="7405FCCE">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关于延期最长不得超过：</w:t>
      </w:r>
      <w:r>
        <w:rPr>
          <w:rFonts w:hint="eastAsia" w:ascii="仿宋" w:hAnsi="仿宋" w:eastAsia="仿宋" w:cs="仿宋"/>
          <w:b/>
          <w:color w:val="auto"/>
          <w:szCs w:val="21"/>
          <w:highlight w:val="none"/>
          <w:u w:val="single"/>
        </w:rPr>
        <w:t>48</w:t>
      </w:r>
      <w:r>
        <w:rPr>
          <w:rFonts w:hint="eastAsia" w:ascii="仿宋" w:hAnsi="仿宋" w:eastAsia="仿宋" w:cs="仿宋"/>
          <w:color w:val="auto"/>
          <w:szCs w:val="21"/>
          <w:highlight w:val="none"/>
        </w:rPr>
        <w:t>小时。</w:t>
      </w:r>
    </w:p>
    <w:p w14:paraId="116E0318">
      <w:pPr>
        <w:pStyle w:val="5"/>
        <w:spacing w:before="0" w:after="0" w:line="360" w:lineRule="auto"/>
        <w:rPr>
          <w:rFonts w:hint="eastAsia" w:ascii="仿宋" w:hAnsi="仿宋" w:eastAsia="仿宋" w:cs="仿宋"/>
          <w:b w:val="0"/>
          <w:color w:val="auto"/>
          <w:sz w:val="21"/>
          <w:szCs w:val="21"/>
          <w:highlight w:val="none"/>
        </w:rPr>
      </w:pPr>
      <w:bookmarkStart w:id="661" w:name="_Toc371946141"/>
      <w:r>
        <w:rPr>
          <w:rFonts w:hint="eastAsia" w:ascii="仿宋" w:hAnsi="仿宋" w:eastAsia="仿宋" w:cs="仿宋"/>
          <w:b w:val="0"/>
          <w:color w:val="auto"/>
          <w:sz w:val="21"/>
          <w:szCs w:val="21"/>
          <w:highlight w:val="none"/>
        </w:rPr>
        <w:t>6. 安全文明施工与环境保护</w:t>
      </w:r>
      <w:bookmarkEnd w:id="661"/>
    </w:p>
    <w:p w14:paraId="1C8D56DD">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6.1安全文明施工</w:t>
      </w:r>
    </w:p>
    <w:p w14:paraId="48946DC9">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6.1.1 项目安全生产的达标目标及相应事项的约定：</w:t>
      </w:r>
      <w:r>
        <w:rPr>
          <w:rFonts w:hint="eastAsia" w:ascii="仿宋" w:hAnsi="仿宋" w:eastAsia="仿宋" w:cs="仿宋"/>
          <w:b/>
          <w:color w:val="auto"/>
          <w:szCs w:val="21"/>
          <w:highlight w:val="none"/>
          <w:u w:val="single"/>
        </w:rPr>
        <w:t>合同当事人均应当遵守国家和工程所在地有关安全生产的要求，承包人安全文明施工管理还应达到工程所在地省、市、县有关行政主管部门关于安全文明施工的要求, 安全文明施工现场考核评价按川建造价发〔2019〕180号及相关补充文件的规定执行。施工期间有新规定的，从其规定</w:t>
      </w:r>
      <w:r>
        <w:rPr>
          <w:rFonts w:hint="eastAsia" w:ascii="仿宋" w:hAnsi="仿宋" w:eastAsia="仿宋" w:cs="仿宋"/>
          <w:color w:val="auto"/>
          <w:szCs w:val="21"/>
          <w:highlight w:val="none"/>
        </w:rPr>
        <w:t>。</w:t>
      </w:r>
    </w:p>
    <w:p w14:paraId="3A1F6872">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6.1.4 关于治安保卫的特别约定：</w:t>
      </w:r>
      <w:r>
        <w:rPr>
          <w:rFonts w:hint="eastAsia" w:ascii="仿宋" w:hAnsi="仿宋" w:eastAsia="仿宋" w:cs="仿宋"/>
          <w:b/>
          <w:color w:val="auto"/>
          <w:szCs w:val="21"/>
          <w:highlight w:val="none"/>
          <w:u w:val="single"/>
        </w:rPr>
        <w:t>承包人负责统一管理施工场地的治安保卫事项，履行合同工程的治安保卫职责，并承担相应费用</w:t>
      </w:r>
      <w:r>
        <w:rPr>
          <w:rFonts w:hint="eastAsia" w:ascii="仿宋" w:hAnsi="仿宋" w:eastAsia="仿宋" w:cs="仿宋"/>
          <w:color w:val="auto"/>
          <w:szCs w:val="21"/>
          <w:highlight w:val="none"/>
        </w:rPr>
        <w:t>。</w:t>
      </w:r>
    </w:p>
    <w:p w14:paraId="3A65F127">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关于编制施工场地治安管理计划的约定：</w:t>
      </w:r>
      <w:r>
        <w:rPr>
          <w:rFonts w:hint="eastAsia" w:ascii="仿宋" w:hAnsi="仿宋" w:eastAsia="仿宋" w:cs="仿宋"/>
          <w:b/>
          <w:color w:val="auto"/>
          <w:szCs w:val="21"/>
          <w:highlight w:val="none"/>
          <w:u w:val="single"/>
        </w:rPr>
        <w:t>由承包人编制，报发包人审定</w:t>
      </w:r>
      <w:r>
        <w:rPr>
          <w:rFonts w:hint="eastAsia" w:ascii="仿宋" w:hAnsi="仿宋" w:eastAsia="仿宋" w:cs="仿宋"/>
          <w:color w:val="auto"/>
          <w:szCs w:val="21"/>
          <w:highlight w:val="none"/>
        </w:rPr>
        <w:t>。</w:t>
      </w:r>
    </w:p>
    <w:p w14:paraId="6F8FB8EC">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6.1.5 文明施工</w:t>
      </w:r>
    </w:p>
    <w:p w14:paraId="076E9431">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合同当事人对文明施工的要求：</w:t>
      </w:r>
      <w:r>
        <w:rPr>
          <w:rFonts w:hint="eastAsia" w:ascii="仿宋" w:hAnsi="仿宋" w:eastAsia="仿宋" w:cs="仿宋"/>
          <w:b/>
          <w:color w:val="auto"/>
          <w:szCs w:val="21"/>
          <w:highlight w:val="none"/>
          <w:u w:val="single"/>
        </w:rPr>
        <w:t>按照专用合同条款第6.1.1项的约定执行</w:t>
      </w:r>
      <w:r>
        <w:rPr>
          <w:rFonts w:hint="eastAsia" w:ascii="仿宋" w:hAnsi="仿宋" w:eastAsia="仿宋" w:cs="仿宋"/>
          <w:color w:val="auto"/>
          <w:szCs w:val="21"/>
          <w:highlight w:val="none"/>
        </w:rPr>
        <w:t>。</w:t>
      </w:r>
    </w:p>
    <w:p w14:paraId="51F965A0">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6.1.6 关于安全文明施工费支付比例和支付期限的约定：</w:t>
      </w:r>
      <w:r>
        <w:rPr>
          <w:rFonts w:hint="eastAsia" w:ascii="仿宋" w:hAnsi="仿宋" w:eastAsia="仿宋" w:cs="仿宋"/>
          <w:b/>
          <w:color w:val="auto"/>
          <w:szCs w:val="21"/>
          <w:highlight w:val="none"/>
          <w:u w:val="single"/>
        </w:rPr>
        <w:t>安全文明施工费按照川建造价发〔2019〕180号及相关补充文件的规定计取（施工期间有最新相关规定的，从其规定）。该费用已包含在合同价款中，发包人不单独预付和支付。承包人不得以发包人未预付或单独支付安全文明施工费为由暂停施工或采取其他违约行为</w:t>
      </w:r>
      <w:r>
        <w:rPr>
          <w:rFonts w:hint="eastAsia" w:ascii="仿宋" w:hAnsi="仿宋" w:eastAsia="仿宋" w:cs="仿宋"/>
          <w:color w:val="auto"/>
          <w:szCs w:val="21"/>
          <w:highlight w:val="none"/>
        </w:rPr>
        <w:t>。</w:t>
      </w:r>
    </w:p>
    <w:bookmarkEnd w:id="654"/>
    <w:bookmarkEnd w:id="655"/>
    <w:bookmarkEnd w:id="656"/>
    <w:bookmarkEnd w:id="657"/>
    <w:bookmarkEnd w:id="658"/>
    <w:bookmarkEnd w:id="659"/>
    <w:bookmarkEnd w:id="660"/>
    <w:p w14:paraId="33F4E76E">
      <w:pPr>
        <w:pStyle w:val="5"/>
        <w:spacing w:before="0" w:after="0" w:line="360" w:lineRule="auto"/>
        <w:rPr>
          <w:rFonts w:hint="eastAsia" w:ascii="仿宋" w:hAnsi="仿宋" w:eastAsia="仿宋" w:cs="仿宋"/>
          <w:b w:val="0"/>
          <w:color w:val="auto"/>
          <w:sz w:val="21"/>
          <w:szCs w:val="21"/>
          <w:highlight w:val="none"/>
        </w:rPr>
      </w:pPr>
      <w:bookmarkStart w:id="662" w:name="_Toc371946142"/>
      <w:r>
        <w:rPr>
          <w:rFonts w:hint="eastAsia" w:ascii="仿宋" w:hAnsi="仿宋" w:eastAsia="仿宋" w:cs="仿宋"/>
          <w:b w:val="0"/>
          <w:color w:val="auto"/>
          <w:sz w:val="21"/>
          <w:szCs w:val="21"/>
          <w:highlight w:val="none"/>
        </w:rPr>
        <w:t>7. 工期和进度</w:t>
      </w:r>
      <w:bookmarkEnd w:id="662"/>
    </w:p>
    <w:p w14:paraId="6E0ADC89">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7.1 施工组织设计</w:t>
      </w:r>
    </w:p>
    <w:p w14:paraId="63FC7DDF">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7.1.1 合同当事人约定的施工组织设计应包括的其他内容：</w:t>
      </w:r>
      <w:r>
        <w:rPr>
          <w:rFonts w:hint="eastAsia" w:ascii="仿宋" w:hAnsi="仿宋" w:eastAsia="仿宋" w:cs="仿宋"/>
          <w:b/>
          <w:color w:val="auto"/>
          <w:szCs w:val="21"/>
          <w:highlight w:val="none"/>
          <w:u w:val="single"/>
        </w:rPr>
        <w:t>按监理人要求提供</w:t>
      </w:r>
      <w:r>
        <w:rPr>
          <w:rFonts w:hint="eastAsia" w:ascii="仿宋" w:hAnsi="仿宋" w:eastAsia="仿宋" w:cs="仿宋"/>
          <w:color w:val="auto"/>
          <w:szCs w:val="21"/>
          <w:highlight w:val="none"/>
        </w:rPr>
        <w:t>。</w:t>
      </w:r>
    </w:p>
    <w:p w14:paraId="5E16D871">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7.1.2 施工组织设计的提交和修改</w:t>
      </w:r>
    </w:p>
    <w:p w14:paraId="51BC6638">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承包人提交详细施工组织设计的期限的约定：</w:t>
      </w:r>
      <w:r>
        <w:rPr>
          <w:rFonts w:hint="eastAsia" w:ascii="仿宋" w:hAnsi="仿宋" w:eastAsia="仿宋" w:cs="仿宋"/>
          <w:b/>
          <w:color w:val="auto"/>
          <w:szCs w:val="21"/>
          <w:highlight w:val="none"/>
          <w:u w:val="single"/>
        </w:rPr>
        <w:t>开工日期前3天</w:t>
      </w:r>
      <w:r>
        <w:rPr>
          <w:rFonts w:hint="eastAsia" w:ascii="仿宋" w:hAnsi="仿宋" w:eastAsia="仿宋" w:cs="仿宋"/>
          <w:color w:val="auto"/>
          <w:szCs w:val="21"/>
          <w:highlight w:val="none"/>
        </w:rPr>
        <w:t>。</w:t>
      </w:r>
    </w:p>
    <w:p w14:paraId="12B77617">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发包人和监理人在收到详细的施工组织设计后确认或提出修改意见的期限：</w:t>
      </w:r>
      <w:r>
        <w:rPr>
          <w:rFonts w:hint="eastAsia" w:ascii="仿宋" w:hAnsi="仿宋" w:eastAsia="仿宋" w:cs="仿宋"/>
          <w:b/>
          <w:color w:val="auto"/>
          <w:szCs w:val="21"/>
          <w:highlight w:val="none"/>
          <w:u w:val="single"/>
        </w:rPr>
        <w:t>收到书面文件后3天内确认或提出修改意见</w:t>
      </w:r>
      <w:r>
        <w:rPr>
          <w:rFonts w:hint="eastAsia" w:ascii="仿宋" w:hAnsi="仿宋" w:eastAsia="仿宋" w:cs="仿宋"/>
          <w:color w:val="auto"/>
          <w:szCs w:val="21"/>
          <w:highlight w:val="none"/>
        </w:rPr>
        <w:t>。</w:t>
      </w:r>
    </w:p>
    <w:p w14:paraId="1F6AD391">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w:t>
      </w:r>
      <w:bookmarkStart w:id="663" w:name="_Toc297123514"/>
      <w:bookmarkStart w:id="664" w:name="_Toc312677479"/>
      <w:bookmarkStart w:id="665" w:name="_Toc300934966"/>
      <w:bookmarkStart w:id="666" w:name="_Toc303539123"/>
      <w:bookmarkStart w:id="667" w:name="_Toc297216173"/>
      <w:bookmarkStart w:id="668" w:name="_Toc304295541"/>
      <w:bookmarkStart w:id="669" w:name="_Toc312678005"/>
      <w:r>
        <w:rPr>
          <w:rFonts w:hint="eastAsia" w:ascii="仿宋" w:hAnsi="仿宋" w:eastAsia="仿宋" w:cs="仿宋"/>
          <w:color w:val="auto"/>
          <w:szCs w:val="21"/>
          <w:highlight w:val="none"/>
        </w:rPr>
        <w:t>.2 施工进度计划</w:t>
      </w:r>
    </w:p>
    <w:p w14:paraId="08002104">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7.2.2 施工进度计划的修订</w:t>
      </w:r>
    </w:p>
    <w:p w14:paraId="7A8909E2">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发包人和监理人在收到修订的施工进度计划后确认或提出修改意见的期限：</w:t>
      </w:r>
      <w:r>
        <w:rPr>
          <w:rFonts w:hint="eastAsia" w:ascii="仿宋" w:hAnsi="仿宋" w:eastAsia="仿宋" w:cs="仿宋"/>
          <w:color w:val="auto"/>
          <w:szCs w:val="21"/>
          <w:highlight w:val="none"/>
          <w:u w:val="single"/>
        </w:rPr>
        <w:t xml:space="preserve"> </w:t>
      </w:r>
      <w:r>
        <w:rPr>
          <w:rFonts w:hint="eastAsia" w:ascii="仿宋" w:hAnsi="仿宋" w:eastAsia="仿宋" w:cs="仿宋"/>
          <w:b/>
          <w:color w:val="auto"/>
          <w:szCs w:val="21"/>
          <w:highlight w:val="none"/>
          <w:u w:val="single"/>
        </w:rPr>
        <w:t>按通用合同条款执行</w:t>
      </w:r>
      <w:r>
        <w:rPr>
          <w:rFonts w:hint="eastAsia" w:ascii="仿宋" w:hAnsi="仿宋" w:eastAsia="仿宋" w:cs="仿宋"/>
          <w:color w:val="auto"/>
          <w:szCs w:val="21"/>
          <w:highlight w:val="none"/>
        </w:rPr>
        <w:t>。</w:t>
      </w:r>
    </w:p>
    <w:p w14:paraId="31B07CF4">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7.3 开工</w:t>
      </w:r>
    </w:p>
    <w:p w14:paraId="304DB08D">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7.3.1 开工准备</w:t>
      </w:r>
    </w:p>
    <w:p w14:paraId="419D569C">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关于承包人提交工程开工报审表的期限：</w:t>
      </w:r>
      <w:r>
        <w:rPr>
          <w:rFonts w:hint="eastAsia" w:ascii="仿宋" w:hAnsi="仿宋" w:eastAsia="仿宋" w:cs="仿宋"/>
          <w:b/>
          <w:color w:val="auto"/>
          <w:szCs w:val="21"/>
          <w:highlight w:val="none"/>
          <w:u w:val="single"/>
        </w:rPr>
        <w:t>按通用合同条款执行</w:t>
      </w:r>
      <w:r>
        <w:rPr>
          <w:rFonts w:hint="eastAsia" w:ascii="仿宋" w:hAnsi="仿宋" w:eastAsia="仿宋" w:cs="仿宋"/>
          <w:color w:val="auto"/>
          <w:szCs w:val="21"/>
          <w:highlight w:val="none"/>
        </w:rPr>
        <w:t>。</w:t>
      </w:r>
    </w:p>
    <w:p w14:paraId="0ED19FFA">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关于发包人应完成的其他开工准备工作及期限：</w:t>
      </w:r>
      <w:r>
        <w:rPr>
          <w:rFonts w:hint="eastAsia" w:ascii="仿宋" w:hAnsi="仿宋" w:eastAsia="仿宋" w:cs="仿宋"/>
          <w:b/>
          <w:color w:val="auto"/>
          <w:szCs w:val="21"/>
          <w:highlight w:val="none"/>
          <w:u w:val="single"/>
        </w:rPr>
        <w:t>按专用合同条款约定办理应当由发包人办理的开工手续和审批手续，并在开工前移交施工场地，使场地具备合同约定的开工条件</w:t>
      </w:r>
      <w:r>
        <w:rPr>
          <w:rFonts w:hint="eastAsia" w:ascii="仿宋" w:hAnsi="仿宋" w:eastAsia="仿宋" w:cs="仿宋"/>
          <w:color w:val="auto"/>
          <w:szCs w:val="21"/>
          <w:highlight w:val="none"/>
        </w:rPr>
        <w:t>。</w:t>
      </w:r>
    </w:p>
    <w:p w14:paraId="7CA8C97A">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关于承包人应完成的其他开工准备工作及期限：</w:t>
      </w:r>
      <w:r>
        <w:rPr>
          <w:rFonts w:hint="eastAsia" w:ascii="仿宋" w:hAnsi="仿宋" w:eastAsia="仿宋" w:cs="仿宋"/>
          <w:b/>
          <w:color w:val="auto"/>
          <w:szCs w:val="21"/>
          <w:highlight w:val="none"/>
          <w:u w:val="single"/>
        </w:rPr>
        <w:t>办理专用合同条款约定应当由承包人办理的施工手续和审批手续，并在人员、资金、材料和设备、基础设施上具备开工条件</w:t>
      </w:r>
      <w:r>
        <w:rPr>
          <w:rFonts w:hint="eastAsia" w:ascii="仿宋" w:hAnsi="仿宋" w:eastAsia="仿宋" w:cs="仿宋"/>
          <w:color w:val="auto"/>
          <w:szCs w:val="21"/>
          <w:highlight w:val="none"/>
        </w:rPr>
        <w:t>。</w:t>
      </w:r>
    </w:p>
    <w:p w14:paraId="168B56C7">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7.3.2开工通知</w:t>
      </w:r>
    </w:p>
    <w:p w14:paraId="41BA6A42">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因发包人原因造成监理人未能在计划开工日期之日起</w:t>
      </w:r>
      <w:r>
        <w:rPr>
          <w:rFonts w:hint="eastAsia" w:ascii="仿宋" w:hAnsi="仿宋" w:eastAsia="仿宋" w:cs="仿宋"/>
          <w:b/>
          <w:color w:val="auto"/>
          <w:szCs w:val="21"/>
          <w:highlight w:val="none"/>
          <w:u w:val="single"/>
        </w:rPr>
        <w:t>180</w:t>
      </w:r>
      <w:r>
        <w:rPr>
          <w:rFonts w:hint="eastAsia" w:ascii="仿宋" w:hAnsi="仿宋" w:eastAsia="仿宋" w:cs="仿宋"/>
          <w:color w:val="auto"/>
          <w:szCs w:val="21"/>
          <w:highlight w:val="none"/>
        </w:rPr>
        <w:t>天内发出开工通知的，承包人有权提出价格调整要求，或者解除合同。</w:t>
      </w:r>
    </w:p>
    <w:bookmarkEnd w:id="663"/>
    <w:bookmarkEnd w:id="664"/>
    <w:bookmarkEnd w:id="665"/>
    <w:bookmarkEnd w:id="666"/>
    <w:bookmarkEnd w:id="667"/>
    <w:bookmarkEnd w:id="668"/>
    <w:bookmarkEnd w:id="669"/>
    <w:p w14:paraId="7BA67568">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7.4 测量放线</w:t>
      </w:r>
    </w:p>
    <w:p w14:paraId="06A42616">
      <w:pPr>
        <w:spacing w:line="360" w:lineRule="auto"/>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7.4.1发包人通过监理人向承包人提供测量基准点、基准线和水准点及其书面资料的期限：</w:t>
      </w:r>
      <w:r>
        <w:rPr>
          <w:rFonts w:hint="eastAsia" w:ascii="仿宋" w:hAnsi="仿宋" w:eastAsia="仿宋" w:cs="仿宋"/>
          <w:b/>
          <w:color w:val="auto"/>
          <w:szCs w:val="21"/>
          <w:highlight w:val="none"/>
          <w:u w:val="single"/>
        </w:rPr>
        <w:t>开工日期前3天</w:t>
      </w:r>
      <w:r>
        <w:rPr>
          <w:rFonts w:hint="eastAsia" w:ascii="仿宋" w:hAnsi="仿宋" w:eastAsia="仿宋" w:cs="仿宋"/>
          <w:color w:val="auto"/>
          <w:szCs w:val="21"/>
          <w:highlight w:val="none"/>
        </w:rPr>
        <w:t>。</w:t>
      </w:r>
    </w:p>
    <w:p w14:paraId="15325DFD">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w:t>
      </w:r>
      <w:bookmarkStart w:id="670" w:name="_Toc300934968"/>
      <w:bookmarkStart w:id="671" w:name="_Toc303539125"/>
      <w:bookmarkStart w:id="672" w:name="_Toc312677484"/>
      <w:bookmarkStart w:id="673" w:name="_Toc297216175"/>
      <w:bookmarkStart w:id="674" w:name="_Toc297123516"/>
      <w:bookmarkStart w:id="675" w:name="_Toc312678010"/>
      <w:bookmarkStart w:id="676" w:name="_Toc304295546"/>
      <w:r>
        <w:rPr>
          <w:rFonts w:hint="eastAsia" w:ascii="仿宋" w:hAnsi="仿宋" w:eastAsia="仿宋" w:cs="仿宋"/>
          <w:color w:val="auto"/>
          <w:szCs w:val="21"/>
          <w:highlight w:val="none"/>
        </w:rPr>
        <w:t>.5 工期延误</w:t>
      </w:r>
    </w:p>
    <w:bookmarkEnd w:id="670"/>
    <w:bookmarkEnd w:id="671"/>
    <w:bookmarkEnd w:id="672"/>
    <w:bookmarkEnd w:id="673"/>
    <w:bookmarkEnd w:id="674"/>
    <w:bookmarkEnd w:id="675"/>
    <w:bookmarkEnd w:id="676"/>
    <w:p w14:paraId="3C7B4765">
      <w:pPr>
        <w:spacing w:line="360" w:lineRule="auto"/>
        <w:ind w:firstLine="420" w:firstLineChars="200"/>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7.5.1 因发包人原因导致工期延误</w:t>
      </w:r>
    </w:p>
    <w:p w14:paraId="403635EE">
      <w:pPr>
        <w:spacing w:line="360" w:lineRule="auto"/>
        <w:ind w:firstLine="422" w:firstLineChars="200"/>
        <w:rPr>
          <w:rFonts w:hint="eastAsia" w:ascii="仿宋" w:hAnsi="仿宋" w:eastAsia="仿宋" w:cs="仿宋"/>
          <w:b/>
          <w:color w:val="auto"/>
          <w:szCs w:val="21"/>
          <w:highlight w:val="none"/>
          <w:u w:val="single"/>
        </w:rPr>
      </w:pPr>
      <w:r>
        <w:rPr>
          <w:rFonts w:hint="eastAsia" w:ascii="仿宋" w:hAnsi="仿宋" w:eastAsia="仿宋" w:cs="仿宋"/>
          <w:b/>
          <w:color w:val="auto"/>
          <w:szCs w:val="21"/>
          <w:highlight w:val="none"/>
          <w:u w:val="single"/>
        </w:rPr>
        <w:t>在合同履行过程中，因下列情况导致工期延误的，承包人可提出书面要求延长工期，经监理人审核、报发包人批准后，工期顺延：</w:t>
      </w:r>
    </w:p>
    <w:p w14:paraId="4F126865">
      <w:pPr>
        <w:spacing w:line="360" w:lineRule="auto"/>
        <w:ind w:firstLine="422" w:firstLineChars="200"/>
        <w:rPr>
          <w:rFonts w:hint="eastAsia" w:ascii="仿宋" w:hAnsi="仿宋" w:eastAsia="仿宋" w:cs="仿宋"/>
          <w:b/>
          <w:color w:val="auto"/>
          <w:szCs w:val="21"/>
          <w:highlight w:val="none"/>
          <w:u w:val="single"/>
        </w:rPr>
      </w:pPr>
      <w:r>
        <w:rPr>
          <w:rFonts w:hint="eastAsia" w:ascii="仿宋" w:hAnsi="仿宋" w:eastAsia="仿宋" w:cs="仿宋"/>
          <w:b/>
          <w:color w:val="auto"/>
          <w:szCs w:val="21"/>
          <w:highlight w:val="none"/>
          <w:u w:val="single"/>
        </w:rPr>
        <w:t>（1）发包人未能按合同约定提供图纸或所提供图纸不符合合同约定的；</w:t>
      </w:r>
    </w:p>
    <w:p w14:paraId="045BDCB3">
      <w:pPr>
        <w:spacing w:line="360" w:lineRule="auto"/>
        <w:ind w:firstLine="422" w:firstLineChars="200"/>
        <w:rPr>
          <w:rFonts w:hint="eastAsia" w:ascii="仿宋" w:hAnsi="仿宋" w:eastAsia="仿宋" w:cs="仿宋"/>
          <w:b/>
          <w:color w:val="auto"/>
          <w:szCs w:val="21"/>
          <w:highlight w:val="none"/>
          <w:u w:val="single"/>
        </w:rPr>
      </w:pPr>
      <w:r>
        <w:rPr>
          <w:rFonts w:hint="eastAsia" w:ascii="仿宋" w:hAnsi="仿宋" w:eastAsia="仿宋" w:cs="仿宋"/>
          <w:b/>
          <w:color w:val="auto"/>
          <w:szCs w:val="21"/>
          <w:highlight w:val="none"/>
          <w:u w:val="single"/>
        </w:rPr>
        <w:t>（2）发包人未能按合同约定提供施工现场、施工条件、基础资料的；</w:t>
      </w:r>
    </w:p>
    <w:p w14:paraId="6C24B93D">
      <w:pPr>
        <w:spacing w:line="360" w:lineRule="auto"/>
        <w:ind w:firstLine="422" w:firstLineChars="200"/>
        <w:rPr>
          <w:rFonts w:hint="eastAsia" w:ascii="仿宋" w:hAnsi="仿宋" w:eastAsia="仿宋" w:cs="仿宋"/>
          <w:b/>
          <w:color w:val="auto"/>
          <w:szCs w:val="21"/>
          <w:highlight w:val="none"/>
          <w:u w:val="single"/>
        </w:rPr>
      </w:pPr>
      <w:r>
        <w:rPr>
          <w:rFonts w:hint="eastAsia" w:ascii="仿宋" w:hAnsi="仿宋" w:eastAsia="仿宋" w:cs="仿宋"/>
          <w:b/>
          <w:color w:val="auto"/>
          <w:szCs w:val="21"/>
          <w:highlight w:val="none"/>
          <w:u w:val="single"/>
        </w:rPr>
        <w:t>（3）发包人提供的测量基准点、基准线和水准点及其书面资料存在足以影响正常施工的重大错误或疏漏的；</w:t>
      </w:r>
    </w:p>
    <w:p w14:paraId="5CD0F74F">
      <w:pPr>
        <w:spacing w:line="360" w:lineRule="auto"/>
        <w:ind w:firstLine="422" w:firstLineChars="200"/>
        <w:rPr>
          <w:rFonts w:hint="eastAsia" w:ascii="仿宋" w:hAnsi="仿宋" w:eastAsia="仿宋" w:cs="仿宋"/>
          <w:b/>
          <w:color w:val="auto"/>
          <w:szCs w:val="21"/>
          <w:highlight w:val="none"/>
          <w:u w:val="single"/>
        </w:rPr>
      </w:pPr>
      <w:r>
        <w:rPr>
          <w:rFonts w:hint="eastAsia" w:ascii="仿宋" w:hAnsi="仿宋" w:eastAsia="仿宋" w:cs="仿宋"/>
          <w:b/>
          <w:color w:val="auto"/>
          <w:szCs w:val="21"/>
          <w:highlight w:val="none"/>
          <w:u w:val="single"/>
        </w:rPr>
        <w:t>（4）发包人、监理人未按合同约定期限发出指示、批准等文件的；</w:t>
      </w:r>
    </w:p>
    <w:p w14:paraId="30F32A10">
      <w:pPr>
        <w:spacing w:line="360" w:lineRule="auto"/>
        <w:ind w:firstLine="422" w:firstLineChars="200"/>
        <w:rPr>
          <w:rFonts w:hint="eastAsia" w:ascii="仿宋" w:hAnsi="仿宋" w:eastAsia="仿宋" w:cs="仿宋"/>
          <w:b/>
          <w:color w:val="auto"/>
          <w:szCs w:val="21"/>
          <w:highlight w:val="none"/>
          <w:u w:val="single"/>
        </w:rPr>
      </w:pPr>
      <w:r>
        <w:rPr>
          <w:rFonts w:hint="eastAsia" w:ascii="仿宋" w:hAnsi="仿宋" w:eastAsia="仿宋" w:cs="仿宋"/>
          <w:b/>
          <w:color w:val="auto"/>
          <w:szCs w:val="21"/>
          <w:highlight w:val="none"/>
          <w:u w:val="single"/>
        </w:rPr>
        <w:t>（5）因合同内容变更导致工程量增加的；</w:t>
      </w:r>
    </w:p>
    <w:p w14:paraId="036A73E4">
      <w:pPr>
        <w:spacing w:line="360" w:lineRule="auto"/>
        <w:ind w:firstLine="422" w:firstLineChars="200"/>
        <w:rPr>
          <w:rFonts w:hint="eastAsia" w:ascii="仿宋" w:hAnsi="仿宋" w:eastAsia="仿宋" w:cs="仿宋"/>
          <w:b/>
          <w:color w:val="auto"/>
          <w:szCs w:val="21"/>
          <w:highlight w:val="none"/>
          <w:u w:val="single"/>
        </w:rPr>
      </w:pPr>
      <w:r>
        <w:rPr>
          <w:rFonts w:hint="eastAsia" w:ascii="仿宋" w:hAnsi="仿宋" w:eastAsia="仿宋" w:cs="仿宋"/>
          <w:b/>
          <w:color w:val="auto"/>
          <w:szCs w:val="21"/>
          <w:highlight w:val="none"/>
          <w:u w:val="single"/>
        </w:rPr>
        <w:t>（6）因发包人原因导致的暂停施工；</w:t>
      </w:r>
    </w:p>
    <w:p w14:paraId="3DCE9C1A">
      <w:pPr>
        <w:spacing w:line="360" w:lineRule="auto"/>
        <w:ind w:firstLine="422" w:firstLineChars="200"/>
        <w:rPr>
          <w:rFonts w:hint="eastAsia" w:ascii="仿宋" w:hAnsi="仿宋" w:eastAsia="仿宋" w:cs="仿宋"/>
          <w:b/>
          <w:color w:val="auto"/>
          <w:szCs w:val="21"/>
          <w:highlight w:val="none"/>
          <w:u w:val="single"/>
        </w:rPr>
      </w:pPr>
      <w:r>
        <w:rPr>
          <w:rFonts w:hint="eastAsia" w:ascii="仿宋" w:hAnsi="仿宋" w:eastAsia="仿宋" w:cs="仿宋"/>
          <w:b/>
          <w:color w:val="auto"/>
          <w:szCs w:val="21"/>
          <w:highlight w:val="none"/>
          <w:u w:val="single"/>
        </w:rPr>
        <w:t>（7）因不可抗力导致的工期延误；</w:t>
      </w:r>
    </w:p>
    <w:p w14:paraId="15628B2D">
      <w:pPr>
        <w:spacing w:line="360" w:lineRule="auto"/>
        <w:ind w:firstLine="422" w:firstLineChars="200"/>
        <w:rPr>
          <w:rFonts w:hint="eastAsia" w:ascii="仿宋" w:hAnsi="仿宋" w:eastAsia="仿宋" w:cs="仿宋"/>
          <w:b/>
          <w:color w:val="auto"/>
          <w:szCs w:val="21"/>
          <w:highlight w:val="none"/>
          <w:u w:val="single"/>
        </w:rPr>
      </w:pPr>
      <w:r>
        <w:rPr>
          <w:rFonts w:hint="eastAsia" w:ascii="仿宋" w:hAnsi="仿宋" w:eastAsia="仿宋" w:cs="仿宋"/>
          <w:b/>
          <w:color w:val="auto"/>
          <w:szCs w:val="21"/>
          <w:highlight w:val="none"/>
          <w:u w:val="single"/>
        </w:rPr>
        <w:t>（8）专用合同条款明确约定由发包人承担工期延误的其他情形。</w:t>
      </w:r>
    </w:p>
    <w:p w14:paraId="5C877EB6">
      <w:pPr>
        <w:spacing w:line="360" w:lineRule="auto"/>
        <w:ind w:firstLine="422" w:firstLineChars="200"/>
        <w:rPr>
          <w:rFonts w:hint="eastAsia" w:ascii="仿宋" w:hAnsi="仿宋" w:eastAsia="仿宋" w:cs="仿宋"/>
          <w:color w:val="auto"/>
          <w:szCs w:val="21"/>
          <w:highlight w:val="none"/>
          <w:u w:val="single"/>
        </w:rPr>
      </w:pPr>
      <w:r>
        <w:rPr>
          <w:rFonts w:hint="eastAsia" w:ascii="仿宋" w:hAnsi="仿宋" w:eastAsia="仿宋" w:cs="仿宋"/>
          <w:b/>
          <w:color w:val="auto"/>
          <w:szCs w:val="21"/>
          <w:highlight w:val="none"/>
          <w:u w:val="single"/>
        </w:rPr>
        <w:t>承包人不得以发包人未能按合同约定支付工程进度款为由暂停施工或拖延工期，否则，属于承包人工期违约，由此延误的工期和（或）增加的费用由承包人自行承担</w:t>
      </w:r>
      <w:r>
        <w:rPr>
          <w:rFonts w:hint="eastAsia" w:ascii="仿宋" w:hAnsi="仿宋" w:eastAsia="仿宋" w:cs="仿宋"/>
          <w:color w:val="auto"/>
          <w:szCs w:val="21"/>
          <w:highlight w:val="none"/>
          <w:u w:val="single"/>
        </w:rPr>
        <w:t>。</w:t>
      </w:r>
    </w:p>
    <w:p w14:paraId="1FA4971A">
      <w:pPr>
        <w:spacing w:line="360" w:lineRule="auto"/>
        <w:ind w:firstLine="422" w:firstLineChars="200"/>
        <w:rPr>
          <w:rFonts w:hint="eastAsia" w:ascii="仿宋" w:hAnsi="仿宋" w:eastAsia="仿宋" w:cs="仿宋"/>
          <w:b/>
          <w:color w:val="auto"/>
          <w:szCs w:val="21"/>
          <w:highlight w:val="none"/>
          <w:u w:val="single"/>
        </w:rPr>
      </w:pPr>
      <w:r>
        <w:rPr>
          <w:rFonts w:hint="eastAsia" w:ascii="仿宋" w:hAnsi="仿宋" w:eastAsia="仿宋" w:cs="仿宋"/>
          <w:b/>
          <w:color w:val="auto"/>
          <w:szCs w:val="21"/>
          <w:highlight w:val="none"/>
          <w:u w:val="single"/>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r>
        <w:rPr>
          <w:rFonts w:hint="eastAsia" w:ascii="仿宋" w:hAnsi="仿宋" w:eastAsia="仿宋" w:cs="仿宋"/>
          <w:color w:val="auto"/>
          <w:szCs w:val="21"/>
          <w:highlight w:val="none"/>
          <w:u w:val="single"/>
        </w:rPr>
        <w:t>。</w:t>
      </w:r>
    </w:p>
    <w:p w14:paraId="6DF3025F">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w:t>
      </w:r>
      <w:bookmarkStart w:id="677" w:name="_Toc312677486"/>
      <w:bookmarkStart w:id="678" w:name="_Toc312678012"/>
      <w:bookmarkStart w:id="679" w:name="_Toc318581169"/>
      <w:bookmarkStart w:id="680" w:name="_Toc300934970"/>
      <w:bookmarkStart w:id="681" w:name="_Toc304295548"/>
      <w:bookmarkStart w:id="682" w:name="_Toc297216177"/>
      <w:bookmarkStart w:id="683" w:name="_Toc297123518"/>
      <w:bookmarkStart w:id="684" w:name="_Toc303539127"/>
      <w:r>
        <w:rPr>
          <w:rFonts w:hint="eastAsia" w:ascii="仿宋" w:hAnsi="仿宋" w:eastAsia="仿宋" w:cs="仿宋"/>
          <w:color w:val="auto"/>
          <w:szCs w:val="21"/>
          <w:highlight w:val="none"/>
        </w:rPr>
        <w:t>.5.2 因承包人原因导致工期延误</w:t>
      </w:r>
    </w:p>
    <w:bookmarkEnd w:id="677"/>
    <w:bookmarkEnd w:id="678"/>
    <w:bookmarkEnd w:id="679"/>
    <w:p w14:paraId="1C8655D6">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因</w:t>
      </w:r>
      <w:bookmarkStart w:id="685" w:name="_Toc312678013"/>
      <w:bookmarkStart w:id="686" w:name="_Toc312677487"/>
      <w:bookmarkStart w:id="687" w:name="_Toc318581170"/>
      <w:r>
        <w:rPr>
          <w:rFonts w:hint="eastAsia" w:ascii="仿宋" w:hAnsi="仿宋" w:eastAsia="仿宋" w:cs="仿宋"/>
          <w:color w:val="auto"/>
          <w:szCs w:val="21"/>
          <w:highlight w:val="none"/>
        </w:rPr>
        <w:t>承包人原因造成工期延误，逾期竣工违约金的计算方法为：</w:t>
      </w:r>
      <w:r>
        <w:rPr>
          <w:rFonts w:hint="eastAsia" w:ascii="仿宋" w:hAnsi="仿宋" w:eastAsia="仿宋" w:cs="仿宋"/>
          <w:b/>
          <w:color w:val="auto"/>
          <w:szCs w:val="21"/>
          <w:highlight w:val="none"/>
          <w:u w:val="single"/>
        </w:rPr>
        <w:t>因承包人原因造成工期延误的，每逾期竣工一天按照签约合同价2‰的金额向发包人支付逾期竣工违约金。</w:t>
      </w:r>
      <w:bookmarkEnd w:id="680"/>
      <w:bookmarkEnd w:id="681"/>
      <w:bookmarkEnd w:id="682"/>
      <w:bookmarkEnd w:id="683"/>
      <w:bookmarkEnd w:id="684"/>
      <w:bookmarkEnd w:id="685"/>
      <w:bookmarkEnd w:id="686"/>
      <w:r>
        <w:rPr>
          <w:rFonts w:hint="eastAsia" w:ascii="仿宋" w:hAnsi="仿宋" w:eastAsia="仿宋" w:cs="仿宋"/>
          <w:b/>
          <w:color w:val="auto"/>
          <w:szCs w:val="21"/>
          <w:highlight w:val="none"/>
          <w:u w:val="single"/>
        </w:rPr>
        <w:t>因承包人实际进度比合同进度计划严重滞后，承包人预期竣工工期延误天数占合同工期20%以上的，发包人有权提前与承包人解除合同，</w:t>
      </w:r>
      <w:bookmarkEnd w:id="687"/>
      <w:r>
        <w:rPr>
          <w:rFonts w:hint="eastAsia" w:ascii="仿宋" w:hAnsi="仿宋" w:eastAsia="仿宋" w:cs="仿宋"/>
          <w:b/>
          <w:color w:val="auto"/>
          <w:szCs w:val="21"/>
          <w:highlight w:val="none"/>
          <w:u w:val="single"/>
        </w:rPr>
        <w:t>并由承包人按照专用合同条款第16.2.3项的约定承担违约责任</w:t>
      </w:r>
      <w:r>
        <w:rPr>
          <w:rFonts w:hint="eastAsia" w:ascii="仿宋" w:hAnsi="仿宋" w:eastAsia="仿宋" w:cs="仿宋"/>
          <w:color w:val="auto"/>
          <w:szCs w:val="21"/>
          <w:highlight w:val="none"/>
        </w:rPr>
        <w:t>。</w:t>
      </w:r>
    </w:p>
    <w:p w14:paraId="33A874C2">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因承包人原因造成工期延误，逾</w:t>
      </w:r>
      <w:bookmarkStart w:id="688" w:name="_Toc312678014"/>
      <w:bookmarkStart w:id="689" w:name="_Toc318581171"/>
      <w:r>
        <w:rPr>
          <w:rFonts w:hint="eastAsia" w:ascii="仿宋" w:hAnsi="仿宋" w:eastAsia="仿宋" w:cs="仿宋"/>
          <w:color w:val="auto"/>
          <w:szCs w:val="21"/>
          <w:highlight w:val="none"/>
        </w:rPr>
        <w:t>期竣工违约金的上限：</w:t>
      </w:r>
      <w:r>
        <w:rPr>
          <w:rFonts w:hint="eastAsia" w:ascii="仿宋" w:hAnsi="仿宋" w:eastAsia="仿宋" w:cs="仿宋"/>
          <w:b/>
          <w:color w:val="auto"/>
          <w:szCs w:val="21"/>
          <w:highlight w:val="none"/>
          <w:u w:val="single"/>
        </w:rPr>
        <w:t>签约合同价10%的金额</w:t>
      </w:r>
      <w:r>
        <w:rPr>
          <w:rFonts w:hint="eastAsia" w:ascii="仿宋" w:hAnsi="仿宋" w:eastAsia="仿宋" w:cs="仿宋"/>
          <w:color w:val="auto"/>
          <w:szCs w:val="21"/>
          <w:highlight w:val="none"/>
        </w:rPr>
        <w:t>。</w:t>
      </w:r>
    </w:p>
    <w:p w14:paraId="305691BB">
      <w:pPr>
        <w:spacing w:line="360" w:lineRule="auto"/>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u w:val="single"/>
        </w:rPr>
        <w:t>承包人应充分考虑施工期间因降雨、停水、停电等因素对工程进度可能造成的影响，承包人应采取有效措施降低不利因素对施工的影响而确保工期。因降雨、停水、停电造成的工期延误和（或）增加的费用由承包人自行承担</w:t>
      </w:r>
      <w:r>
        <w:rPr>
          <w:rFonts w:hint="eastAsia" w:ascii="仿宋" w:hAnsi="仿宋" w:eastAsia="仿宋" w:cs="仿宋"/>
          <w:color w:val="auto"/>
          <w:szCs w:val="21"/>
          <w:highlight w:val="none"/>
        </w:rPr>
        <w:t>。</w:t>
      </w:r>
    </w:p>
    <w:bookmarkEnd w:id="688"/>
    <w:bookmarkEnd w:id="689"/>
    <w:p w14:paraId="66DAA185">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w:t>
      </w:r>
      <w:bookmarkStart w:id="690" w:name="_Toc297123519"/>
      <w:bookmarkStart w:id="691" w:name="_Toc300934971"/>
      <w:bookmarkStart w:id="692" w:name="_Toc312678015"/>
      <w:bookmarkStart w:id="693" w:name="_Toc303539128"/>
      <w:bookmarkStart w:id="694" w:name="_Toc297216178"/>
      <w:bookmarkStart w:id="695" w:name="_Toc304295549"/>
      <w:r>
        <w:rPr>
          <w:rFonts w:hint="eastAsia" w:ascii="仿宋" w:hAnsi="仿宋" w:eastAsia="仿宋" w:cs="仿宋"/>
          <w:color w:val="auto"/>
          <w:szCs w:val="21"/>
          <w:highlight w:val="none"/>
        </w:rPr>
        <w:t>.6 不</w:t>
      </w:r>
      <w:bookmarkEnd w:id="690"/>
      <w:bookmarkEnd w:id="691"/>
      <w:bookmarkEnd w:id="692"/>
      <w:bookmarkEnd w:id="693"/>
      <w:bookmarkEnd w:id="694"/>
      <w:bookmarkEnd w:id="695"/>
      <w:r>
        <w:rPr>
          <w:rFonts w:hint="eastAsia" w:ascii="仿宋" w:hAnsi="仿宋" w:eastAsia="仿宋" w:cs="仿宋"/>
          <w:color w:val="auto"/>
          <w:szCs w:val="21"/>
          <w:highlight w:val="none"/>
        </w:rPr>
        <w:t>利物质条件</w:t>
      </w:r>
    </w:p>
    <w:p w14:paraId="4E831C7D">
      <w:pPr>
        <w:spacing w:line="360" w:lineRule="auto"/>
        <w:ind w:firstLine="420" w:firstLineChars="200"/>
        <w:rPr>
          <w:rFonts w:hint="eastAsia" w:ascii="仿宋" w:hAnsi="仿宋" w:eastAsia="仿宋" w:cs="仿宋"/>
          <w:color w:val="auto"/>
          <w:szCs w:val="21"/>
          <w:highlight w:val="none"/>
        </w:rPr>
      </w:pPr>
      <w:bookmarkStart w:id="696" w:name="_Toc297216179"/>
      <w:bookmarkStart w:id="697" w:name="_Toc304295550"/>
      <w:bookmarkStart w:id="698" w:name="_Toc297123520"/>
      <w:bookmarkStart w:id="699" w:name="_Toc312678016"/>
      <w:bookmarkStart w:id="700" w:name="_Toc300934972"/>
      <w:bookmarkStart w:id="701" w:name="_Toc318581172"/>
      <w:bookmarkStart w:id="702" w:name="_Toc303539129"/>
      <w:r>
        <w:rPr>
          <w:rFonts w:hint="eastAsia" w:ascii="仿宋" w:hAnsi="仿宋" w:eastAsia="仿宋" w:cs="仿宋"/>
          <w:color w:val="auto"/>
          <w:szCs w:val="21"/>
          <w:highlight w:val="none"/>
        </w:rPr>
        <w:t>不利物质条件的其他情形和有关约定：</w:t>
      </w:r>
      <w:r>
        <w:rPr>
          <w:rFonts w:hint="eastAsia" w:ascii="仿宋" w:hAnsi="仿宋" w:eastAsia="仿宋" w:cs="仿宋"/>
          <w:b/>
          <w:color w:val="auto"/>
          <w:szCs w:val="21"/>
          <w:highlight w:val="none"/>
          <w:u w:val="single"/>
        </w:rPr>
        <w:t>招标文件和工程量清单有约定的，从其约定</w:t>
      </w:r>
      <w:r>
        <w:rPr>
          <w:rFonts w:hint="eastAsia" w:ascii="仿宋" w:hAnsi="仿宋" w:eastAsia="仿宋" w:cs="仿宋"/>
          <w:color w:val="auto"/>
          <w:szCs w:val="21"/>
          <w:highlight w:val="none"/>
        </w:rPr>
        <w:t>。</w:t>
      </w:r>
    </w:p>
    <w:bookmarkEnd w:id="696"/>
    <w:bookmarkEnd w:id="697"/>
    <w:bookmarkEnd w:id="698"/>
    <w:bookmarkEnd w:id="699"/>
    <w:bookmarkEnd w:id="700"/>
    <w:bookmarkEnd w:id="701"/>
    <w:bookmarkEnd w:id="702"/>
    <w:p w14:paraId="7A3C2EA1">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w:t>
      </w:r>
      <w:bookmarkStart w:id="703" w:name="_Toc312678017"/>
      <w:bookmarkStart w:id="704" w:name="_Toc304295551"/>
      <w:bookmarkStart w:id="705" w:name="_Toc300934973"/>
      <w:bookmarkStart w:id="706" w:name="_Toc297216180"/>
      <w:bookmarkStart w:id="707" w:name="_Toc297123521"/>
      <w:bookmarkStart w:id="708" w:name="_Toc303539130"/>
      <w:r>
        <w:rPr>
          <w:rFonts w:hint="eastAsia" w:ascii="仿宋" w:hAnsi="仿宋" w:eastAsia="仿宋" w:cs="仿宋"/>
          <w:color w:val="auto"/>
          <w:szCs w:val="21"/>
          <w:highlight w:val="none"/>
        </w:rPr>
        <w:t>.7异常恶劣的气候条件</w:t>
      </w:r>
    </w:p>
    <w:bookmarkEnd w:id="703"/>
    <w:bookmarkEnd w:id="704"/>
    <w:bookmarkEnd w:id="705"/>
    <w:bookmarkEnd w:id="706"/>
    <w:bookmarkEnd w:id="707"/>
    <w:bookmarkEnd w:id="708"/>
    <w:p w14:paraId="2F55CCA7">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发包人和承包人同意以下情形视为异常恶劣的气候条件：</w:t>
      </w:r>
    </w:p>
    <w:p w14:paraId="1EF2BC33">
      <w:pPr>
        <w:spacing w:line="360" w:lineRule="auto"/>
        <w:ind w:firstLine="422" w:firstLineChars="200"/>
        <w:rPr>
          <w:rFonts w:hint="eastAsia" w:ascii="仿宋" w:hAnsi="仿宋" w:eastAsia="仿宋" w:cs="仿宋"/>
          <w:b/>
          <w:color w:val="auto"/>
          <w:szCs w:val="21"/>
          <w:highlight w:val="none"/>
          <w:u w:val="single"/>
        </w:rPr>
      </w:pPr>
      <w:r>
        <w:rPr>
          <w:rFonts w:hint="eastAsia" w:ascii="仿宋" w:hAnsi="仿宋" w:eastAsia="仿宋" w:cs="仿宋"/>
          <w:b/>
          <w:color w:val="auto"/>
          <w:szCs w:val="21"/>
          <w:highlight w:val="none"/>
          <w:u w:val="single"/>
        </w:rPr>
        <w:t>（1）持续降雨（雪）24小时且降雨（雪）量为100mm以上；</w:t>
      </w:r>
    </w:p>
    <w:p w14:paraId="31189E81">
      <w:pPr>
        <w:spacing w:line="360" w:lineRule="auto"/>
        <w:ind w:firstLine="422" w:firstLineChars="200"/>
        <w:rPr>
          <w:rFonts w:hint="eastAsia" w:ascii="仿宋" w:hAnsi="仿宋" w:eastAsia="仿宋" w:cs="仿宋"/>
          <w:b/>
          <w:color w:val="auto"/>
          <w:szCs w:val="21"/>
          <w:highlight w:val="none"/>
          <w:u w:val="single"/>
        </w:rPr>
      </w:pPr>
      <w:r>
        <w:rPr>
          <w:rFonts w:hint="eastAsia" w:ascii="仿宋" w:hAnsi="仿宋" w:eastAsia="仿宋" w:cs="仿宋"/>
          <w:b/>
          <w:color w:val="auto"/>
          <w:szCs w:val="21"/>
          <w:highlight w:val="none"/>
          <w:u w:val="single"/>
        </w:rPr>
        <w:t>（2）40摄氏度以上并持续2天的高温天气；</w:t>
      </w:r>
    </w:p>
    <w:p w14:paraId="05A50D49">
      <w:pPr>
        <w:spacing w:line="360" w:lineRule="auto"/>
        <w:ind w:firstLine="422" w:firstLineChars="200"/>
        <w:rPr>
          <w:rFonts w:hint="eastAsia" w:ascii="仿宋" w:hAnsi="仿宋" w:eastAsia="仿宋" w:cs="仿宋"/>
          <w:b/>
          <w:color w:val="auto"/>
          <w:szCs w:val="21"/>
          <w:highlight w:val="none"/>
          <w:u w:val="single"/>
        </w:rPr>
      </w:pPr>
      <w:r>
        <w:rPr>
          <w:rFonts w:hint="eastAsia" w:ascii="仿宋" w:hAnsi="仿宋" w:eastAsia="仿宋" w:cs="仿宋"/>
          <w:b/>
          <w:color w:val="auto"/>
          <w:szCs w:val="21"/>
          <w:highlight w:val="none"/>
          <w:u w:val="single"/>
        </w:rPr>
        <w:t>（3）8级以上的大风。</w:t>
      </w:r>
    </w:p>
    <w:p w14:paraId="3003F8C1">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7.9 提前竣工的奖励</w:t>
      </w:r>
    </w:p>
    <w:p w14:paraId="42168DA7">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7.9.2提前竣工的奖励：</w:t>
      </w:r>
      <w:r>
        <w:rPr>
          <w:rFonts w:hint="eastAsia" w:ascii="仿宋" w:hAnsi="仿宋" w:eastAsia="仿宋" w:cs="仿宋"/>
          <w:b/>
          <w:color w:val="auto"/>
          <w:szCs w:val="21"/>
          <w:highlight w:val="none"/>
          <w:u w:val="single"/>
        </w:rPr>
        <w:t>无</w:t>
      </w:r>
      <w:r>
        <w:rPr>
          <w:rFonts w:hint="eastAsia" w:ascii="仿宋" w:hAnsi="仿宋" w:eastAsia="仿宋" w:cs="仿宋"/>
          <w:b/>
          <w:color w:val="auto"/>
          <w:szCs w:val="21"/>
          <w:highlight w:val="none"/>
        </w:rPr>
        <w:t xml:space="preserve"> </w:t>
      </w:r>
      <w:r>
        <w:rPr>
          <w:rFonts w:hint="eastAsia" w:ascii="仿宋" w:hAnsi="仿宋" w:eastAsia="仿宋" w:cs="仿宋"/>
          <w:color w:val="auto"/>
          <w:szCs w:val="21"/>
          <w:highlight w:val="none"/>
        </w:rPr>
        <w:t>。</w:t>
      </w:r>
    </w:p>
    <w:p w14:paraId="3C919EAC">
      <w:pPr>
        <w:pStyle w:val="5"/>
        <w:spacing w:before="0" w:after="0" w:line="360" w:lineRule="auto"/>
        <w:rPr>
          <w:rFonts w:hint="eastAsia" w:ascii="仿宋" w:hAnsi="仿宋" w:eastAsia="仿宋" w:cs="仿宋"/>
          <w:b w:val="0"/>
          <w:color w:val="auto"/>
          <w:sz w:val="21"/>
          <w:szCs w:val="21"/>
          <w:highlight w:val="none"/>
        </w:rPr>
      </w:pPr>
      <w:bookmarkStart w:id="709" w:name="_Toc371946143"/>
      <w:r>
        <w:rPr>
          <w:rFonts w:hint="eastAsia" w:ascii="仿宋" w:hAnsi="仿宋" w:eastAsia="仿宋" w:cs="仿宋"/>
          <w:b w:val="0"/>
          <w:color w:val="auto"/>
          <w:sz w:val="21"/>
          <w:szCs w:val="21"/>
          <w:highlight w:val="none"/>
        </w:rPr>
        <w:t>8. 材料与设备</w:t>
      </w:r>
      <w:bookmarkEnd w:id="709"/>
    </w:p>
    <w:bookmarkEnd w:id="644"/>
    <w:bookmarkEnd w:id="645"/>
    <w:bookmarkEnd w:id="646"/>
    <w:bookmarkEnd w:id="647"/>
    <w:bookmarkEnd w:id="648"/>
    <w:bookmarkEnd w:id="649"/>
    <w:bookmarkEnd w:id="650"/>
    <w:bookmarkEnd w:id="651"/>
    <w:bookmarkEnd w:id="652"/>
    <w:bookmarkEnd w:id="653"/>
    <w:p w14:paraId="58855A27">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bookmarkStart w:id="710" w:name="_Toc297120467"/>
      <w:bookmarkStart w:id="711" w:name="_Toc297048353"/>
      <w:bookmarkStart w:id="712" w:name="_Toc312677493"/>
      <w:bookmarkStart w:id="713" w:name="_Toc292559372"/>
      <w:bookmarkStart w:id="714" w:name="_Toc297123527"/>
      <w:bookmarkStart w:id="715" w:name="_Toc303539136"/>
      <w:bookmarkStart w:id="716" w:name="_Toc304295556"/>
      <w:bookmarkStart w:id="717" w:name="_Toc312678019"/>
      <w:bookmarkStart w:id="718" w:name="_Toc280868654"/>
      <w:bookmarkStart w:id="719" w:name="_Toc296891207"/>
      <w:bookmarkStart w:id="720" w:name="_Toc292559877"/>
      <w:bookmarkStart w:id="721" w:name="_Toc300934979"/>
      <w:bookmarkStart w:id="722" w:name="_Toc296347166"/>
      <w:bookmarkStart w:id="723" w:name="_Toc296944506"/>
      <w:bookmarkStart w:id="724" w:name="_Toc296890995"/>
      <w:bookmarkStart w:id="725" w:name="_Toc296503167"/>
      <w:bookmarkStart w:id="726" w:name="_Toc296346668"/>
      <w:bookmarkStart w:id="727" w:name="_Toc297216186"/>
      <w:bookmarkStart w:id="728" w:name="_Toc280868656"/>
      <w:bookmarkStart w:id="729" w:name="_Toc280868655"/>
      <w:bookmarkStart w:id="730" w:name="_Toc267251424"/>
      <w:r>
        <w:rPr>
          <w:rFonts w:hint="eastAsia" w:ascii="仿宋" w:hAnsi="仿宋" w:eastAsia="仿宋" w:cs="仿宋"/>
          <w:color w:val="auto"/>
          <w:szCs w:val="21"/>
          <w:highlight w:val="none"/>
        </w:rPr>
        <w:t>.4材料与工程设备的保管与使用</w:t>
      </w:r>
    </w:p>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14:paraId="7E7ED99D">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bookmarkStart w:id="731" w:name="_Toc292559878"/>
      <w:bookmarkStart w:id="732" w:name="_Toc292559373"/>
      <w:bookmarkStart w:id="733" w:name="_Toc312678020"/>
      <w:bookmarkStart w:id="734" w:name="_Toc296347167"/>
      <w:bookmarkStart w:id="735" w:name="_Toc297120468"/>
      <w:bookmarkStart w:id="736" w:name="_Toc296503168"/>
      <w:bookmarkStart w:id="737" w:name="_Toc312677494"/>
      <w:bookmarkStart w:id="738" w:name="_Toc296944507"/>
      <w:bookmarkStart w:id="739" w:name="_Toc296891208"/>
      <w:bookmarkStart w:id="740" w:name="_Toc304295557"/>
      <w:bookmarkStart w:id="741" w:name="_Toc303539137"/>
      <w:bookmarkStart w:id="742" w:name="_Toc300934980"/>
      <w:bookmarkStart w:id="743" w:name="_Toc297048354"/>
      <w:bookmarkStart w:id="744" w:name="_Toc296346669"/>
      <w:bookmarkStart w:id="745" w:name="_Toc297123528"/>
      <w:bookmarkStart w:id="746" w:name="_Toc297216187"/>
      <w:bookmarkStart w:id="747" w:name="_Toc318581173"/>
      <w:bookmarkStart w:id="748" w:name="_Toc296890996"/>
      <w:r>
        <w:rPr>
          <w:rFonts w:hint="eastAsia" w:ascii="仿宋" w:hAnsi="仿宋" w:eastAsia="仿宋" w:cs="仿宋"/>
          <w:color w:val="auto"/>
          <w:szCs w:val="21"/>
          <w:highlight w:val="none"/>
        </w:rPr>
        <w:t>.4.1发包人供应的材料设备的保管费用的承担：</w:t>
      </w:r>
      <w:r>
        <w:rPr>
          <w:rFonts w:hint="eastAsia" w:ascii="仿宋" w:hAnsi="仿宋" w:eastAsia="仿宋" w:cs="仿宋"/>
          <w:b/>
          <w:color w:val="auto"/>
          <w:szCs w:val="21"/>
          <w:highlight w:val="none"/>
          <w:u w:val="single"/>
        </w:rPr>
        <w:t>/</w:t>
      </w:r>
      <w:r>
        <w:rPr>
          <w:rFonts w:hint="eastAsia" w:ascii="仿宋" w:hAnsi="仿宋" w:eastAsia="仿宋" w:cs="仿宋"/>
          <w:color w:val="auto"/>
          <w:szCs w:val="21"/>
          <w:highlight w:val="none"/>
        </w:rPr>
        <w:t>。</w:t>
      </w:r>
      <w:bookmarkEnd w:id="731"/>
      <w:bookmarkEnd w:id="732"/>
    </w:p>
    <w:p w14:paraId="0A035E7B">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8.6 样品</w:t>
      </w:r>
    </w:p>
    <w:p w14:paraId="12D7946D">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8.6.1</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样品的报送与封存</w:t>
      </w:r>
    </w:p>
    <w:p w14:paraId="78787514">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需要承包人报送样品的材料或工程设备，样品的种类、名称、规格、数量要求：</w:t>
      </w:r>
      <w:r>
        <w:rPr>
          <w:rFonts w:hint="eastAsia" w:ascii="仿宋" w:hAnsi="仿宋" w:eastAsia="仿宋" w:cs="仿宋"/>
          <w:b/>
          <w:color w:val="auto"/>
          <w:szCs w:val="21"/>
          <w:highlight w:val="none"/>
          <w:u w:val="single"/>
        </w:rPr>
        <w:t>按现行法律及规范规定以及监理人的要求报送，相关费用由承包人承担</w:t>
      </w:r>
      <w:r>
        <w:rPr>
          <w:rFonts w:hint="eastAsia" w:ascii="仿宋" w:hAnsi="仿宋" w:eastAsia="仿宋" w:cs="仿宋"/>
          <w:color w:val="auto"/>
          <w:szCs w:val="21"/>
          <w:highlight w:val="none"/>
        </w:rPr>
        <w:t>。</w:t>
      </w:r>
    </w:p>
    <w:p w14:paraId="5A051691">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8.8 施工设备和临时设施</w:t>
      </w:r>
    </w:p>
    <w:p w14:paraId="6689ED6C">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8.8.1 承包人提供的施工设备和临时设施</w:t>
      </w:r>
    </w:p>
    <w:p w14:paraId="2ACA93AA">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关于修建临时设施费用承担的约定：</w:t>
      </w:r>
      <w:r>
        <w:rPr>
          <w:rFonts w:hint="eastAsia" w:ascii="仿宋" w:hAnsi="仿宋" w:eastAsia="仿宋" w:cs="仿宋"/>
          <w:b/>
          <w:color w:val="auto"/>
          <w:szCs w:val="21"/>
          <w:highlight w:val="none"/>
          <w:u w:val="single"/>
        </w:rPr>
        <w:t>承包人应自行承担修建临时设施的费用，需要临时占地的，应由承包人办理申请手续并承担相应费用</w:t>
      </w:r>
      <w:r>
        <w:rPr>
          <w:rFonts w:hint="eastAsia" w:ascii="仿宋" w:hAnsi="仿宋" w:eastAsia="仿宋" w:cs="仿宋"/>
          <w:color w:val="auto"/>
          <w:szCs w:val="21"/>
          <w:highlight w:val="none"/>
        </w:rPr>
        <w:t>。</w:t>
      </w:r>
    </w:p>
    <w:p w14:paraId="5F028297">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8.8.2发包人提供的施工设备和临时设施：</w:t>
      </w:r>
      <w:r>
        <w:rPr>
          <w:rFonts w:hint="eastAsia" w:ascii="仿宋" w:hAnsi="仿宋" w:eastAsia="仿宋" w:cs="仿宋"/>
          <w:b/>
          <w:color w:val="auto"/>
          <w:szCs w:val="21"/>
          <w:highlight w:val="none"/>
          <w:u w:val="single"/>
        </w:rPr>
        <w:t>不提供</w:t>
      </w:r>
      <w:r>
        <w:rPr>
          <w:rFonts w:hint="eastAsia" w:ascii="仿宋" w:hAnsi="仿宋" w:eastAsia="仿宋" w:cs="仿宋"/>
          <w:color w:val="auto"/>
          <w:szCs w:val="21"/>
          <w:highlight w:val="none"/>
        </w:rPr>
        <w:t>。</w:t>
      </w:r>
    </w:p>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p w14:paraId="25C07181">
      <w:pPr>
        <w:pStyle w:val="5"/>
        <w:spacing w:before="0" w:after="0" w:line="360" w:lineRule="auto"/>
        <w:rPr>
          <w:rFonts w:hint="eastAsia" w:ascii="仿宋" w:hAnsi="仿宋" w:eastAsia="仿宋" w:cs="仿宋"/>
          <w:b w:val="0"/>
          <w:color w:val="auto"/>
          <w:sz w:val="21"/>
          <w:szCs w:val="21"/>
          <w:highlight w:val="none"/>
        </w:rPr>
      </w:pPr>
      <w:bookmarkStart w:id="749" w:name="_Toc371946144"/>
      <w:r>
        <w:rPr>
          <w:rFonts w:hint="eastAsia" w:ascii="仿宋" w:hAnsi="仿宋" w:eastAsia="仿宋" w:cs="仿宋"/>
          <w:b w:val="0"/>
          <w:color w:val="auto"/>
          <w:sz w:val="21"/>
          <w:szCs w:val="21"/>
          <w:highlight w:val="none"/>
        </w:rPr>
        <w:t>9</w:t>
      </w:r>
      <w:bookmarkEnd w:id="728"/>
      <w:bookmarkEnd w:id="729"/>
      <w:bookmarkEnd w:id="730"/>
      <w:bookmarkStart w:id="750" w:name="_Toc312677495"/>
      <w:bookmarkStart w:id="751" w:name="_Toc297216192"/>
      <w:bookmarkStart w:id="752" w:name="_Toc303539139"/>
      <w:bookmarkStart w:id="753" w:name="_Toc300934982"/>
      <w:bookmarkStart w:id="754" w:name="_Toc304295559"/>
      <w:bookmarkStart w:id="755" w:name="_Toc312678021"/>
      <w:bookmarkStart w:id="756" w:name="_Toc297123533"/>
      <w:bookmarkStart w:id="757" w:name="_Toc296503173"/>
      <w:bookmarkStart w:id="758" w:name="_Toc267251428"/>
      <w:bookmarkStart w:id="759" w:name="_Toc267251427"/>
      <w:bookmarkStart w:id="760" w:name="_Toc296944512"/>
      <w:bookmarkStart w:id="761" w:name="_Toc296891213"/>
      <w:bookmarkStart w:id="762" w:name="_Toc292559883"/>
      <w:bookmarkStart w:id="763" w:name="_Toc297120473"/>
      <w:bookmarkStart w:id="764" w:name="_Toc292559378"/>
      <w:bookmarkStart w:id="765" w:name="_Toc297048359"/>
      <w:bookmarkStart w:id="766" w:name="_Toc296891001"/>
      <w:bookmarkStart w:id="767" w:name="_Toc296347172"/>
      <w:bookmarkStart w:id="768" w:name="_Toc296346674"/>
      <w:r>
        <w:rPr>
          <w:rFonts w:hint="eastAsia" w:ascii="仿宋" w:hAnsi="仿宋" w:eastAsia="仿宋" w:cs="仿宋"/>
          <w:b w:val="0"/>
          <w:color w:val="auto"/>
          <w:sz w:val="21"/>
          <w:szCs w:val="21"/>
          <w:highlight w:val="none"/>
        </w:rPr>
        <w:t>. 试验与检验</w:t>
      </w:r>
      <w:bookmarkEnd w:id="749"/>
    </w:p>
    <w:bookmarkEnd w:id="750"/>
    <w:bookmarkEnd w:id="751"/>
    <w:bookmarkEnd w:id="752"/>
    <w:bookmarkEnd w:id="753"/>
    <w:bookmarkEnd w:id="754"/>
    <w:bookmarkEnd w:id="755"/>
    <w:bookmarkEnd w:id="756"/>
    <w:p w14:paraId="56CBDDE7">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9</w:t>
      </w:r>
      <w:bookmarkStart w:id="769" w:name="_Toc297216193"/>
      <w:bookmarkStart w:id="770" w:name="_Toc303539140"/>
      <w:bookmarkStart w:id="771" w:name="_Toc300934983"/>
      <w:bookmarkStart w:id="772" w:name="_Toc297123534"/>
      <w:bookmarkStart w:id="773" w:name="_Toc312677496"/>
      <w:bookmarkStart w:id="774" w:name="_Toc312678022"/>
      <w:bookmarkStart w:id="775" w:name="_Toc304295560"/>
      <w:r>
        <w:rPr>
          <w:rFonts w:hint="eastAsia" w:ascii="仿宋" w:hAnsi="仿宋" w:eastAsia="仿宋" w:cs="仿宋"/>
          <w:color w:val="auto"/>
          <w:szCs w:val="21"/>
          <w:highlight w:val="none"/>
        </w:rPr>
        <w:t>.1试验设备与试验人员</w:t>
      </w:r>
    </w:p>
    <w:bookmarkEnd w:id="769"/>
    <w:bookmarkEnd w:id="770"/>
    <w:bookmarkEnd w:id="771"/>
    <w:bookmarkEnd w:id="772"/>
    <w:bookmarkEnd w:id="773"/>
    <w:bookmarkEnd w:id="774"/>
    <w:bookmarkEnd w:id="775"/>
    <w:p w14:paraId="2D84BF3F">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9</w:t>
      </w:r>
      <w:bookmarkStart w:id="776" w:name="_Toc304295561"/>
      <w:bookmarkStart w:id="777" w:name="_Toc312677497"/>
      <w:bookmarkStart w:id="778" w:name="_Toc297216194"/>
      <w:bookmarkStart w:id="779" w:name="_Toc297123535"/>
      <w:bookmarkStart w:id="780" w:name="_Toc312678023"/>
      <w:bookmarkStart w:id="781" w:name="_Toc300934984"/>
      <w:bookmarkStart w:id="782" w:name="_Toc303539141"/>
      <w:bookmarkStart w:id="783" w:name="_Toc318581174"/>
      <w:r>
        <w:rPr>
          <w:rFonts w:hint="eastAsia" w:ascii="仿宋" w:hAnsi="仿宋" w:eastAsia="仿宋" w:cs="仿宋"/>
          <w:color w:val="auto"/>
          <w:szCs w:val="21"/>
          <w:highlight w:val="none"/>
        </w:rPr>
        <w:t>.1.2 试验设备</w:t>
      </w:r>
    </w:p>
    <w:p w14:paraId="6740593A">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施工现场需要配置的试验场所</w:t>
      </w:r>
      <w:r>
        <w:rPr>
          <w:rFonts w:hint="eastAsia" w:ascii="仿宋" w:hAnsi="仿宋" w:eastAsia="仿宋" w:cs="仿宋"/>
          <w:color w:val="auto"/>
          <w:szCs w:val="21"/>
          <w:highlight w:val="none"/>
          <w:u w:val="single"/>
        </w:rPr>
        <w:t>：</w:t>
      </w:r>
      <w:bookmarkEnd w:id="776"/>
      <w:bookmarkEnd w:id="777"/>
      <w:bookmarkEnd w:id="778"/>
      <w:bookmarkEnd w:id="779"/>
      <w:bookmarkEnd w:id="780"/>
      <w:bookmarkEnd w:id="781"/>
      <w:bookmarkEnd w:id="782"/>
      <w:bookmarkStart w:id="784" w:name="_Toc297216195"/>
      <w:bookmarkStart w:id="785" w:name="_Toc300934985"/>
      <w:bookmarkStart w:id="786" w:name="_Toc297123536"/>
      <w:bookmarkStart w:id="787" w:name="_Toc304295562"/>
      <w:bookmarkStart w:id="788" w:name="_Toc312678024"/>
      <w:bookmarkStart w:id="789" w:name="_Toc312677498"/>
      <w:bookmarkStart w:id="790" w:name="_Toc303539142"/>
      <w:r>
        <w:rPr>
          <w:rFonts w:hint="eastAsia" w:ascii="仿宋" w:hAnsi="仿宋" w:eastAsia="仿宋" w:cs="仿宋"/>
          <w:b/>
          <w:color w:val="auto"/>
          <w:szCs w:val="21"/>
          <w:highlight w:val="none"/>
          <w:u w:val="single"/>
        </w:rPr>
        <w:t>按现行法律及规范、规程以及监理人的要求配置，满足试验需要</w:t>
      </w:r>
      <w:r>
        <w:rPr>
          <w:rFonts w:hint="eastAsia" w:ascii="仿宋" w:hAnsi="仿宋" w:eastAsia="仿宋" w:cs="仿宋"/>
          <w:color w:val="auto"/>
          <w:szCs w:val="21"/>
          <w:highlight w:val="none"/>
        </w:rPr>
        <w:t>。</w:t>
      </w:r>
    </w:p>
    <w:p w14:paraId="22FE91DD">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施工现场需要配备的试验设备：</w:t>
      </w:r>
      <w:r>
        <w:rPr>
          <w:rFonts w:hint="eastAsia" w:ascii="仿宋" w:hAnsi="仿宋" w:eastAsia="仿宋" w:cs="仿宋"/>
          <w:b/>
          <w:color w:val="auto"/>
          <w:szCs w:val="21"/>
          <w:highlight w:val="none"/>
          <w:u w:val="single"/>
        </w:rPr>
        <w:t>按现行法律及规范、规程以及监理人的要求配备，满足试验需要</w:t>
      </w:r>
      <w:r>
        <w:rPr>
          <w:rFonts w:hint="eastAsia" w:ascii="仿宋" w:hAnsi="仿宋" w:eastAsia="仿宋" w:cs="仿宋"/>
          <w:color w:val="auto"/>
          <w:szCs w:val="21"/>
          <w:highlight w:val="none"/>
        </w:rPr>
        <w:t>。</w:t>
      </w:r>
    </w:p>
    <w:p w14:paraId="4D375563">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施工现场需要具备的其他试验条件：</w:t>
      </w:r>
      <w:r>
        <w:rPr>
          <w:rFonts w:hint="eastAsia" w:ascii="仿宋" w:hAnsi="仿宋" w:eastAsia="仿宋" w:cs="仿宋"/>
          <w:b/>
          <w:color w:val="auto"/>
          <w:szCs w:val="21"/>
          <w:highlight w:val="none"/>
          <w:u w:val="single"/>
        </w:rPr>
        <w:t>按现行法律及规范、规程以及监理人的要求配置，满足试验需要</w:t>
      </w:r>
      <w:r>
        <w:rPr>
          <w:rFonts w:hint="eastAsia" w:ascii="仿宋" w:hAnsi="仿宋" w:eastAsia="仿宋" w:cs="仿宋"/>
          <w:color w:val="auto"/>
          <w:szCs w:val="21"/>
          <w:highlight w:val="none"/>
        </w:rPr>
        <w:t>。</w:t>
      </w:r>
    </w:p>
    <w:p w14:paraId="02CD276C">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9.4 现场工艺试验</w:t>
      </w:r>
    </w:p>
    <w:p w14:paraId="4BA4E909">
      <w:pPr>
        <w:spacing w:line="360" w:lineRule="auto"/>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现场工艺试验的有关约定：</w:t>
      </w:r>
      <w:r>
        <w:rPr>
          <w:rFonts w:hint="eastAsia" w:ascii="仿宋" w:hAnsi="仿宋" w:eastAsia="仿宋" w:cs="仿宋"/>
          <w:color w:val="auto"/>
          <w:szCs w:val="21"/>
          <w:highlight w:val="none"/>
          <w:u w:val="single"/>
        </w:rPr>
        <w:t xml:space="preserve"> </w:t>
      </w:r>
      <w:r>
        <w:rPr>
          <w:rFonts w:hint="eastAsia" w:ascii="仿宋" w:hAnsi="仿宋" w:eastAsia="仿宋" w:cs="仿宋"/>
          <w:b/>
          <w:color w:val="auto"/>
          <w:szCs w:val="21"/>
          <w:highlight w:val="none"/>
          <w:u w:val="single"/>
        </w:rPr>
        <w:t>按照监理人指示进行现场工艺试验并承担费用</w:t>
      </w:r>
      <w:r>
        <w:rPr>
          <w:rFonts w:hint="eastAsia" w:ascii="仿宋" w:hAnsi="仿宋" w:eastAsia="仿宋" w:cs="仿宋"/>
          <w:color w:val="auto"/>
          <w:szCs w:val="21"/>
          <w:highlight w:val="none"/>
        </w:rPr>
        <w:t>。</w:t>
      </w:r>
    </w:p>
    <w:bookmarkEnd w:id="783"/>
    <w:bookmarkEnd w:id="784"/>
    <w:bookmarkEnd w:id="785"/>
    <w:bookmarkEnd w:id="786"/>
    <w:bookmarkEnd w:id="787"/>
    <w:bookmarkEnd w:id="788"/>
    <w:bookmarkEnd w:id="789"/>
    <w:bookmarkEnd w:id="790"/>
    <w:p w14:paraId="0B527D16">
      <w:pPr>
        <w:pStyle w:val="5"/>
        <w:spacing w:before="0" w:after="0" w:line="360" w:lineRule="auto"/>
        <w:rPr>
          <w:rFonts w:hint="eastAsia" w:ascii="仿宋" w:hAnsi="仿宋" w:eastAsia="仿宋" w:cs="仿宋"/>
          <w:b w:val="0"/>
          <w:color w:val="auto"/>
          <w:sz w:val="21"/>
          <w:szCs w:val="21"/>
          <w:highlight w:val="none"/>
        </w:rPr>
      </w:pPr>
      <w:bookmarkStart w:id="791" w:name="_Toc371946145"/>
      <w:r>
        <w:rPr>
          <w:rFonts w:hint="eastAsia" w:ascii="仿宋" w:hAnsi="仿宋" w:eastAsia="仿宋" w:cs="仿宋"/>
          <w:b w:val="0"/>
          <w:color w:val="auto"/>
          <w:sz w:val="21"/>
          <w:szCs w:val="21"/>
          <w:highlight w:val="none"/>
        </w:rPr>
        <w:t>1</w:t>
      </w:r>
      <w:bookmarkEnd w:id="757"/>
      <w:bookmarkEnd w:id="758"/>
      <w:bookmarkEnd w:id="759"/>
      <w:bookmarkEnd w:id="760"/>
      <w:bookmarkEnd w:id="761"/>
      <w:bookmarkEnd w:id="762"/>
      <w:bookmarkEnd w:id="763"/>
      <w:bookmarkEnd w:id="764"/>
      <w:bookmarkEnd w:id="765"/>
      <w:bookmarkEnd w:id="766"/>
      <w:bookmarkEnd w:id="767"/>
      <w:bookmarkEnd w:id="768"/>
      <w:bookmarkStart w:id="792" w:name="_Toc292559903"/>
      <w:bookmarkStart w:id="793" w:name="_Toc296944532"/>
      <w:bookmarkStart w:id="794" w:name="_Toc292559398"/>
      <w:bookmarkStart w:id="795" w:name="_Toc300934989"/>
      <w:bookmarkStart w:id="796" w:name="_Toc296346694"/>
      <w:bookmarkStart w:id="797" w:name="_Toc296891233"/>
      <w:bookmarkStart w:id="798" w:name="_Toc297120493"/>
      <w:bookmarkStart w:id="799" w:name="_Toc297048379"/>
      <w:bookmarkStart w:id="800" w:name="_Toc296503193"/>
      <w:bookmarkStart w:id="801" w:name="_Toc304295566"/>
      <w:bookmarkStart w:id="802" w:name="_Toc296347192"/>
      <w:bookmarkStart w:id="803" w:name="_Toc297123540"/>
      <w:bookmarkStart w:id="804" w:name="_Toc303539146"/>
      <w:bookmarkStart w:id="805" w:name="_Toc297216199"/>
      <w:bookmarkStart w:id="806" w:name="_Toc296891021"/>
      <w:bookmarkStart w:id="807" w:name="_Toc312677499"/>
      <w:bookmarkStart w:id="808" w:name="_Toc312678025"/>
      <w:bookmarkStart w:id="809" w:name="_Toc267251441"/>
      <w:bookmarkStart w:id="810" w:name="_Toc267251433"/>
      <w:bookmarkStart w:id="811" w:name="_Toc267251439"/>
      <w:bookmarkStart w:id="812" w:name="_Toc267251435"/>
      <w:bookmarkStart w:id="813" w:name="_Toc267251437"/>
      <w:bookmarkStart w:id="814" w:name="_Toc267251440"/>
      <w:bookmarkStart w:id="815" w:name="_Toc267251442"/>
      <w:r>
        <w:rPr>
          <w:rFonts w:hint="eastAsia" w:ascii="仿宋" w:hAnsi="仿宋" w:eastAsia="仿宋" w:cs="仿宋"/>
          <w:b w:val="0"/>
          <w:color w:val="auto"/>
          <w:sz w:val="21"/>
          <w:szCs w:val="21"/>
          <w:highlight w:val="none"/>
        </w:rPr>
        <w:t>0. 变更</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bookmarkEnd w:id="807"/>
    <w:bookmarkEnd w:id="808"/>
    <w:p w14:paraId="12061303">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bookmarkStart w:id="816" w:name="_Toc297048380"/>
      <w:bookmarkStart w:id="817" w:name="_Toc296503194"/>
      <w:bookmarkStart w:id="818" w:name="_Toc297120494"/>
      <w:bookmarkStart w:id="819" w:name="_Toc297216200"/>
      <w:bookmarkStart w:id="820" w:name="_Toc297123541"/>
      <w:bookmarkStart w:id="821" w:name="_Toc312677500"/>
      <w:bookmarkStart w:id="822" w:name="_Toc296891234"/>
      <w:bookmarkStart w:id="823" w:name="_Toc296891022"/>
      <w:bookmarkStart w:id="824" w:name="_Toc303539147"/>
      <w:bookmarkStart w:id="825" w:name="_Toc296346695"/>
      <w:bookmarkStart w:id="826" w:name="_Toc296944533"/>
      <w:bookmarkStart w:id="827" w:name="_Toc300934990"/>
      <w:bookmarkStart w:id="828" w:name="_Toc312678026"/>
      <w:bookmarkStart w:id="829" w:name="_Toc296347193"/>
      <w:bookmarkStart w:id="830" w:name="_Toc292559399"/>
      <w:bookmarkStart w:id="831" w:name="_Toc304295567"/>
      <w:bookmarkStart w:id="832" w:name="_Toc292559904"/>
      <w:r>
        <w:rPr>
          <w:rFonts w:hint="eastAsia" w:ascii="仿宋" w:hAnsi="仿宋" w:eastAsia="仿宋" w:cs="仿宋"/>
          <w:color w:val="auto"/>
          <w:szCs w:val="21"/>
          <w:highlight w:val="none"/>
        </w:rPr>
        <w:t>0.1变更的范围</w:t>
      </w:r>
    </w:p>
    <w:p w14:paraId="08D79AA1">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关于变更的范围的约定：</w:t>
      </w:r>
      <w:r>
        <w:rPr>
          <w:rFonts w:hint="eastAsia" w:ascii="仿宋" w:hAnsi="仿宋" w:eastAsia="仿宋" w:cs="仿宋"/>
          <w:b/>
          <w:color w:val="auto"/>
          <w:szCs w:val="21"/>
          <w:highlight w:val="none"/>
          <w:u w:val="single"/>
        </w:rPr>
        <w:t>按照通用合同条款执行</w:t>
      </w:r>
      <w:r>
        <w:rPr>
          <w:rFonts w:hint="eastAsia" w:ascii="仿宋" w:hAnsi="仿宋" w:eastAsia="仿宋" w:cs="仿宋"/>
          <w:color w:val="auto"/>
          <w:szCs w:val="21"/>
          <w:highlight w:val="none"/>
          <w:u w:val="single"/>
        </w:rPr>
        <w:t>。</w:t>
      </w:r>
      <w:r>
        <w:rPr>
          <w:rFonts w:hint="eastAsia" w:ascii="仿宋" w:hAnsi="仿宋" w:eastAsia="仿宋" w:cs="仿宋"/>
          <w:b/>
          <w:color w:val="auto"/>
          <w:szCs w:val="21"/>
          <w:highlight w:val="none"/>
          <w:u w:val="single"/>
        </w:rPr>
        <w:t>未经发包人许可，承包人不得擅自对工程的任何部分进行变更</w:t>
      </w:r>
      <w:r>
        <w:rPr>
          <w:rFonts w:hint="eastAsia" w:ascii="仿宋" w:hAnsi="仿宋" w:eastAsia="仿宋" w:cs="仿宋"/>
          <w:color w:val="auto"/>
          <w:szCs w:val="21"/>
          <w:highlight w:val="none"/>
        </w:rPr>
        <w:t>。</w:t>
      </w:r>
    </w:p>
    <w:p w14:paraId="466EE56E">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10.4 变更估价</w:t>
      </w:r>
    </w:p>
    <w:p w14:paraId="5848ABEF">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10.4.1 变更估价原则</w:t>
      </w:r>
    </w:p>
    <w:p w14:paraId="2D87F5C8">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关于变更估价的约定：。</w:t>
      </w:r>
    </w:p>
    <w:p w14:paraId="2CFD668B">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变更估价按照本款约定处理：</w:t>
      </w:r>
    </w:p>
    <w:p w14:paraId="04C7863E">
      <w:pPr>
        <w:spacing w:line="360" w:lineRule="auto"/>
        <w:ind w:firstLine="422" w:firstLineChars="200"/>
        <w:rPr>
          <w:rFonts w:hint="eastAsia" w:ascii="仿宋" w:hAnsi="仿宋" w:eastAsia="仿宋" w:cs="仿宋"/>
          <w:color w:val="auto"/>
          <w:szCs w:val="21"/>
          <w:highlight w:val="none"/>
          <w:u w:val="single"/>
        </w:rPr>
      </w:pPr>
      <w:r>
        <w:rPr>
          <w:rFonts w:hint="eastAsia" w:ascii="仿宋" w:hAnsi="仿宋" w:eastAsia="仿宋" w:cs="仿宋"/>
          <w:b/>
          <w:color w:val="auto"/>
          <w:szCs w:val="21"/>
          <w:highlight w:val="none"/>
          <w:u w:val="single"/>
        </w:rPr>
        <w:t>1、因工程变更引起已标价工程量清单项目或其工程数量发生变化时，按照下列约定调整</w:t>
      </w:r>
      <w:r>
        <w:rPr>
          <w:rFonts w:hint="eastAsia" w:ascii="仿宋" w:hAnsi="仿宋" w:eastAsia="仿宋" w:cs="仿宋"/>
          <w:color w:val="auto"/>
          <w:szCs w:val="21"/>
          <w:highlight w:val="none"/>
          <w:u w:val="single"/>
        </w:rPr>
        <w:t>：</w:t>
      </w:r>
    </w:p>
    <w:p w14:paraId="757CC4A3">
      <w:pPr>
        <w:spacing w:line="360" w:lineRule="auto"/>
        <w:ind w:firstLine="422" w:firstLineChars="200"/>
        <w:rPr>
          <w:rFonts w:hint="eastAsia" w:ascii="仿宋" w:hAnsi="仿宋" w:eastAsia="仿宋" w:cs="仿宋"/>
          <w:color w:val="auto"/>
          <w:szCs w:val="21"/>
          <w:highlight w:val="none"/>
          <w:u w:val="single"/>
        </w:rPr>
      </w:pPr>
      <w:r>
        <w:rPr>
          <w:rFonts w:hint="eastAsia" w:ascii="仿宋" w:hAnsi="仿宋" w:eastAsia="仿宋" w:cs="仿宋"/>
          <w:b/>
          <w:color w:val="auto"/>
          <w:szCs w:val="21"/>
          <w:highlight w:val="none"/>
          <w:u w:val="single"/>
        </w:rPr>
        <w:t>（1）已标价工程量清单有相同项目的，按照相同项目单价确定</w:t>
      </w:r>
      <w:r>
        <w:rPr>
          <w:rFonts w:hint="eastAsia" w:ascii="仿宋" w:hAnsi="仿宋" w:eastAsia="仿宋" w:cs="仿宋"/>
          <w:color w:val="auto"/>
          <w:szCs w:val="21"/>
          <w:highlight w:val="none"/>
          <w:u w:val="single"/>
        </w:rPr>
        <w:t>；</w:t>
      </w:r>
    </w:p>
    <w:p w14:paraId="4013E57A">
      <w:pPr>
        <w:spacing w:line="360" w:lineRule="auto"/>
        <w:ind w:firstLine="422" w:firstLineChars="200"/>
        <w:rPr>
          <w:rFonts w:hint="eastAsia" w:ascii="仿宋" w:hAnsi="仿宋" w:eastAsia="仿宋" w:cs="仿宋"/>
          <w:color w:val="auto"/>
          <w:szCs w:val="21"/>
          <w:highlight w:val="none"/>
          <w:u w:val="single"/>
        </w:rPr>
      </w:pPr>
      <w:r>
        <w:rPr>
          <w:rFonts w:hint="eastAsia" w:ascii="仿宋" w:hAnsi="仿宋" w:eastAsia="仿宋" w:cs="仿宋"/>
          <w:b/>
          <w:color w:val="auto"/>
          <w:szCs w:val="21"/>
          <w:highlight w:val="none"/>
          <w:u w:val="single"/>
        </w:rPr>
        <w:t>（2）已标价工程量清单无相同项目，但有类似项目的，参照类似项目的单价确定</w:t>
      </w:r>
      <w:r>
        <w:rPr>
          <w:rFonts w:hint="eastAsia" w:ascii="仿宋" w:hAnsi="仿宋" w:eastAsia="仿宋" w:cs="仿宋"/>
          <w:color w:val="auto"/>
          <w:szCs w:val="21"/>
          <w:highlight w:val="none"/>
          <w:u w:val="single"/>
        </w:rPr>
        <w:t>；</w:t>
      </w:r>
    </w:p>
    <w:p w14:paraId="3944BC17">
      <w:pPr>
        <w:spacing w:line="360" w:lineRule="auto"/>
        <w:ind w:left="0" w:leftChars="0" w:right="0" w:rightChars="0" w:firstLine="512" w:firstLineChars="243"/>
        <w:rPr>
          <w:rFonts w:hint="eastAsia" w:ascii="仿宋" w:hAnsi="仿宋" w:eastAsia="仿宋" w:cs="仿宋"/>
          <w:color w:val="auto"/>
          <w:szCs w:val="21"/>
          <w:highlight w:val="none"/>
          <w:u w:val="single"/>
        </w:rPr>
      </w:pPr>
      <w:r>
        <w:rPr>
          <w:rFonts w:hint="eastAsia" w:ascii="仿宋" w:hAnsi="仿宋" w:eastAsia="仿宋" w:cs="仿宋"/>
          <w:b/>
          <w:color w:val="auto"/>
          <w:szCs w:val="21"/>
          <w:highlight w:val="none"/>
          <w:u w:val="single"/>
        </w:rPr>
        <w:t>（3）已标价工程量清单中无相同项目及类似项目单价的，按2020年《四川省建设工程工程量清单计价定额》及相关配套文件规定组价后的综合单价乘以承包人报价浮动率（承包人报价浮动率=（中标价/招标控制价）×100%）确定，其中材料价格承包人有报价的按承包人投标报价确定，没有报价的按按成都市《工程造价信息》施工同期金堂地区信息价；金堂地区信息价没有的，非地方材料价格参考成都市或周边地区信息价并结合市场调查由发、承包双方共同书面确定；《工程造价信息》没有的，由发、承包双方通过市场调查后共同书面确定</w:t>
      </w:r>
      <w:r>
        <w:rPr>
          <w:rFonts w:hint="eastAsia" w:ascii="仿宋" w:hAnsi="仿宋" w:eastAsia="仿宋" w:cs="仿宋"/>
          <w:color w:val="auto"/>
          <w:szCs w:val="21"/>
          <w:highlight w:val="none"/>
          <w:u w:val="single"/>
        </w:rPr>
        <w:t>。</w:t>
      </w:r>
    </w:p>
    <w:p w14:paraId="2F016B7D">
      <w:pPr>
        <w:spacing w:line="360" w:lineRule="auto"/>
        <w:ind w:left="0" w:leftChars="0" w:right="0" w:rightChars="0" w:firstLine="512" w:firstLineChars="243"/>
        <w:rPr>
          <w:rFonts w:hint="eastAsia" w:ascii="仿宋" w:hAnsi="仿宋" w:eastAsia="仿宋" w:cs="仿宋"/>
          <w:color w:val="auto"/>
          <w:szCs w:val="21"/>
          <w:highlight w:val="none"/>
          <w:u w:val="single"/>
        </w:rPr>
      </w:pPr>
      <w:r>
        <w:rPr>
          <w:rFonts w:hint="eastAsia" w:ascii="仿宋" w:hAnsi="仿宋" w:eastAsia="仿宋" w:cs="仿宋"/>
          <w:b/>
          <w:color w:val="auto"/>
          <w:szCs w:val="21"/>
          <w:highlight w:val="none"/>
          <w:u w:val="single"/>
        </w:rPr>
        <w:t>2、变更导致实际完成工程量与已标价工程量清单列明的该项目工程量的变化幅度超过15%的，对其超过部分，发包人将依照以下原则重新认价</w:t>
      </w:r>
      <w:r>
        <w:rPr>
          <w:rFonts w:hint="eastAsia" w:ascii="仿宋" w:hAnsi="仿宋" w:eastAsia="仿宋" w:cs="仿宋"/>
          <w:color w:val="auto"/>
          <w:szCs w:val="21"/>
          <w:highlight w:val="none"/>
          <w:u w:val="single"/>
        </w:rPr>
        <w:t>：</w:t>
      </w:r>
    </w:p>
    <w:p w14:paraId="1C7D8360">
      <w:pPr>
        <w:spacing w:line="360" w:lineRule="auto"/>
        <w:ind w:left="0" w:leftChars="0" w:right="0" w:rightChars="0" w:firstLine="512" w:firstLineChars="243"/>
        <w:rPr>
          <w:rFonts w:hint="eastAsia" w:ascii="仿宋" w:hAnsi="仿宋" w:eastAsia="仿宋" w:cs="仿宋"/>
          <w:b/>
          <w:color w:val="auto"/>
          <w:szCs w:val="21"/>
          <w:highlight w:val="none"/>
          <w:u w:val="single"/>
        </w:rPr>
      </w:pPr>
      <w:r>
        <w:rPr>
          <w:rFonts w:hint="eastAsia" w:ascii="仿宋" w:hAnsi="仿宋" w:eastAsia="仿宋" w:cs="仿宋"/>
          <w:b/>
          <w:color w:val="auto"/>
          <w:szCs w:val="21"/>
          <w:highlight w:val="none"/>
          <w:u w:val="single"/>
        </w:rPr>
        <w:t>按2020年《四川省建设工程工程量清单计价定额》及相关配套文件规定组价的综合单价乘以承包人报价浮动率（承包人报价浮动率=（中标价/招标控制价）×100%）后的价格，当高于已标工程量清单的，按已标价的工程量清单中该项目的综合单价；当低于已标工程量清单的，按重组的综合单价。</w:t>
      </w:r>
    </w:p>
    <w:p w14:paraId="79964D04">
      <w:pPr>
        <w:spacing w:line="360" w:lineRule="auto"/>
        <w:ind w:left="0" w:leftChars="0" w:right="0" w:rightChars="0" w:firstLine="512" w:firstLineChars="243"/>
        <w:rPr>
          <w:rFonts w:hint="eastAsia" w:ascii="仿宋" w:hAnsi="仿宋" w:eastAsia="仿宋" w:cs="仿宋"/>
          <w:b/>
          <w:color w:val="auto"/>
          <w:szCs w:val="21"/>
          <w:highlight w:val="none"/>
          <w:u w:val="single"/>
        </w:rPr>
      </w:pPr>
      <w:r>
        <w:rPr>
          <w:rFonts w:hint="eastAsia" w:ascii="仿宋" w:hAnsi="仿宋" w:eastAsia="仿宋" w:cs="仿宋"/>
          <w:b/>
          <w:color w:val="auto"/>
          <w:szCs w:val="21"/>
          <w:highlight w:val="none"/>
          <w:u w:val="single"/>
        </w:rPr>
        <w:t>3、无论工程变更（新增或取消某项独立的单位工程除外）是否引起施工方案改变或措施项目发生变化，除了不可竞争费用外，措施费均按承包人投标报价，包干不作调整。</w:t>
      </w:r>
    </w:p>
    <w:p w14:paraId="5A32253F">
      <w:pPr>
        <w:spacing w:line="360" w:lineRule="auto"/>
        <w:ind w:left="0" w:leftChars="0" w:right="0" w:rightChars="0" w:firstLine="512" w:firstLineChars="243"/>
        <w:rPr>
          <w:rFonts w:hint="eastAsia" w:ascii="仿宋" w:hAnsi="仿宋" w:eastAsia="仿宋" w:cs="仿宋"/>
          <w:b/>
          <w:color w:val="auto"/>
          <w:szCs w:val="21"/>
          <w:highlight w:val="none"/>
        </w:rPr>
      </w:pPr>
      <w:r>
        <w:rPr>
          <w:rFonts w:hint="eastAsia" w:ascii="仿宋" w:hAnsi="仿宋" w:eastAsia="仿宋" w:cs="仿宋"/>
          <w:b/>
          <w:color w:val="auto"/>
          <w:szCs w:val="21"/>
          <w:highlight w:val="none"/>
          <w:u w:val="single"/>
        </w:rPr>
        <w:t>4、变更工程量和变更估价应按照金堂府办发[2023]2号的规定履行相关手续，并按批准数量和价格计入工程竣工结算。若施工期间有新规定的，从其新规定</w:t>
      </w:r>
      <w:r>
        <w:rPr>
          <w:rFonts w:hint="eastAsia" w:ascii="仿宋" w:hAnsi="仿宋" w:eastAsia="仿宋" w:cs="仿宋"/>
          <w:b/>
          <w:color w:val="auto"/>
          <w:szCs w:val="21"/>
          <w:highlight w:val="none"/>
        </w:rPr>
        <w:t>。</w:t>
      </w:r>
    </w:p>
    <w:p w14:paraId="47161D0F">
      <w:pPr>
        <w:spacing w:line="360" w:lineRule="auto"/>
        <w:ind w:firstLine="411" w:firstLineChars="196"/>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Start w:id="833" w:name="_Toc297216203"/>
      <w:bookmarkStart w:id="834" w:name="_Toc292559402"/>
      <w:bookmarkStart w:id="835" w:name="_Toc296944536"/>
      <w:bookmarkStart w:id="836" w:name="_Toc300934993"/>
      <w:bookmarkStart w:id="837" w:name="_Toc303539150"/>
      <w:bookmarkStart w:id="838" w:name="_Toc296346698"/>
      <w:bookmarkStart w:id="839" w:name="_Toc296503197"/>
      <w:bookmarkStart w:id="840" w:name="_Toc296347196"/>
      <w:bookmarkStart w:id="841" w:name="_Toc297123544"/>
      <w:bookmarkStart w:id="842" w:name="_Toc292559907"/>
      <w:bookmarkStart w:id="843" w:name="_Toc297048383"/>
      <w:bookmarkStart w:id="844" w:name="_Toc297120497"/>
      <w:bookmarkStart w:id="845" w:name="_Toc296891237"/>
      <w:bookmarkStart w:id="846" w:name="_Toc296891025"/>
      <w:bookmarkStart w:id="847" w:name="_Toc312678029"/>
      <w:bookmarkStart w:id="848" w:name="_Toc304295570"/>
      <w:bookmarkStart w:id="849" w:name="_Toc312677503"/>
      <w:r>
        <w:rPr>
          <w:rFonts w:hint="eastAsia" w:ascii="仿宋" w:hAnsi="仿宋" w:eastAsia="仿宋" w:cs="仿宋"/>
          <w:color w:val="auto"/>
          <w:szCs w:val="21"/>
          <w:highlight w:val="none"/>
        </w:rPr>
        <w:t>0.5承</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Start w:id="850" w:name="_Toc297120503"/>
      <w:bookmarkStart w:id="851" w:name="_Toc296503203"/>
      <w:bookmarkStart w:id="852" w:name="_Toc296346704"/>
      <w:bookmarkStart w:id="853" w:name="_Toc297216204"/>
      <w:bookmarkStart w:id="854" w:name="_Toc297123545"/>
      <w:bookmarkStart w:id="855" w:name="_Toc296347202"/>
      <w:bookmarkStart w:id="856" w:name="_Toc300934994"/>
      <w:bookmarkStart w:id="857" w:name="_Toc297048389"/>
      <w:bookmarkStart w:id="858" w:name="_Toc303539151"/>
      <w:bookmarkStart w:id="859" w:name="_Toc296891031"/>
      <w:bookmarkStart w:id="860" w:name="_Toc296944542"/>
      <w:bookmarkStart w:id="861" w:name="_Toc292559408"/>
      <w:bookmarkStart w:id="862" w:name="_Toc292559913"/>
      <w:bookmarkStart w:id="863" w:name="_Toc296891243"/>
      <w:r>
        <w:rPr>
          <w:rFonts w:hint="eastAsia" w:ascii="仿宋" w:hAnsi="仿宋" w:eastAsia="仿宋" w:cs="仿宋"/>
          <w:color w:val="auto"/>
          <w:szCs w:val="21"/>
          <w:highlight w:val="none"/>
        </w:rPr>
        <w:t>包人的合理化建议</w:t>
      </w:r>
    </w:p>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14:paraId="571DC2B8">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监理人审查承包人合理化建议的期限：</w:t>
      </w:r>
      <w:r>
        <w:rPr>
          <w:rFonts w:hint="eastAsia" w:ascii="仿宋" w:hAnsi="仿宋" w:eastAsia="仿宋" w:cs="仿宋"/>
          <w:b/>
          <w:color w:val="auto"/>
          <w:szCs w:val="21"/>
          <w:highlight w:val="none"/>
          <w:u w:val="single"/>
        </w:rPr>
        <w:t>按通用合同条款执行</w:t>
      </w:r>
      <w:r>
        <w:rPr>
          <w:rFonts w:hint="eastAsia" w:ascii="仿宋" w:hAnsi="仿宋" w:eastAsia="仿宋" w:cs="仿宋"/>
          <w:color w:val="auto"/>
          <w:szCs w:val="21"/>
          <w:highlight w:val="none"/>
        </w:rPr>
        <w:t>。</w:t>
      </w:r>
    </w:p>
    <w:p w14:paraId="38508379">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发包人审批承包人合理化建议的期限：</w:t>
      </w:r>
      <w:r>
        <w:rPr>
          <w:rFonts w:hint="eastAsia" w:ascii="仿宋" w:hAnsi="仿宋" w:eastAsia="仿宋" w:cs="仿宋"/>
          <w:b/>
          <w:color w:val="auto"/>
          <w:szCs w:val="21"/>
          <w:highlight w:val="none"/>
          <w:u w:val="single"/>
        </w:rPr>
        <w:t>按通用合同条款执行</w:t>
      </w:r>
      <w:r>
        <w:rPr>
          <w:rFonts w:hint="eastAsia" w:ascii="仿宋" w:hAnsi="仿宋" w:eastAsia="仿宋" w:cs="仿宋"/>
          <w:color w:val="auto"/>
          <w:szCs w:val="21"/>
          <w:highlight w:val="none"/>
        </w:rPr>
        <w:t>。</w:t>
      </w:r>
    </w:p>
    <w:p w14:paraId="51AEF0E5">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承</w:t>
      </w:r>
      <w:bookmarkStart w:id="864" w:name="_Toc297120504"/>
      <w:bookmarkStart w:id="865" w:name="_Toc296346705"/>
      <w:bookmarkStart w:id="866" w:name="_Toc300934995"/>
      <w:bookmarkStart w:id="867" w:name="_Toc292559914"/>
      <w:bookmarkStart w:id="868" w:name="_Toc303539152"/>
      <w:bookmarkStart w:id="869" w:name="_Toc297123546"/>
      <w:bookmarkStart w:id="870" w:name="_Toc318581175"/>
      <w:bookmarkStart w:id="871" w:name="_Toc296347203"/>
      <w:bookmarkStart w:id="872" w:name="_Toc304295571"/>
      <w:bookmarkStart w:id="873" w:name="_Toc312677504"/>
      <w:bookmarkStart w:id="874" w:name="_Toc297048390"/>
      <w:bookmarkStart w:id="875" w:name="_Toc296891244"/>
      <w:bookmarkStart w:id="876" w:name="_Toc296503204"/>
      <w:bookmarkStart w:id="877" w:name="_Toc312678030"/>
      <w:bookmarkStart w:id="878" w:name="_Toc296891032"/>
      <w:bookmarkStart w:id="879" w:name="_Toc296944543"/>
      <w:bookmarkStart w:id="880" w:name="_Toc292559409"/>
      <w:bookmarkStart w:id="881" w:name="_Toc297216205"/>
      <w:r>
        <w:rPr>
          <w:rFonts w:hint="eastAsia" w:ascii="仿宋" w:hAnsi="仿宋" w:eastAsia="仿宋" w:cs="仿宋"/>
          <w:color w:val="auto"/>
          <w:szCs w:val="21"/>
          <w:highlight w:val="none"/>
        </w:rPr>
        <w:t>包人提出的合理化建议降低了合同价格或者提高了工程经济效益的奖励的方法和金额为：</w:t>
      </w:r>
      <w:r>
        <w:rPr>
          <w:rFonts w:hint="eastAsia" w:ascii="仿宋" w:hAnsi="仿宋" w:eastAsia="仿宋" w:cs="仿宋"/>
          <w:b/>
          <w:color w:val="auto"/>
          <w:szCs w:val="21"/>
          <w:highlight w:val="none"/>
        </w:rPr>
        <w:t>无</w:t>
      </w:r>
      <w:r>
        <w:rPr>
          <w:rFonts w:hint="eastAsia" w:ascii="仿宋" w:hAnsi="仿宋" w:eastAsia="仿宋" w:cs="仿宋"/>
          <w:color w:val="auto"/>
          <w:szCs w:val="21"/>
          <w:highlight w:val="none"/>
        </w:rPr>
        <w:t>。</w:t>
      </w:r>
    </w:p>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14:paraId="381F877E">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bookmarkStart w:id="882" w:name="_Toc297123548"/>
      <w:bookmarkStart w:id="883" w:name="_Toc296347198"/>
      <w:bookmarkStart w:id="884" w:name="_Toc297216207"/>
      <w:bookmarkStart w:id="885" w:name="_Toc297048385"/>
      <w:bookmarkStart w:id="886" w:name="_Toc292559909"/>
      <w:bookmarkStart w:id="887" w:name="_Toc304295574"/>
      <w:bookmarkStart w:id="888" w:name="_Toc296944538"/>
      <w:bookmarkStart w:id="889" w:name="_Toc303539154"/>
      <w:bookmarkStart w:id="890" w:name="_Toc300934997"/>
      <w:bookmarkStart w:id="891" w:name="_Toc292559404"/>
      <w:bookmarkStart w:id="892" w:name="_Toc296503199"/>
      <w:bookmarkStart w:id="893" w:name="_Toc312678033"/>
      <w:bookmarkStart w:id="894" w:name="_Toc296891027"/>
      <w:bookmarkStart w:id="895" w:name="_Toc296891239"/>
      <w:bookmarkStart w:id="896" w:name="_Toc297120499"/>
      <w:bookmarkStart w:id="897" w:name="_Toc312677507"/>
      <w:bookmarkStart w:id="898" w:name="_Toc296346700"/>
      <w:r>
        <w:rPr>
          <w:rFonts w:hint="eastAsia" w:ascii="仿宋" w:hAnsi="仿宋" w:eastAsia="仿宋" w:cs="仿宋"/>
          <w:color w:val="auto"/>
          <w:szCs w:val="21"/>
          <w:highlight w:val="none"/>
        </w:rPr>
        <w:t>0.7 暂估价</w:t>
      </w:r>
    </w:p>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14:paraId="13A2D35B">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暂</w:t>
      </w:r>
      <w:bookmarkStart w:id="899" w:name="_Toc318581176"/>
      <w:bookmarkStart w:id="900" w:name="_Toc312677508"/>
      <w:bookmarkStart w:id="901" w:name="_Toc312678034"/>
      <w:r>
        <w:rPr>
          <w:rFonts w:hint="eastAsia" w:ascii="仿宋" w:hAnsi="仿宋" w:eastAsia="仿宋" w:cs="仿宋"/>
          <w:color w:val="auto"/>
          <w:szCs w:val="21"/>
          <w:highlight w:val="none"/>
        </w:rPr>
        <w:t>估价材料和工程设备的明细详见</w:t>
      </w:r>
      <w:r>
        <w:rPr>
          <w:rFonts w:hint="eastAsia" w:ascii="仿宋" w:hAnsi="仿宋" w:eastAsia="仿宋" w:cs="仿宋"/>
          <w:b/>
          <w:color w:val="auto"/>
          <w:szCs w:val="21"/>
          <w:highlight w:val="none"/>
        </w:rPr>
        <w:t>：</w:t>
      </w:r>
      <w:r>
        <w:rPr>
          <w:rFonts w:hint="eastAsia" w:ascii="仿宋" w:hAnsi="仿宋" w:eastAsia="仿宋" w:cs="仿宋"/>
          <w:b/>
          <w:color w:val="auto"/>
          <w:szCs w:val="21"/>
          <w:highlight w:val="none"/>
          <w:u w:val="single"/>
        </w:rPr>
        <w:t>招标工程量清</w:t>
      </w:r>
      <w:r>
        <w:rPr>
          <w:rFonts w:hint="eastAsia" w:ascii="仿宋" w:hAnsi="仿宋" w:eastAsia="仿宋" w:cs="仿宋"/>
          <w:b/>
          <w:color w:val="auto"/>
          <w:szCs w:val="21"/>
          <w:highlight w:val="none"/>
        </w:rPr>
        <w:t>单。</w:t>
      </w:r>
    </w:p>
    <w:bookmarkEnd w:id="899"/>
    <w:bookmarkEnd w:id="900"/>
    <w:bookmarkEnd w:id="901"/>
    <w:p w14:paraId="1571DF43">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bookmarkStart w:id="902" w:name="_Toc312678035"/>
      <w:bookmarkStart w:id="903" w:name="_Toc312677509"/>
      <w:bookmarkStart w:id="904" w:name="_Toc318581177"/>
      <w:r>
        <w:rPr>
          <w:rFonts w:hint="eastAsia" w:ascii="仿宋" w:hAnsi="仿宋" w:eastAsia="仿宋" w:cs="仿宋"/>
          <w:color w:val="auto"/>
          <w:szCs w:val="21"/>
          <w:highlight w:val="none"/>
        </w:rPr>
        <w:t>0.7.1 依法必须招标的暂估价项目</w:t>
      </w:r>
    </w:p>
    <w:bookmarkEnd w:id="902"/>
    <w:bookmarkEnd w:id="903"/>
    <w:bookmarkEnd w:id="904"/>
    <w:p w14:paraId="77224A0A">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对于依法必须招标的暂估价项目的确认和批准采取第</w:t>
      </w:r>
      <w:r>
        <w:rPr>
          <w:rFonts w:hint="eastAsia" w:ascii="仿宋" w:hAnsi="仿宋" w:eastAsia="仿宋" w:cs="仿宋"/>
          <w:b/>
          <w:color w:val="auto"/>
          <w:szCs w:val="21"/>
          <w:highlight w:val="none"/>
          <w:u w:val="single"/>
        </w:rPr>
        <w:t>/</w:t>
      </w:r>
      <w:r>
        <w:rPr>
          <w:rFonts w:hint="eastAsia" w:ascii="仿宋" w:hAnsi="仿宋" w:eastAsia="仿宋" w:cs="仿宋"/>
          <w:color w:val="auto"/>
          <w:szCs w:val="21"/>
          <w:highlight w:val="none"/>
        </w:rPr>
        <w:t>种方式确定。</w:t>
      </w:r>
    </w:p>
    <w:p w14:paraId="25A34E50">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10.7.2 不属于依法必须招标的暂估价项目</w:t>
      </w:r>
    </w:p>
    <w:p w14:paraId="0813DA6A">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对于不属于依法必须招标的暂估价项目的确认和批准采取第</w:t>
      </w:r>
      <w:r>
        <w:rPr>
          <w:rFonts w:hint="eastAsia" w:ascii="仿宋" w:hAnsi="仿宋" w:eastAsia="仿宋" w:cs="仿宋"/>
          <w:b/>
          <w:color w:val="auto"/>
          <w:szCs w:val="21"/>
          <w:highlight w:val="none"/>
          <w:u w:val="single"/>
        </w:rPr>
        <w:t>/</w:t>
      </w:r>
      <w:r>
        <w:rPr>
          <w:rFonts w:hint="eastAsia" w:ascii="仿宋" w:hAnsi="仿宋" w:eastAsia="仿宋" w:cs="仿宋"/>
          <w:color w:val="auto"/>
          <w:szCs w:val="21"/>
          <w:highlight w:val="none"/>
        </w:rPr>
        <w:t xml:space="preserve"> 种方式确定。</w:t>
      </w:r>
    </w:p>
    <w:p w14:paraId="4DB9645F">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第3种方式：承包人直接实施的暂估价项目</w:t>
      </w:r>
    </w:p>
    <w:p w14:paraId="123BCD5B">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承包人直接实施的暂估价项目的约定：</w:t>
      </w:r>
      <w:r>
        <w:rPr>
          <w:rFonts w:hint="eastAsia" w:ascii="仿宋" w:hAnsi="仿宋" w:eastAsia="仿宋" w:cs="仿宋"/>
          <w:b/>
          <w:color w:val="auto"/>
          <w:szCs w:val="21"/>
          <w:highlight w:val="none"/>
          <w:u w:val="single"/>
        </w:rPr>
        <w:t>/</w:t>
      </w:r>
      <w:r>
        <w:rPr>
          <w:rFonts w:hint="eastAsia" w:ascii="仿宋" w:hAnsi="仿宋" w:eastAsia="仿宋" w:cs="仿宋"/>
          <w:color w:val="auto"/>
          <w:szCs w:val="21"/>
          <w:highlight w:val="none"/>
        </w:rPr>
        <w:t>。</w:t>
      </w:r>
    </w:p>
    <w:p w14:paraId="1649B475">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10.8 暂列金额</w:t>
      </w:r>
    </w:p>
    <w:p w14:paraId="5F8A1FD2">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合同当事人关于暂列金额使用的约定：</w:t>
      </w:r>
      <w:r>
        <w:rPr>
          <w:rFonts w:hint="eastAsia" w:ascii="仿宋" w:hAnsi="仿宋" w:eastAsia="仿宋" w:cs="仿宋"/>
          <w:b/>
          <w:color w:val="auto"/>
          <w:szCs w:val="21"/>
          <w:highlight w:val="none"/>
        </w:rPr>
        <w:t>暂列金额由发包人掌握使用，未使用的暂列金额归发包人所有</w:t>
      </w:r>
      <w:r>
        <w:rPr>
          <w:rFonts w:hint="eastAsia" w:ascii="仿宋" w:hAnsi="仿宋" w:eastAsia="仿宋" w:cs="仿宋"/>
          <w:color w:val="auto"/>
          <w:szCs w:val="21"/>
          <w:highlight w:val="none"/>
        </w:rPr>
        <w:t>。</w:t>
      </w:r>
    </w:p>
    <w:p w14:paraId="439D3BA7">
      <w:pPr>
        <w:pStyle w:val="5"/>
        <w:spacing w:before="0" w:after="0" w:line="360" w:lineRule="auto"/>
        <w:rPr>
          <w:rFonts w:hint="eastAsia" w:ascii="仿宋" w:hAnsi="仿宋" w:eastAsia="仿宋" w:cs="仿宋"/>
          <w:b w:val="0"/>
          <w:color w:val="auto"/>
          <w:sz w:val="21"/>
          <w:szCs w:val="21"/>
          <w:highlight w:val="none"/>
        </w:rPr>
      </w:pPr>
      <w:bookmarkStart w:id="905" w:name="_Toc371946146"/>
      <w:r>
        <w:rPr>
          <w:rFonts w:hint="eastAsia" w:ascii="仿宋" w:hAnsi="仿宋" w:eastAsia="仿宋" w:cs="仿宋"/>
          <w:b w:val="0"/>
          <w:color w:val="auto"/>
          <w:sz w:val="21"/>
          <w:szCs w:val="21"/>
          <w:highlight w:val="none"/>
        </w:rPr>
        <w:t>11. 价格调整</w:t>
      </w:r>
      <w:bookmarkEnd w:id="905"/>
    </w:p>
    <w:p w14:paraId="47453F73">
      <w:pPr>
        <w:spacing w:after="0" w:line="360" w:lineRule="auto"/>
        <w:ind w:firstLine="420" w:firstLineChars="200"/>
        <w:rPr>
          <w:rFonts w:hint="eastAsia" w:ascii="仿宋" w:hAnsi="仿宋" w:eastAsia="仿宋" w:cs="仿宋"/>
          <w:color w:val="auto"/>
          <w:szCs w:val="21"/>
          <w:highlight w:val="none"/>
        </w:rPr>
      </w:pPr>
      <w:bookmarkStart w:id="906" w:name="_Toc296347200"/>
      <w:bookmarkStart w:id="907" w:name="_Toc312678039"/>
      <w:bookmarkStart w:id="908" w:name="_Toc297123550"/>
      <w:bookmarkStart w:id="909" w:name="_Toc296891029"/>
      <w:bookmarkStart w:id="910" w:name="_Toc296891241"/>
      <w:bookmarkStart w:id="911" w:name="_Toc297120501"/>
      <w:bookmarkStart w:id="912" w:name="_Toc296503201"/>
      <w:bookmarkStart w:id="913" w:name="_Toc303539157"/>
      <w:bookmarkStart w:id="914" w:name="_Toc292559406"/>
      <w:bookmarkStart w:id="915" w:name="_Toc297048387"/>
      <w:bookmarkStart w:id="916" w:name="_Toc300935000"/>
      <w:bookmarkStart w:id="917" w:name="_Toc296346702"/>
      <w:bookmarkStart w:id="918" w:name="_Toc297216209"/>
      <w:bookmarkStart w:id="919" w:name="_Toc292559911"/>
      <w:bookmarkStart w:id="920" w:name="_Toc304295577"/>
      <w:bookmarkStart w:id="921" w:name="_Toc296944540"/>
      <w:r>
        <w:rPr>
          <w:rFonts w:hint="eastAsia" w:ascii="仿宋" w:hAnsi="仿宋" w:eastAsia="仿宋" w:cs="仿宋"/>
          <w:color w:val="auto"/>
          <w:szCs w:val="21"/>
          <w:highlight w:val="none"/>
        </w:rPr>
        <w:t>11.1 市场价格波动引起的调整</w:t>
      </w:r>
    </w:p>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p w14:paraId="66B6A9CD">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因市场价格波动调整合同价格，采用以下第</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3 </w:t>
      </w:r>
      <w:r>
        <w:rPr>
          <w:rFonts w:hint="eastAsia" w:ascii="仿宋" w:hAnsi="仿宋" w:eastAsia="仿宋" w:cs="仿宋"/>
          <w:color w:val="auto"/>
          <w:szCs w:val="21"/>
          <w:highlight w:val="none"/>
        </w:rPr>
        <w:t>种方式对合同价格进行调整（若未明确选项，视为不调整）：</w:t>
      </w:r>
    </w:p>
    <w:p w14:paraId="4B91B20E">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第1种方式：采用价格指数进行价格调整。</w:t>
      </w:r>
    </w:p>
    <w:p w14:paraId="5F75F68E">
      <w:pPr>
        <w:spacing w:line="360" w:lineRule="auto"/>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关于各可调因子、定值和变值权重，以及基本价格指数及其来源的约定：</w:t>
      </w:r>
      <w:r>
        <w:rPr>
          <w:rFonts w:hint="eastAsia" w:ascii="仿宋" w:hAnsi="仿宋" w:eastAsia="仿宋" w:cs="仿宋"/>
          <w:b/>
          <w:color w:val="auto"/>
          <w:szCs w:val="21"/>
          <w:highlight w:val="none"/>
          <w:u w:val="single"/>
        </w:rPr>
        <w:t>/</w:t>
      </w:r>
      <w:r>
        <w:rPr>
          <w:rFonts w:hint="eastAsia" w:ascii="仿宋" w:hAnsi="仿宋" w:eastAsia="仿宋" w:cs="仿宋"/>
          <w:color w:val="auto"/>
          <w:szCs w:val="21"/>
          <w:highlight w:val="none"/>
        </w:rPr>
        <w:t xml:space="preserve">；  </w:t>
      </w:r>
    </w:p>
    <w:p w14:paraId="54A4EDED">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第2种方式：采用造价信息进行价格调整。</w:t>
      </w:r>
    </w:p>
    <w:p w14:paraId="6BB7F282">
      <w:pPr>
        <w:spacing w:line="360" w:lineRule="auto"/>
        <w:ind w:firstLine="420" w:firstLineChars="200"/>
        <w:jc w:val="left"/>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（1）关于基准价格的约定：</w:t>
      </w:r>
      <w:r>
        <w:rPr>
          <w:rFonts w:hint="eastAsia" w:ascii="仿宋" w:hAnsi="仿宋" w:eastAsia="仿宋" w:cs="仿宋"/>
          <w:color w:val="auto"/>
          <w:szCs w:val="21"/>
          <w:highlight w:val="none"/>
          <w:u w:val="single"/>
        </w:rPr>
        <w:t>本合同约定以施工投标截止日前28天为基准期。可调价材料的基准价依据《成都市工程造价信息》发布的金堂地区价格信息确定</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u w:val="single"/>
        </w:rPr>
        <w:t>金堂地区信息价没有的，非地方材料价格参考成都市或周边地区信息价并结合市场调查由发、承包双方共同书面确定；《工程造价信息》没有的，由发、承包双方通过市场调查后共同书面确定。</w:t>
      </w:r>
    </w:p>
    <w:bookmarkEnd w:id="809"/>
    <w:bookmarkEnd w:id="810"/>
    <w:bookmarkEnd w:id="811"/>
    <w:bookmarkEnd w:id="812"/>
    <w:bookmarkEnd w:id="813"/>
    <w:bookmarkEnd w:id="814"/>
    <w:p w14:paraId="4EADF79A">
      <w:pPr>
        <w:spacing w:line="360" w:lineRule="auto"/>
        <w:ind w:firstLine="210" w:firstLineChars="100"/>
        <w:rPr>
          <w:rFonts w:hint="eastAsia" w:ascii="仿宋" w:hAnsi="仿宋" w:eastAsia="仿宋" w:cs="仿宋"/>
          <w:color w:val="auto"/>
          <w:szCs w:val="21"/>
          <w:highlight w:val="none"/>
        </w:rPr>
      </w:pPr>
      <w:bookmarkStart w:id="922" w:name="_Toc296891033"/>
      <w:bookmarkStart w:id="923" w:name="_Toc292559410"/>
      <w:bookmarkStart w:id="924" w:name="_Toc296503205"/>
      <w:bookmarkStart w:id="925" w:name="_Toc296891245"/>
      <w:bookmarkStart w:id="926" w:name="_Toc297120505"/>
      <w:bookmarkStart w:id="927" w:name="_Toc297048391"/>
      <w:bookmarkStart w:id="928" w:name="_Toc296347204"/>
      <w:bookmarkStart w:id="929" w:name="_Toc296944544"/>
      <w:bookmarkStart w:id="930" w:name="_Toc296346706"/>
      <w:bookmarkStart w:id="931" w:name="_Toc292559915"/>
      <w:bookmarkStart w:id="932" w:name="_Toc371946147"/>
      <w:bookmarkStart w:id="933" w:name="_Toc304295579"/>
      <w:bookmarkStart w:id="934" w:name="_Toc312678040"/>
      <w:bookmarkStart w:id="935" w:name="_Toc303539159"/>
      <w:bookmarkStart w:id="936" w:name="_Toc300935002"/>
      <w:bookmarkStart w:id="937" w:name="_Toc297216211"/>
      <w:bookmarkStart w:id="938" w:name="_Toc297123552"/>
      <w:r>
        <w:rPr>
          <w:rFonts w:hint="eastAsia" w:ascii="仿宋" w:hAnsi="仿宋" w:eastAsia="仿宋" w:cs="仿宋"/>
          <w:color w:val="auto"/>
          <w:szCs w:val="21"/>
          <w:highlight w:val="none"/>
        </w:rPr>
        <w:t>（2）价格调整方法</w:t>
      </w:r>
    </w:p>
    <w:p w14:paraId="558EB08E">
      <w:pPr>
        <w:spacing w:line="360" w:lineRule="auto"/>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①当承包人投标报价中可调价材料的价格低于基准价： 施工期间可调价材料的价格上涨，其涨幅以基准价为基础超过合同约定的风险幅度值时，或可调价材料价格下跌，其跌幅以投标报价为基础超过合同约定的风险幅度值时，其超过部分按实调整。  </w:t>
      </w:r>
    </w:p>
    <w:p w14:paraId="4B7011F0">
      <w:pPr>
        <w:spacing w:line="360" w:lineRule="auto"/>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②当承包人投标报价中可调价材料的价格高于基准价：施工期间可调价材料的价格下跌，其跌幅以基准价为基础超过合同约定的风险幅度值时，或可调价材料价格上涨，其涨幅以投标报价为基础超过合同约定的风险幅度值时，其超过部分按实调整。  </w:t>
      </w:r>
    </w:p>
    <w:p w14:paraId="1F52B194">
      <w:pPr>
        <w:spacing w:line="360" w:lineRule="auto"/>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③当承包人投标报价中可调价材料的价格等于基准价：施工期间可调价材料价格的涨、跌幅以基准价为基础超过合同约定的风险幅度值时，其超过部分按实调整。</w:t>
      </w:r>
    </w:p>
    <w:p w14:paraId="0B05FE55">
      <w:pPr>
        <w:spacing w:line="360" w:lineRule="auto"/>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施工期间可调材料价格依据《成都市工程造价信息》发布的价格信息确定，《成都市工程造价信息》未发布价格信息的由甲方和乙方通过市场调查确定其价格。</w:t>
      </w:r>
    </w:p>
    <w:p w14:paraId="4A3A2845">
      <w:pPr>
        <w:spacing w:line="360" w:lineRule="auto"/>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与经批准的计划相比，乙方工程进度滞后导致材料价格调增的，不予调整；导致材料价格调减的，将予以调减。</w:t>
      </w:r>
    </w:p>
    <w:p w14:paraId="15146F2B">
      <w:pPr>
        <w:spacing w:line="360" w:lineRule="auto"/>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（3）调整范围</w:t>
      </w:r>
    </w:p>
    <w:p w14:paraId="2A647175">
      <w:pPr>
        <w:snapToGrid w:val="0"/>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双方约定的可调材料为：</w:t>
      </w:r>
      <w:r>
        <w:rPr>
          <w:rFonts w:hint="eastAsia" w:ascii="仿宋" w:hAnsi="仿宋" w:eastAsia="仿宋" w:cs="仿宋"/>
          <w:b/>
          <w:bCs/>
          <w:color w:val="auto"/>
          <w:szCs w:val="21"/>
          <w:highlight w:val="none"/>
          <w:u w:val="single"/>
        </w:rPr>
        <w:t>钢材和水泥，风险幅度为±3%；电缆、管材、燃油、沥青及地材（砂、卵石、碎石、片石、块石、），风险幅度为±5%；其他材料不作调整</w:t>
      </w:r>
      <w:r>
        <w:rPr>
          <w:rFonts w:hint="eastAsia" w:ascii="仿宋" w:hAnsi="仿宋" w:eastAsia="仿宋" w:cs="仿宋"/>
          <w:color w:val="auto"/>
          <w:szCs w:val="21"/>
          <w:highlight w:val="none"/>
        </w:rPr>
        <w:t>。可调价材料的采购时间及可调整量：钢材及砼以隐蔽验收记录为准，其余材料以发包人、造价咨询人、监理人核定的当月计量支付的工程量和时间为准。</w:t>
      </w:r>
    </w:p>
    <w:p w14:paraId="1231C96E">
      <w:pPr>
        <w:snapToGrid w:val="0"/>
        <w:spacing w:line="360" w:lineRule="auto"/>
        <w:ind w:firstLine="420" w:firstLineChars="20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第3种方式：价格不进行调整。</w:t>
      </w:r>
    </w:p>
    <w:p w14:paraId="36A000E0">
      <w:pPr>
        <w:spacing w:line="360" w:lineRule="auto"/>
        <w:ind w:firstLine="210" w:firstLineChars="100"/>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 xml:space="preserve"> 11.2政策性人工费调整：</w:t>
      </w:r>
      <w:r>
        <w:rPr>
          <w:rFonts w:hint="eastAsia" w:ascii="仿宋" w:hAnsi="仿宋" w:eastAsia="仿宋" w:cs="仿宋"/>
          <w:b/>
          <w:color w:val="auto"/>
          <w:szCs w:val="21"/>
          <w:highlight w:val="none"/>
          <w:u w:val="single"/>
        </w:rPr>
        <w:t>招标文件中明确的施工期间内，若行政主管部门发布新的人工费政策性调整文件，按新的政策性调整文件进行调整，按以下调整原则执行</w:t>
      </w:r>
      <w:r>
        <w:rPr>
          <w:rFonts w:hint="eastAsia" w:ascii="仿宋" w:hAnsi="仿宋" w:eastAsia="仿宋" w:cs="仿宋"/>
          <w:b/>
          <w:color w:val="auto"/>
          <w:szCs w:val="21"/>
          <w:highlight w:val="none"/>
        </w:rPr>
        <w:t>。</w:t>
      </w:r>
    </w:p>
    <w:p w14:paraId="67100E0B">
      <w:pPr>
        <w:spacing w:line="360" w:lineRule="auto"/>
        <w:ind w:firstLine="315"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从招标工程招标基准日（施工招标投标截止日前28天）到工程竣工期间政策人工费标准有调整的，调整人工费差额。投标人在投标报价中人工费低于或等于招标基准日人工费规定标准（基准人工费）的，按施工期政策性调整后的人工费减招标期基准人工费调差；投标报价中人工费高于招标期基准人工费的，调整施工期人工费与投标报价人工费之差。</w:t>
      </w:r>
    </w:p>
    <w:p w14:paraId="4FA64CE3">
      <w:pPr>
        <w:spacing w:line="360" w:lineRule="auto"/>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11.3安全文明施工费及规费。安全文明施工费按照川建发[2017]5号文《四川省住房和城乡建设厅关于印发（四川省建设工程安全文明施工费计价管理办法）的通知》的规定。川建造价发[2019]160号文《四川省住房和城乡建设厅关于调增工程施工扬尘污染防治费等安全文明施工费计取标准的通知》规定计取；规费按2020年《四川省建设工程工程量清单计价定额》建筑安装工程费用说明“规费费率计取表”中规定费率计取，附加税按0.216%计取。（施工期间有最新相关规定的，从其规定）</w:t>
      </w:r>
    </w:p>
    <w:p w14:paraId="3D3F358B">
      <w:pPr>
        <w:spacing w:line="360" w:lineRule="auto"/>
        <w:ind w:firstLine="211" w:firstLineChars="1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 xml:space="preserve">12. </w:t>
      </w:r>
      <w:bookmarkEnd w:id="922"/>
      <w:bookmarkEnd w:id="923"/>
      <w:bookmarkEnd w:id="924"/>
      <w:bookmarkEnd w:id="925"/>
      <w:bookmarkEnd w:id="926"/>
      <w:bookmarkEnd w:id="927"/>
      <w:bookmarkEnd w:id="928"/>
      <w:bookmarkEnd w:id="929"/>
      <w:bookmarkEnd w:id="930"/>
      <w:bookmarkEnd w:id="931"/>
      <w:r>
        <w:rPr>
          <w:rFonts w:hint="eastAsia" w:ascii="仿宋" w:hAnsi="仿宋" w:eastAsia="仿宋" w:cs="仿宋"/>
          <w:b/>
          <w:color w:val="auto"/>
          <w:szCs w:val="21"/>
          <w:highlight w:val="none"/>
        </w:rPr>
        <w:t>合同价格、计量与支付</w:t>
      </w:r>
      <w:bookmarkEnd w:id="932"/>
    </w:p>
    <w:bookmarkEnd w:id="933"/>
    <w:bookmarkEnd w:id="934"/>
    <w:bookmarkEnd w:id="935"/>
    <w:bookmarkEnd w:id="936"/>
    <w:bookmarkEnd w:id="937"/>
    <w:bookmarkEnd w:id="938"/>
    <w:p w14:paraId="007571E9">
      <w:pPr>
        <w:spacing w:after="0" w:line="360" w:lineRule="auto"/>
        <w:ind w:firstLine="420" w:firstLineChars="200"/>
        <w:rPr>
          <w:rFonts w:hint="eastAsia" w:ascii="仿宋" w:hAnsi="仿宋" w:eastAsia="仿宋" w:cs="仿宋"/>
          <w:color w:val="auto"/>
          <w:szCs w:val="21"/>
          <w:highlight w:val="none"/>
        </w:rPr>
      </w:pPr>
      <w:bookmarkStart w:id="939" w:name="_Toc292559411"/>
      <w:bookmarkStart w:id="940" w:name="_Toc267251461"/>
      <w:bookmarkStart w:id="941" w:name="_Toc292559916"/>
      <w:bookmarkStart w:id="942" w:name="_Toc297120506"/>
      <w:bookmarkStart w:id="943" w:name="_Toc296346707"/>
      <w:bookmarkStart w:id="944" w:name="_Toc296891246"/>
      <w:bookmarkStart w:id="945" w:name="_Toc297048392"/>
      <w:bookmarkStart w:id="946" w:name="_Toc296347205"/>
      <w:bookmarkStart w:id="947" w:name="_Toc296503206"/>
      <w:bookmarkStart w:id="948" w:name="_Toc296944545"/>
      <w:bookmarkStart w:id="949" w:name="_Toc296891034"/>
      <w:bookmarkStart w:id="950" w:name="_Toc297123553"/>
      <w:bookmarkStart w:id="951" w:name="_Toc297216212"/>
      <w:bookmarkStart w:id="952" w:name="_Toc303539160"/>
      <w:bookmarkStart w:id="953" w:name="_Toc304295580"/>
      <w:bookmarkStart w:id="954" w:name="_Toc312678041"/>
      <w:bookmarkStart w:id="955" w:name="_Toc300935003"/>
      <w:r>
        <w:rPr>
          <w:rFonts w:hint="eastAsia" w:ascii="仿宋" w:hAnsi="仿宋" w:eastAsia="仿宋" w:cs="仿宋"/>
          <w:color w:val="auto"/>
          <w:szCs w:val="21"/>
          <w:highlight w:val="none"/>
        </w:rPr>
        <w:t>12.1 合</w:t>
      </w:r>
      <w:bookmarkEnd w:id="939"/>
      <w:bookmarkEnd w:id="940"/>
      <w:bookmarkEnd w:id="941"/>
      <w:r>
        <w:rPr>
          <w:rFonts w:hint="eastAsia" w:ascii="仿宋" w:hAnsi="仿宋" w:eastAsia="仿宋" w:cs="仿宋"/>
          <w:color w:val="auto"/>
          <w:szCs w:val="21"/>
          <w:highlight w:val="none"/>
        </w:rPr>
        <w:t>同价</w:t>
      </w:r>
      <w:bookmarkEnd w:id="942"/>
      <w:bookmarkEnd w:id="943"/>
      <w:bookmarkEnd w:id="944"/>
      <w:bookmarkEnd w:id="945"/>
      <w:bookmarkEnd w:id="946"/>
      <w:bookmarkEnd w:id="947"/>
      <w:bookmarkEnd w:id="948"/>
      <w:bookmarkEnd w:id="949"/>
      <w:r>
        <w:rPr>
          <w:rFonts w:hint="eastAsia" w:ascii="仿宋" w:hAnsi="仿宋" w:eastAsia="仿宋" w:cs="仿宋"/>
          <w:color w:val="auto"/>
          <w:szCs w:val="21"/>
          <w:highlight w:val="none"/>
        </w:rPr>
        <w:t>格形式</w:t>
      </w:r>
    </w:p>
    <w:bookmarkEnd w:id="950"/>
    <w:bookmarkEnd w:id="951"/>
    <w:bookmarkEnd w:id="952"/>
    <w:bookmarkEnd w:id="953"/>
    <w:bookmarkEnd w:id="954"/>
    <w:bookmarkEnd w:id="955"/>
    <w:p w14:paraId="003815A0">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1、单价合同。</w:t>
      </w:r>
    </w:p>
    <w:p w14:paraId="1089E6BC">
      <w:pPr>
        <w:spacing w:line="360" w:lineRule="auto"/>
        <w:ind w:firstLine="422" w:firstLineChars="200"/>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以下风险由承包人自行承担，承包人的合同义务不作任何调整：</w:t>
      </w:r>
    </w:p>
    <w:p w14:paraId="61EDED7D">
      <w:pPr>
        <w:spacing w:line="360" w:lineRule="auto"/>
        <w:ind w:left="0"/>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（1）因市场波动而引起的材料和工程设备价格、机械使用费价格波动的风险</w:t>
      </w:r>
      <w:r>
        <w:rPr>
          <w:rFonts w:hint="eastAsia" w:ascii="仿宋" w:hAnsi="仿宋" w:eastAsia="仿宋" w:cs="仿宋"/>
          <w:color w:val="auto"/>
          <w:szCs w:val="21"/>
          <w:highlight w:val="none"/>
        </w:rPr>
        <w:t>；</w:t>
      </w:r>
    </w:p>
    <w:p w14:paraId="5C6EC3B4">
      <w:pPr>
        <w:spacing w:line="360" w:lineRule="auto"/>
        <w:ind w:left="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（2）发包人提供的工程量清单特征描述与设计文件不符或矛盾的风险；</w:t>
      </w:r>
    </w:p>
    <w:p w14:paraId="65DB56FB">
      <w:pPr>
        <w:spacing w:line="360" w:lineRule="auto"/>
        <w:ind w:left="0" w:leftChars="0" w:firstLine="310" w:firstLineChars="147"/>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（3）因设计变更（新增或取消某项独立的单位工程除外）引起施工方案改变或措施项目发生变化的风险；</w:t>
      </w:r>
    </w:p>
    <w:p w14:paraId="69BFCBF6">
      <w:pPr>
        <w:spacing w:line="360" w:lineRule="auto"/>
        <w:ind w:left="0" w:leftChars="0" w:firstLine="310" w:firstLineChars="147"/>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（4）招标文件、工程量清单和合同中所有明示和暗示应当由承包人承担的其他风险</w:t>
      </w:r>
      <w:r>
        <w:rPr>
          <w:rFonts w:hint="eastAsia" w:ascii="仿宋" w:hAnsi="仿宋" w:eastAsia="仿宋" w:cs="仿宋"/>
          <w:color w:val="auto"/>
          <w:szCs w:val="21"/>
          <w:highlight w:val="none"/>
        </w:rPr>
        <w:t>。</w:t>
      </w:r>
    </w:p>
    <w:p w14:paraId="4A3C39D0">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风险费用的计算方法：</w:t>
      </w:r>
      <w:r>
        <w:rPr>
          <w:rFonts w:hint="eastAsia" w:ascii="仿宋" w:hAnsi="仿宋" w:eastAsia="仿宋" w:cs="仿宋"/>
          <w:b/>
          <w:color w:val="auto"/>
          <w:szCs w:val="21"/>
          <w:highlight w:val="none"/>
          <w:u w:val="single"/>
        </w:rPr>
        <w:t>综合单价按照专用合同条款第11项约定作调整。措施费中承包人未列或发包人给出但承包人未报价的项目，视为该项措施费已包含在其他项目报价中，合同履行期间不作调整</w:t>
      </w:r>
      <w:r>
        <w:rPr>
          <w:rFonts w:hint="eastAsia" w:ascii="仿宋" w:hAnsi="仿宋" w:eastAsia="仿宋" w:cs="仿宋"/>
          <w:color w:val="auto"/>
          <w:szCs w:val="21"/>
          <w:highlight w:val="none"/>
        </w:rPr>
        <w:t>。</w:t>
      </w:r>
    </w:p>
    <w:p w14:paraId="52318F59">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风险范围以外合同价格的调整方法：</w:t>
      </w:r>
      <w:r>
        <w:rPr>
          <w:rFonts w:hint="eastAsia" w:ascii="仿宋" w:hAnsi="仿宋" w:eastAsia="仿宋" w:cs="仿宋"/>
          <w:b/>
          <w:color w:val="auto"/>
          <w:szCs w:val="21"/>
          <w:highlight w:val="none"/>
          <w:u w:val="single"/>
        </w:rPr>
        <w:t>因设计变更引起的价格调整，按照专用合同条款第10.4.1项的约定执行</w:t>
      </w:r>
      <w:r>
        <w:rPr>
          <w:rFonts w:hint="eastAsia" w:ascii="仿宋" w:hAnsi="仿宋" w:eastAsia="仿宋" w:cs="仿宋"/>
          <w:color w:val="auto"/>
          <w:szCs w:val="21"/>
          <w:highlight w:val="none"/>
        </w:rPr>
        <w:t>。</w:t>
      </w:r>
    </w:p>
    <w:p w14:paraId="36D981A4">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2、总价合同。</w:t>
      </w:r>
    </w:p>
    <w:p w14:paraId="31BDD6C9">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总价包含的风险范围：</w:t>
      </w:r>
      <w:r>
        <w:rPr>
          <w:rFonts w:hint="eastAsia" w:ascii="仿宋" w:hAnsi="仿宋" w:eastAsia="仿宋" w:cs="仿宋"/>
          <w:color w:val="auto"/>
          <w:szCs w:val="21"/>
          <w:highlight w:val="none"/>
          <w:u w:val="single"/>
        </w:rPr>
        <w:t>/</w:t>
      </w:r>
      <w:r>
        <w:rPr>
          <w:rFonts w:hint="eastAsia" w:ascii="仿宋" w:hAnsi="仿宋" w:eastAsia="仿宋" w:cs="仿宋"/>
          <w:color w:val="auto"/>
          <w:szCs w:val="21"/>
          <w:highlight w:val="none"/>
        </w:rPr>
        <w:t>。</w:t>
      </w:r>
    </w:p>
    <w:p w14:paraId="0903A85F">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风险费用的计算方法：</w:t>
      </w:r>
      <w:r>
        <w:rPr>
          <w:rFonts w:hint="eastAsia" w:ascii="仿宋" w:hAnsi="仿宋" w:eastAsia="仿宋" w:cs="仿宋"/>
          <w:color w:val="auto"/>
          <w:szCs w:val="21"/>
          <w:highlight w:val="none"/>
          <w:u w:val="single"/>
        </w:rPr>
        <w:t>/</w:t>
      </w:r>
      <w:r>
        <w:rPr>
          <w:rFonts w:hint="eastAsia" w:ascii="仿宋" w:hAnsi="仿宋" w:eastAsia="仿宋" w:cs="仿宋"/>
          <w:color w:val="auto"/>
          <w:szCs w:val="21"/>
          <w:highlight w:val="none"/>
        </w:rPr>
        <w:t>。</w:t>
      </w:r>
    </w:p>
    <w:p w14:paraId="0136A00D">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风险范围以外合同价格的调整方法： </w:t>
      </w:r>
      <w:r>
        <w:rPr>
          <w:rFonts w:hint="eastAsia" w:ascii="仿宋" w:hAnsi="仿宋" w:eastAsia="仿宋" w:cs="仿宋"/>
          <w:color w:val="auto"/>
          <w:szCs w:val="21"/>
          <w:highlight w:val="none"/>
          <w:u w:val="single"/>
        </w:rPr>
        <w:t>/</w:t>
      </w:r>
      <w:r>
        <w:rPr>
          <w:rFonts w:hint="eastAsia" w:ascii="仿宋" w:hAnsi="仿宋" w:eastAsia="仿宋" w:cs="仿宋"/>
          <w:color w:val="auto"/>
          <w:szCs w:val="21"/>
          <w:highlight w:val="none"/>
        </w:rPr>
        <w:t>。</w:t>
      </w:r>
    </w:p>
    <w:p w14:paraId="2906439F">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3、其他价格方式：</w:t>
      </w:r>
      <w:r>
        <w:rPr>
          <w:rFonts w:hint="eastAsia" w:ascii="仿宋" w:hAnsi="仿宋" w:eastAsia="仿宋" w:cs="仿宋"/>
          <w:color w:val="auto"/>
          <w:szCs w:val="21"/>
          <w:highlight w:val="none"/>
          <w:u w:val="single"/>
        </w:rPr>
        <w:t>/</w:t>
      </w:r>
      <w:r>
        <w:rPr>
          <w:rFonts w:hint="eastAsia" w:ascii="仿宋" w:hAnsi="仿宋" w:eastAsia="仿宋" w:cs="仿宋"/>
          <w:color w:val="auto"/>
          <w:szCs w:val="21"/>
          <w:highlight w:val="none"/>
        </w:rPr>
        <w:t>。</w:t>
      </w:r>
    </w:p>
    <w:p w14:paraId="3E7271B7">
      <w:pPr>
        <w:spacing w:line="360" w:lineRule="auto"/>
        <w:ind w:firstLine="420" w:firstLineChars="200"/>
        <w:rPr>
          <w:rFonts w:hint="eastAsia" w:ascii="仿宋" w:hAnsi="仿宋" w:eastAsia="仿宋" w:cs="仿宋"/>
          <w:color w:val="auto"/>
          <w:szCs w:val="21"/>
          <w:highlight w:val="none"/>
          <w:lang w:eastAsia="zh-CN"/>
        </w:rPr>
      </w:pPr>
      <w:bookmarkStart w:id="956" w:name="_Toc300935004"/>
      <w:bookmarkStart w:id="957" w:name="_Toc303539161"/>
      <w:bookmarkStart w:id="958" w:name="_Toc304295581"/>
      <w:bookmarkStart w:id="959" w:name="_Toc312678042"/>
      <w:bookmarkStart w:id="960" w:name="_Toc297123554"/>
      <w:bookmarkStart w:id="961" w:name="_Toc297216213"/>
      <w:bookmarkStart w:id="962" w:name="_Toc296346708"/>
      <w:bookmarkStart w:id="963" w:name="_Toc297120507"/>
      <w:bookmarkStart w:id="964" w:name="_Toc296347206"/>
      <w:bookmarkStart w:id="965" w:name="_Toc292559917"/>
      <w:bookmarkStart w:id="966" w:name="_Toc296891247"/>
      <w:bookmarkStart w:id="967" w:name="_Toc296891035"/>
      <w:bookmarkStart w:id="968" w:name="_Toc297048393"/>
      <w:bookmarkStart w:id="969" w:name="_Toc296503207"/>
      <w:bookmarkStart w:id="970" w:name="_Toc296944546"/>
      <w:bookmarkStart w:id="971" w:name="_Toc292559412"/>
      <w:r>
        <w:rPr>
          <w:rFonts w:hint="eastAsia" w:ascii="仿宋" w:hAnsi="仿宋" w:eastAsia="仿宋" w:cs="仿宋"/>
          <w:color w:val="auto"/>
          <w:szCs w:val="21"/>
          <w:highlight w:val="none"/>
        </w:rPr>
        <w:t>12.2 预付款</w:t>
      </w:r>
      <w:r>
        <w:rPr>
          <w:rFonts w:hint="eastAsia" w:ascii="仿宋" w:hAnsi="仿宋" w:eastAsia="仿宋" w:cs="仿宋"/>
          <w:color w:val="auto"/>
          <w:szCs w:val="21"/>
          <w:highlight w:val="none"/>
          <w:lang w:eastAsia="zh-CN"/>
        </w:rPr>
        <w:t>：</w:t>
      </w:r>
      <w:bookmarkEnd w:id="956"/>
      <w:bookmarkEnd w:id="957"/>
      <w:bookmarkEnd w:id="958"/>
      <w:bookmarkEnd w:id="959"/>
      <w:bookmarkEnd w:id="960"/>
      <w:bookmarkEnd w:id="961"/>
      <w:r>
        <w:rPr>
          <w:rFonts w:hint="eastAsia" w:ascii="仿宋" w:hAnsi="仿宋" w:eastAsia="仿宋" w:cs="仿宋"/>
          <w:color w:val="auto"/>
          <w:szCs w:val="21"/>
          <w:highlight w:val="none"/>
          <w:lang w:eastAsia="zh-CN"/>
        </w:rPr>
        <w:t>本项目</w:t>
      </w:r>
      <w:r>
        <w:rPr>
          <w:rFonts w:hint="eastAsia" w:ascii="仿宋" w:hAnsi="仿宋" w:eastAsia="仿宋" w:cs="仿宋"/>
          <w:color w:val="auto"/>
          <w:szCs w:val="21"/>
          <w:highlight w:val="none"/>
          <w:lang w:val="en-US" w:eastAsia="zh-CN"/>
        </w:rPr>
        <w:t>无预付款</w:t>
      </w:r>
      <w:r>
        <w:rPr>
          <w:rFonts w:hint="eastAsia" w:ascii="仿宋" w:hAnsi="仿宋" w:eastAsia="仿宋" w:cs="仿宋"/>
          <w:color w:val="auto"/>
          <w:szCs w:val="21"/>
          <w:highlight w:val="none"/>
          <w:lang w:eastAsia="zh-CN"/>
        </w:rPr>
        <w:t xml:space="preserve"> 。</w:t>
      </w:r>
    </w:p>
    <w:p w14:paraId="5A3B004A">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12.2.2 预付款担保</w:t>
      </w:r>
    </w:p>
    <w:p w14:paraId="72E31A2E">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承包人提交预付款担保的期限：</w:t>
      </w:r>
      <w:r>
        <w:rPr>
          <w:rFonts w:hint="eastAsia" w:ascii="仿宋" w:hAnsi="仿宋" w:eastAsia="仿宋" w:cs="仿宋"/>
          <w:color w:val="auto"/>
          <w:szCs w:val="21"/>
          <w:highlight w:val="none"/>
          <w:u w:val="single"/>
        </w:rPr>
        <w:t>/</w:t>
      </w:r>
      <w:r>
        <w:rPr>
          <w:rFonts w:hint="eastAsia" w:ascii="仿宋" w:hAnsi="仿宋" w:eastAsia="仿宋" w:cs="仿宋"/>
          <w:color w:val="auto"/>
          <w:szCs w:val="21"/>
          <w:highlight w:val="none"/>
        </w:rPr>
        <w:t>。</w:t>
      </w:r>
    </w:p>
    <w:p w14:paraId="234B72F4">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预付款担保的形式为：</w:t>
      </w:r>
      <w:r>
        <w:rPr>
          <w:rFonts w:hint="eastAsia" w:ascii="仿宋" w:hAnsi="仿宋" w:eastAsia="仿宋" w:cs="仿宋"/>
          <w:color w:val="auto"/>
          <w:szCs w:val="21"/>
          <w:highlight w:val="none"/>
          <w:u w:val="single"/>
        </w:rPr>
        <w:t>/</w:t>
      </w:r>
      <w:r>
        <w:rPr>
          <w:rFonts w:hint="eastAsia" w:ascii="仿宋" w:hAnsi="仿宋" w:eastAsia="仿宋" w:cs="仿宋"/>
          <w:color w:val="auto"/>
          <w:szCs w:val="21"/>
          <w:highlight w:val="none"/>
        </w:rPr>
        <w:t>。</w:t>
      </w:r>
    </w:p>
    <w:bookmarkEnd w:id="962"/>
    <w:bookmarkEnd w:id="963"/>
    <w:bookmarkEnd w:id="964"/>
    <w:bookmarkEnd w:id="965"/>
    <w:bookmarkEnd w:id="966"/>
    <w:bookmarkEnd w:id="967"/>
    <w:bookmarkEnd w:id="968"/>
    <w:bookmarkEnd w:id="969"/>
    <w:bookmarkEnd w:id="970"/>
    <w:bookmarkEnd w:id="971"/>
    <w:p w14:paraId="687E40C3">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12.3 计量</w:t>
      </w:r>
    </w:p>
    <w:p w14:paraId="485C4C93">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12.3.1 计量原则</w:t>
      </w:r>
    </w:p>
    <w:p w14:paraId="7A49803B">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工程量计算规则：</w:t>
      </w:r>
      <w:r>
        <w:rPr>
          <w:rFonts w:hint="eastAsia" w:ascii="仿宋" w:hAnsi="仿宋" w:eastAsia="仿宋" w:cs="仿宋"/>
          <w:color w:val="auto"/>
          <w:szCs w:val="21"/>
          <w:highlight w:val="none"/>
          <w:u w:val="single"/>
        </w:rPr>
        <w:t xml:space="preserve"> </w:t>
      </w:r>
      <w:r>
        <w:rPr>
          <w:rFonts w:hint="eastAsia" w:ascii="仿宋" w:hAnsi="仿宋" w:eastAsia="仿宋" w:cs="仿宋"/>
          <w:b/>
          <w:color w:val="auto"/>
          <w:szCs w:val="21"/>
          <w:highlight w:val="none"/>
          <w:u w:val="single"/>
        </w:rPr>
        <w:t>按照2013版《建设工程工程量清单计价规范》（GB50500-2013）、2020年《四川省建设工程工程量清单计价定额》及相关配套文件规定的工程量计算规则计算</w:t>
      </w:r>
      <w:r>
        <w:rPr>
          <w:rFonts w:hint="eastAsia" w:ascii="仿宋" w:hAnsi="仿宋" w:eastAsia="仿宋" w:cs="仿宋"/>
          <w:color w:val="auto"/>
          <w:szCs w:val="21"/>
          <w:highlight w:val="none"/>
        </w:rPr>
        <w:t>。</w:t>
      </w:r>
    </w:p>
    <w:p w14:paraId="052477D5">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12.3.2 计量周期</w:t>
      </w:r>
    </w:p>
    <w:p w14:paraId="72A45FD5">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关于计量周期的约定：</w:t>
      </w:r>
      <w:r>
        <w:rPr>
          <w:rFonts w:hint="eastAsia" w:ascii="仿宋" w:hAnsi="仿宋" w:eastAsia="仿宋" w:cs="仿宋"/>
          <w:b/>
          <w:color w:val="auto"/>
          <w:szCs w:val="21"/>
          <w:highlight w:val="none"/>
          <w:u w:val="single"/>
        </w:rPr>
        <w:t>按月计量</w:t>
      </w:r>
      <w:r>
        <w:rPr>
          <w:rFonts w:hint="eastAsia" w:ascii="仿宋" w:hAnsi="仿宋" w:eastAsia="仿宋" w:cs="仿宋"/>
          <w:color w:val="auto"/>
          <w:szCs w:val="21"/>
          <w:highlight w:val="none"/>
        </w:rPr>
        <w:t>。</w:t>
      </w:r>
    </w:p>
    <w:p w14:paraId="0ED58875">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12.3.3 单价合同的计量</w:t>
      </w:r>
    </w:p>
    <w:p w14:paraId="522A4100">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关于单价合同计量的约定：</w:t>
      </w:r>
    </w:p>
    <w:p w14:paraId="64089B61">
      <w:pPr>
        <w:spacing w:line="360" w:lineRule="auto"/>
        <w:ind w:firstLine="422" w:firstLineChars="200"/>
        <w:rPr>
          <w:rFonts w:hint="eastAsia" w:ascii="仿宋" w:hAnsi="仿宋" w:eastAsia="仿宋" w:cs="仿宋"/>
          <w:color w:val="auto"/>
          <w:szCs w:val="21"/>
          <w:highlight w:val="none"/>
          <w:u w:val="single"/>
        </w:rPr>
      </w:pPr>
      <w:r>
        <w:rPr>
          <w:rFonts w:hint="eastAsia" w:ascii="仿宋" w:hAnsi="仿宋" w:eastAsia="仿宋" w:cs="仿宋"/>
          <w:b/>
          <w:color w:val="auto"/>
          <w:szCs w:val="21"/>
          <w:highlight w:val="none"/>
        </w:rPr>
        <w:t>（</w:t>
      </w:r>
      <w:r>
        <w:rPr>
          <w:rFonts w:hint="eastAsia" w:ascii="仿宋" w:hAnsi="仿宋" w:eastAsia="仿宋" w:cs="仿宋"/>
          <w:b/>
          <w:color w:val="auto"/>
          <w:szCs w:val="21"/>
          <w:highlight w:val="none"/>
          <w:u w:val="single"/>
        </w:rPr>
        <w:t>1）承包人应于每月25日向监理人报送上月20日至当月19日已完成的工程量报告，并附已完成工程量报表和有关资料</w:t>
      </w:r>
      <w:r>
        <w:rPr>
          <w:rFonts w:hint="eastAsia" w:ascii="仿宋" w:hAnsi="仿宋" w:eastAsia="仿宋" w:cs="仿宋"/>
          <w:color w:val="auto"/>
          <w:szCs w:val="21"/>
          <w:highlight w:val="none"/>
          <w:u w:val="single"/>
        </w:rPr>
        <w:t>。</w:t>
      </w:r>
    </w:p>
    <w:p w14:paraId="02604829">
      <w:pPr>
        <w:spacing w:line="360" w:lineRule="auto"/>
        <w:ind w:firstLine="422" w:firstLineChars="200"/>
        <w:rPr>
          <w:rFonts w:hint="eastAsia" w:ascii="仿宋" w:hAnsi="仿宋" w:eastAsia="仿宋" w:cs="仿宋"/>
          <w:color w:val="auto"/>
          <w:szCs w:val="21"/>
          <w:highlight w:val="none"/>
          <w:u w:val="single"/>
        </w:rPr>
      </w:pPr>
      <w:r>
        <w:rPr>
          <w:rFonts w:hint="eastAsia" w:ascii="仿宋" w:hAnsi="仿宋" w:eastAsia="仿宋" w:cs="仿宋"/>
          <w:b/>
          <w:color w:val="auto"/>
          <w:szCs w:val="21"/>
          <w:highlight w:val="none"/>
          <w:u w:val="singl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r>
        <w:rPr>
          <w:rFonts w:hint="eastAsia" w:ascii="仿宋" w:hAnsi="仿宋" w:eastAsia="仿宋" w:cs="仿宋"/>
          <w:color w:val="auto"/>
          <w:szCs w:val="21"/>
          <w:highlight w:val="none"/>
          <w:u w:val="single"/>
        </w:rPr>
        <w:t>。</w:t>
      </w:r>
    </w:p>
    <w:p w14:paraId="28C52F2E">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12.3.4 总价合同的计量</w:t>
      </w:r>
    </w:p>
    <w:p w14:paraId="0DB63F57">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关于总价合同计量的约定：</w:t>
      </w:r>
      <w:r>
        <w:rPr>
          <w:rFonts w:hint="eastAsia" w:ascii="仿宋" w:hAnsi="仿宋" w:eastAsia="仿宋" w:cs="仿宋"/>
          <w:color w:val="auto"/>
          <w:szCs w:val="21"/>
          <w:highlight w:val="none"/>
          <w:u w:val="single"/>
        </w:rPr>
        <w:t>/</w:t>
      </w:r>
      <w:r>
        <w:rPr>
          <w:rFonts w:hint="eastAsia" w:ascii="仿宋" w:hAnsi="仿宋" w:eastAsia="仿宋" w:cs="仿宋"/>
          <w:color w:val="auto"/>
          <w:szCs w:val="21"/>
          <w:highlight w:val="none"/>
        </w:rPr>
        <w:t>。</w:t>
      </w:r>
    </w:p>
    <w:p w14:paraId="55D5DC79">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12.3.5总价合同采用支付分解表计量支付的，是否适用第12.3.4 项〔总价合同的计量〕约定进行计量：</w:t>
      </w:r>
      <w:r>
        <w:rPr>
          <w:rFonts w:hint="eastAsia" w:ascii="仿宋" w:hAnsi="仿宋" w:eastAsia="仿宋" w:cs="仿宋"/>
          <w:color w:val="auto"/>
          <w:szCs w:val="21"/>
          <w:highlight w:val="none"/>
          <w:u w:val="single"/>
        </w:rPr>
        <w:t>/</w:t>
      </w:r>
      <w:r>
        <w:rPr>
          <w:rFonts w:hint="eastAsia" w:ascii="仿宋" w:hAnsi="仿宋" w:eastAsia="仿宋" w:cs="仿宋"/>
          <w:color w:val="auto"/>
          <w:szCs w:val="21"/>
          <w:highlight w:val="none"/>
        </w:rPr>
        <w:t>。</w:t>
      </w:r>
    </w:p>
    <w:p w14:paraId="46E83411">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12.3.6 其他价格形式合同的计量</w:t>
      </w:r>
    </w:p>
    <w:p w14:paraId="0B06584F">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其他价格形式的计量方式和程序：</w:t>
      </w:r>
      <w:r>
        <w:rPr>
          <w:rFonts w:hint="eastAsia" w:ascii="仿宋" w:hAnsi="仿宋" w:eastAsia="仿宋" w:cs="仿宋"/>
          <w:color w:val="auto"/>
          <w:szCs w:val="21"/>
          <w:highlight w:val="none"/>
          <w:u w:val="single"/>
        </w:rPr>
        <w:t>/</w:t>
      </w:r>
      <w:r>
        <w:rPr>
          <w:rFonts w:hint="eastAsia" w:ascii="仿宋" w:hAnsi="仿宋" w:eastAsia="仿宋" w:cs="仿宋"/>
          <w:color w:val="auto"/>
          <w:szCs w:val="21"/>
          <w:highlight w:val="none"/>
        </w:rPr>
        <w:t>。</w:t>
      </w:r>
    </w:p>
    <w:p w14:paraId="72720083">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12.4 工程进度款支付</w:t>
      </w:r>
    </w:p>
    <w:p w14:paraId="4F83DF1D">
      <w:pPr>
        <w:spacing w:line="360" w:lineRule="auto"/>
        <w:ind w:firstLine="420" w:firstLineChars="200"/>
        <w:rPr>
          <w:rFonts w:hint="eastAsia" w:ascii="仿宋" w:hAnsi="仿宋" w:eastAsia="仿宋" w:cs="仿宋"/>
          <w:color w:val="auto"/>
          <w:szCs w:val="21"/>
          <w:highlight w:val="none"/>
        </w:rPr>
      </w:pPr>
      <w:bookmarkStart w:id="972" w:name="_Toc292559416"/>
      <w:bookmarkStart w:id="973" w:name="_Toc297048397"/>
      <w:bookmarkStart w:id="974" w:name="_Toc300935006"/>
      <w:bookmarkStart w:id="975" w:name="_Toc296503211"/>
      <w:bookmarkStart w:id="976" w:name="_Toc296347210"/>
      <w:bookmarkStart w:id="977" w:name="_Toc296944550"/>
      <w:bookmarkStart w:id="978" w:name="_Toc292559921"/>
      <w:bookmarkStart w:id="979" w:name="_Toc296891251"/>
      <w:bookmarkStart w:id="980" w:name="_Toc303539163"/>
      <w:bookmarkStart w:id="981" w:name="_Toc296891039"/>
      <w:bookmarkStart w:id="982" w:name="_Toc296346712"/>
      <w:bookmarkStart w:id="983" w:name="_Toc297216215"/>
      <w:bookmarkStart w:id="984" w:name="_Toc297123556"/>
      <w:bookmarkStart w:id="985" w:name="_Toc297120511"/>
      <w:r>
        <w:rPr>
          <w:rFonts w:hint="eastAsia" w:ascii="仿宋" w:hAnsi="仿宋" w:eastAsia="仿宋" w:cs="仿宋"/>
          <w:color w:val="auto"/>
          <w:szCs w:val="21"/>
          <w:highlight w:val="none"/>
        </w:rPr>
        <w:t>12.4.1 付款周期</w:t>
      </w:r>
    </w:p>
    <w:p w14:paraId="360A69B0">
      <w:pPr>
        <w:tabs>
          <w:tab w:val="left" w:pos="5670"/>
        </w:tabs>
        <w:spacing w:line="360" w:lineRule="auto"/>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u w:val="single"/>
        </w:rPr>
        <w:t>施工完成并验收，且经采购人委托的第三方造价咨询机构审核确定付款金额，供应商开具专用发票后30日内支付至审核结算金额的97%，剩余3%转为质量保证金，待工程缺陷期满后无息退还。</w:t>
      </w:r>
      <w:r>
        <w:rPr>
          <w:rFonts w:hint="eastAsia" w:ascii="仿宋" w:hAnsi="仿宋" w:eastAsia="仿宋" w:cs="仿宋"/>
          <w:b/>
          <w:bCs/>
          <w:color w:val="auto"/>
          <w:szCs w:val="21"/>
          <w:highlight w:val="none"/>
        </w:rPr>
        <w:t>承包人应在收款前向发包人提交相应的收款资料和发票</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lang w:val="en-US" w:eastAsia="zh-CN"/>
        </w:rPr>
        <w:t>发票金额应开具至审核结算金额的100%。</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，否则，发包人付款时间顺延且无需就此承担任何责任。</w:t>
      </w:r>
    </w:p>
    <w:p w14:paraId="40E5F48D">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12.4.2 进度付款申请单的编制</w:t>
      </w:r>
    </w:p>
    <w:p w14:paraId="6A69FFF6">
      <w:pPr>
        <w:spacing w:line="360" w:lineRule="auto"/>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关于进度付款申请单编制的约定：</w:t>
      </w:r>
      <w:r>
        <w:rPr>
          <w:rFonts w:hint="eastAsia" w:ascii="仿宋" w:hAnsi="仿宋" w:eastAsia="仿宋" w:cs="仿宋"/>
          <w:b/>
          <w:color w:val="auto"/>
          <w:szCs w:val="21"/>
          <w:highlight w:val="none"/>
          <w:u w:val="single"/>
          <w:lang w:eastAsia="zh-CN"/>
        </w:rPr>
        <w:t>/</w:t>
      </w:r>
    </w:p>
    <w:p w14:paraId="73745A49">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r>
        <w:rPr>
          <w:rFonts w:hint="eastAsia" w:ascii="仿宋" w:hAnsi="仿宋" w:eastAsia="仿宋" w:cs="仿宋"/>
          <w:color w:val="auto"/>
          <w:szCs w:val="21"/>
          <w:highlight w:val="none"/>
        </w:rPr>
        <w:t>2.4.3 进度付款申请单的提交</w:t>
      </w:r>
    </w:p>
    <w:p w14:paraId="39B8523C">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（1）单价合同进度付款申请单提交的约定：</w:t>
      </w:r>
      <w:r>
        <w:rPr>
          <w:rFonts w:hint="eastAsia" w:ascii="仿宋" w:hAnsi="仿宋" w:eastAsia="仿宋" w:cs="仿宋"/>
          <w:b/>
          <w:color w:val="auto"/>
          <w:szCs w:val="21"/>
          <w:highlight w:val="none"/>
          <w:u w:val="single"/>
          <w:lang w:eastAsia="zh-CN"/>
        </w:rPr>
        <w:t>/</w:t>
      </w:r>
      <w:r>
        <w:rPr>
          <w:rFonts w:hint="eastAsia" w:ascii="仿宋" w:hAnsi="仿宋" w:eastAsia="仿宋" w:cs="仿宋"/>
          <w:color w:val="auto"/>
          <w:szCs w:val="21"/>
          <w:highlight w:val="none"/>
        </w:rPr>
        <w:t>。</w:t>
      </w:r>
    </w:p>
    <w:p w14:paraId="05D46496">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（2）总价合同进度付款申请单提交的约定：</w:t>
      </w:r>
      <w:r>
        <w:rPr>
          <w:rFonts w:hint="eastAsia" w:ascii="仿宋" w:hAnsi="仿宋" w:eastAsia="仿宋" w:cs="仿宋"/>
          <w:b/>
          <w:color w:val="auto"/>
          <w:szCs w:val="21"/>
          <w:highlight w:val="none"/>
          <w:u w:val="single"/>
        </w:rPr>
        <w:t>/</w:t>
      </w:r>
      <w:r>
        <w:rPr>
          <w:rFonts w:hint="eastAsia" w:ascii="仿宋" w:hAnsi="仿宋" w:eastAsia="仿宋" w:cs="仿宋"/>
          <w:color w:val="auto"/>
          <w:szCs w:val="21"/>
          <w:highlight w:val="none"/>
        </w:rPr>
        <w:t>。</w:t>
      </w:r>
    </w:p>
    <w:p w14:paraId="4F8A96D9">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（3）其他价格形式合同进度付款申请单提交的约定：</w:t>
      </w:r>
      <w:r>
        <w:rPr>
          <w:rFonts w:hint="eastAsia" w:ascii="仿宋" w:hAnsi="仿宋" w:eastAsia="仿宋" w:cs="仿宋"/>
          <w:b/>
          <w:color w:val="auto"/>
          <w:szCs w:val="21"/>
          <w:highlight w:val="none"/>
          <w:u w:val="single"/>
        </w:rPr>
        <w:t>/</w:t>
      </w:r>
      <w:r>
        <w:rPr>
          <w:rFonts w:hint="eastAsia" w:ascii="仿宋" w:hAnsi="仿宋" w:eastAsia="仿宋" w:cs="仿宋"/>
          <w:color w:val="auto"/>
          <w:szCs w:val="21"/>
          <w:highlight w:val="none"/>
        </w:rPr>
        <w:t>。</w:t>
      </w:r>
    </w:p>
    <w:p w14:paraId="7F12647C">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12.4.4 进度款审核和支付</w:t>
      </w:r>
      <w:r>
        <w:rPr>
          <w:rFonts w:hint="eastAsia" w:ascii="仿宋" w:hAnsi="仿宋" w:eastAsia="仿宋" w:cs="仿宋"/>
          <w:color w:val="auto"/>
          <w:szCs w:val="21"/>
          <w:highlight w:val="none"/>
          <w:lang w:eastAsia="zh-CN"/>
        </w:rPr>
        <w:t>：</w:t>
      </w:r>
      <w:r>
        <w:rPr>
          <w:rFonts w:hint="eastAsia" w:ascii="仿宋" w:hAnsi="仿宋" w:eastAsia="仿宋" w:cs="仿宋"/>
          <w:b/>
          <w:color w:val="auto"/>
          <w:szCs w:val="21"/>
          <w:highlight w:val="none"/>
          <w:u w:val="single"/>
          <w:lang w:eastAsia="zh-CN"/>
        </w:rPr>
        <w:t>/</w:t>
      </w:r>
      <w:r>
        <w:rPr>
          <w:rFonts w:hint="eastAsia" w:ascii="仿宋" w:hAnsi="仿宋" w:eastAsia="仿宋" w:cs="仿宋"/>
          <w:color w:val="auto"/>
          <w:szCs w:val="21"/>
          <w:highlight w:val="none"/>
        </w:rPr>
        <w:t>。</w:t>
      </w:r>
    </w:p>
    <w:p w14:paraId="465213B0">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12.4.6 支付分解表的编制</w:t>
      </w:r>
    </w:p>
    <w:p w14:paraId="35134FD1">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2、总价合同支付分解表的编制与审批：</w:t>
      </w:r>
      <w:r>
        <w:rPr>
          <w:rFonts w:hint="eastAsia" w:ascii="仿宋" w:hAnsi="仿宋" w:eastAsia="仿宋" w:cs="仿宋"/>
          <w:b/>
          <w:color w:val="auto"/>
          <w:szCs w:val="21"/>
          <w:highlight w:val="none"/>
          <w:u w:val="single"/>
        </w:rPr>
        <w:t>/</w:t>
      </w:r>
      <w:r>
        <w:rPr>
          <w:rFonts w:hint="eastAsia" w:ascii="仿宋" w:hAnsi="仿宋" w:eastAsia="仿宋" w:cs="仿宋"/>
          <w:color w:val="auto"/>
          <w:szCs w:val="21"/>
          <w:highlight w:val="none"/>
        </w:rPr>
        <w:t>。</w:t>
      </w:r>
    </w:p>
    <w:p w14:paraId="55D8DA56">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3、单价合同的总价项目支付分解表的编制与审批：</w:t>
      </w:r>
      <w:r>
        <w:rPr>
          <w:rFonts w:hint="eastAsia" w:ascii="仿宋" w:hAnsi="仿宋" w:eastAsia="仿宋" w:cs="仿宋"/>
          <w:b/>
          <w:color w:val="auto"/>
          <w:szCs w:val="21"/>
          <w:highlight w:val="none"/>
          <w:u w:val="single"/>
          <w:lang w:eastAsia="zh-CN"/>
        </w:rPr>
        <w:t>/</w:t>
      </w:r>
    </w:p>
    <w:bookmarkEnd w:id="815"/>
    <w:p w14:paraId="4DEA8B99">
      <w:pPr>
        <w:pStyle w:val="5"/>
        <w:spacing w:before="0" w:after="0" w:line="360" w:lineRule="auto"/>
        <w:rPr>
          <w:rFonts w:hint="eastAsia" w:ascii="仿宋" w:hAnsi="仿宋" w:eastAsia="仿宋" w:cs="仿宋"/>
          <w:b w:val="0"/>
          <w:color w:val="auto"/>
          <w:sz w:val="21"/>
          <w:szCs w:val="21"/>
          <w:highlight w:val="none"/>
        </w:rPr>
      </w:pPr>
      <w:bookmarkStart w:id="986" w:name="_Toc371946148"/>
      <w:bookmarkStart w:id="987" w:name="_Toc297123564"/>
      <w:bookmarkStart w:id="988" w:name="_Toc312678053"/>
      <w:bookmarkStart w:id="989" w:name="_Toc296503219"/>
      <w:bookmarkStart w:id="990" w:name="_Toc296891047"/>
      <w:bookmarkStart w:id="991" w:name="_Toc300935015"/>
      <w:bookmarkStart w:id="992" w:name="_Toc292559424"/>
      <w:bookmarkStart w:id="993" w:name="_Toc296347218"/>
      <w:bookmarkStart w:id="994" w:name="_Toc297216223"/>
      <w:bookmarkStart w:id="995" w:name="_Toc296944558"/>
      <w:bookmarkStart w:id="996" w:name="_Toc297048405"/>
      <w:bookmarkStart w:id="997" w:name="_Toc296346720"/>
      <w:bookmarkStart w:id="998" w:name="_Toc292559929"/>
      <w:bookmarkStart w:id="999" w:name="_Toc296891259"/>
      <w:bookmarkStart w:id="1000" w:name="_Toc303539172"/>
      <w:bookmarkStart w:id="1001" w:name="_Toc297120519"/>
      <w:bookmarkStart w:id="1002" w:name="_Toc304295593"/>
      <w:r>
        <w:rPr>
          <w:rFonts w:hint="eastAsia" w:ascii="仿宋" w:hAnsi="仿宋" w:eastAsia="仿宋" w:cs="仿宋"/>
          <w:b w:val="0"/>
          <w:color w:val="auto"/>
          <w:sz w:val="21"/>
          <w:szCs w:val="21"/>
          <w:highlight w:val="none"/>
        </w:rPr>
        <w:t>13.验收和工程试车</w:t>
      </w:r>
      <w:bookmarkEnd w:id="986"/>
    </w:p>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14:paraId="4BFCE476">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13.1 分部分项工程验收</w:t>
      </w:r>
    </w:p>
    <w:p w14:paraId="32038E93">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13.1.2监理人不能按时进行验收时，应提前</w:t>
      </w:r>
      <w:r>
        <w:rPr>
          <w:rFonts w:hint="eastAsia" w:ascii="仿宋" w:hAnsi="仿宋" w:eastAsia="仿宋" w:cs="仿宋"/>
          <w:b/>
          <w:color w:val="auto"/>
          <w:szCs w:val="21"/>
          <w:highlight w:val="none"/>
          <w:u w:val="single"/>
        </w:rPr>
        <w:t xml:space="preserve">24 </w:t>
      </w:r>
      <w:r>
        <w:rPr>
          <w:rFonts w:hint="eastAsia" w:ascii="仿宋" w:hAnsi="仿宋" w:eastAsia="仿宋" w:cs="仿宋"/>
          <w:color w:val="auto"/>
          <w:szCs w:val="21"/>
          <w:highlight w:val="none"/>
        </w:rPr>
        <w:t>小时提交书面延期要求。</w:t>
      </w:r>
    </w:p>
    <w:p w14:paraId="27D67037">
      <w:pPr>
        <w:spacing w:line="360" w:lineRule="auto"/>
        <w:ind w:firstLine="420" w:firstLineChars="200"/>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关于延期最长不得超过：</w:t>
      </w:r>
      <w:r>
        <w:rPr>
          <w:rFonts w:hint="eastAsia" w:ascii="仿宋" w:hAnsi="仿宋" w:eastAsia="仿宋" w:cs="仿宋"/>
          <w:b/>
          <w:color w:val="auto"/>
          <w:szCs w:val="21"/>
          <w:highlight w:val="none"/>
          <w:u w:val="single"/>
        </w:rPr>
        <w:t>48</w:t>
      </w:r>
      <w:r>
        <w:rPr>
          <w:rFonts w:hint="eastAsia" w:ascii="仿宋" w:hAnsi="仿宋" w:eastAsia="仿宋" w:cs="仿宋"/>
          <w:color w:val="auto"/>
          <w:szCs w:val="21"/>
          <w:highlight w:val="none"/>
        </w:rPr>
        <w:t>小时。</w:t>
      </w:r>
    </w:p>
    <w:p w14:paraId="132C8D5E">
      <w:pPr>
        <w:spacing w:after="0" w:line="360" w:lineRule="auto"/>
        <w:ind w:firstLine="420" w:firstLineChars="200"/>
        <w:rPr>
          <w:rFonts w:hint="eastAsia" w:ascii="仿宋" w:hAnsi="仿宋" w:eastAsia="仿宋" w:cs="仿宋"/>
          <w:color w:val="auto"/>
          <w:szCs w:val="21"/>
          <w:highlight w:val="none"/>
        </w:rPr>
      </w:pPr>
      <w:bookmarkStart w:id="1003" w:name="_Toc304295596"/>
      <w:bookmarkStart w:id="1004" w:name="_Toc296891051"/>
      <w:bookmarkStart w:id="1005" w:name="_Toc296503223"/>
      <w:bookmarkStart w:id="1006" w:name="_Toc297120523"/>
      <w:bookmarkStart w:id="1007" w:name="_Toc292559428"/>
      <w:bookmarkStart w:id="1008" w:name="_Toc312678056"/>
      <w:bookmarkStart w:id="1009" w:name="_Toc303539173"/>
      <w:bookmarkStart w:id="1010" w:name="_Toc296891263"/>
      <w:bookmarkStart w:id="1011" w:name="_Toc296346724"/>
      <w:bookmarkStart w:id="1012" w:name="_Toc300935016"/>
      <w:bookmarkStart w:id="1013" w:name="_Toc292559933"/>
      <w:bookmarkStart w:id="1014" w:name="_Toc297216224"/>
      <w:bookmarkStart w:id="1015" w:name="_Toc297123565"/>
      <w:bookmarkStart w:id="1016" w:name="_Toc296944562"/>
      <w:bookmarkStart w:id="1017" w:name="_Toc297048409"/>
      <w:bookmarkStart w:id="1018" w:name="_Toc296347222"/>
      <w:bookmarkStart w:id="1019" w:name="_Toc267251475"/>
      <w:bookmarkStart w:id="1020" w:name="_Toc267251473"/>
      <w:bookmarkStart w:id="1021" w:name="_Toc267251471"/>
      <w:bookmarkStart w:id="1022" w:name="_Toc267251474"/>
      <w:bookmarkStart w:id="1023" w:name="_Toc267251470"/>
      <w:bookmarkStart w:id="1024" w:name="_Toc267251472"/>
      <w:bookmarkStart w:id="1025" w:name="_Toc267251476"/>
      <w:r>
        <w:rPr>
          <w:rFonts w:hint="eastAsia" w:ascii="仿宋" w:hAnsi="仿宋" w:eastAsia="仿宋" w:cs="仿宋"/>
          <w:color w:val="auto"/>
          <w:szCs w:val="21"/>
          <w:highlight w:val="none"/>
        </w:rPr>
        <w:t>13.2 竣工验收</w:t>
      </w:r>
    </w:p>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14:paraId="7E604C00">
      <w:pPr>
        <w:spacing w:line="360" w:lineRule="auto"/>
        <w:ind w:firstLine="420" w:firstLineChars="200"/>
        <w:rPr>
          <w:rFonts w:hint="eastAsia" w:ascii="仿宋" w:hAnsi="仿宋" w:eastAsia="仿宋" w:cs="仿宋"/>
          <w:color w:val="auto"/>
          <w:szCs w:val="21"/>
          <w:highlight w:val="none"/>
        </w:rPr>
      </w:pPr>
      <w:bookmarkStart w:id="1026" w:name="_Toc280868704"/>
      <w:bookmarkStart w:id="1027" w:name="_Toc280868705"/>
      <w:bookmarkStart w:id="1028" w:name="_Toc280868706"/>
      <w:bookmarkStart w:id="1029" w:name="_Toc280868707"/>
      <w:bookmarkStart w:id="1030" w:name="_Toc280868708"/>
      <w:bookmarkStart w:id="1031" w:name="_Toc280868709"/>
      <w:r>
        <w:rPr>
          <w:rFonts w:hint="eastAsia" w:ascii="仿宋" w:hAnsi="仿宋" w:eastAsia="仿宋" w:cs="仿宋"/>
          <w:color w:val="auto"/>
          <w:szCs w:val="21"/>
          <w:highlight w:val="none"/>
        </w:rPr>
        <w:t>13.2.2竣工验收程序</w:t>
      </w:r>
    </w:p>
    <w:bookmarkEnd w:id="1026"/>
    <w:p w14:paraId="5B8DF020">
      <w:pPr>
        <w:spacing w:line="360" w:lineRule="auto"/>
        <w:ind w:left="3780" w:leftChars="0" w:hanging="3780" w:hangingChars="18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关于竣工验收程序的约定：</w:t>
      </w:r>
      <w:r>
        <w:rPr>
          <w:rFonts w:hint="eastAsia" w:ascii="仿宋" w:hAnsi="仿宋" w:eastAsia="仿宋" w:cs="仿宋"/>
          <w:b/>
          <w:color w:val="auto"/>
          <w:szCs w:val="21"/>
          <w:highlight w:val="none"/>
          <w:u w:val="single"/>
        </w:rPr>
        <w:t>按照工程竣工验收相关法律、法规和规范规定执行</w:t>
      </w:r>
      <w:r>
        <w:rPr>
          <w:rFonts w:hint="eastAsia" w:ascii="仿宋" w:hAnsi="仿宋" w:eastAsia="仿宋" w:cs="仿宋"/>
          <w:b/>
          <w:color w:val="auto"/>
          <w:szCs w:val="21"/>
          <w:highlight w:val="none"/>
        </w:rPr>
        <w:t>。</w:t>
      </w:r>
    </w:p>
    <w:p w14:paraId="1623E7D2">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发包人不按照本项约定组织竣工验收、颁发工程接收证书的：</w:t>
      </w:r>
      <w:r>
        <w:rPr>
          <w:rFonts w:hint="eastAsia" w:ascii="仿宋" w:hAnsi="仿宋" w:eastAsia="仿宋" w:cs="仿宋"/>
          <w:b/>
          <w:color w:val="auto"/>
          <w:szCs w:val="21"/>
          <w:highlight w:val="none"/>
          <w:u w:val="single"/>
        </w:rPr>
        <w:t>以承包人提交竣工验收申请报告的日期为实际竣工日期；工程未经竣工验收，发包人擅自使用的，以转移占有工程之日为实际竣工日期</w:t>
      </w:r>
      <w:r>
        <w:rPr>
          <w:rFonts w:hint="eastAsia" w:ascii="仿宋" w:hAnsi="仿宋" w:eastAsia="仿宋" w:cs="仿宋"/>
          <w:color w:val="auto"/>
          <w:szCs w:val="21"/>
          <w:highlight w:val="none"/>
        </w:rPr>
        <w:t>。</w:t>
      </w:r>
    </w:p>
    <w:bookmarkEnd w:id="1027"/>
    <w:p w14:paraId="2FC71CCB">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13.2.5移交、接收全部与部分工程</w:t>
      </w:r>
    </w:p>
    <w:bookmarkEnd w:id="1028"/>
    <w:p w14:paraId="184DA065">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承包人向发包人移交工程的期限：</w:t>
      </w:r>
      <w:r>
        <w:rPr>
          <w:rFonts w:hint="eastAsia" w:ascii="仿宋" w:hAnsi="仿宋" w:eastAsia="仿宋" w:cs="仿宋"/>
          <w:b/>
          <w:color w:val="auto"/>
          <w:szCs w:val="21"/>
          <w:highlight w:val="none"/>
          <w:u w:val="single"/>
        </w:rPr>
        <w:t>在工程竣工验收合格后7天内完成工程的移交</w:t>
      </w:r>
      <w:r>
        <w:rPr>
          <w:rFonts w:hint="eastAsia" w:ascii="仿宋" w:hAnsi="仿宋" w:eastAsia="仿宋" w:cs="仿宋"/>
          <w:color w:val="auto"/>
          <w:szCs w:val="21"/>
          <w:highlight w:val="none"/>
        </w:rPr>
        <w:t>。</w:t>
      </w:r>
    </w:p>
    <w:p w14:paraId="6D55195C">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发包人未按本合同约定接收全部或部分工程的：</w:t>
      </w:r>
      <w:r>
        <w:rPr>
          <w:rFonts w:hint="eastAsia" w:ascii="仿宋" w:hAnsi="仿宋" w:eastAsia="仿宋" w:cs="仿宋"/>
          <w:b/>
          <w:color w:val="auto"/>
          <w:szCs w:val="21"/>
          <w:highlight w:val="none"/>
          <w:u w:val="single"/>
        </w:rPr>
        <w:t>发包人自应当接收工程之日起，承担工程照管、成品保护、保管等与工程有关的各项费用，工程损坏、灭失（包括不可抗力引起的）的风险由发包人承担</w:t>
      </w:r>
      <w:r>
        <w:rPr>
          <w:rFonts w:hint="eastAsia" w:ascii="仿宋" w:hAnsi="仿宋" w:eastAsia="仿宋" w:cs="仿宋"/>
          <w:color w:val="auto"/>
          <w:szCs w:val="21"/>
          <w:highlight w:val="none"/>
        </w:rPr>
        <w:t>。</w:t>
      </w:r>
    </w:p>
    <w:bookmarkEnd w:id="1029"/>
    <w:p w14:paraId="028C451A">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承包人无正当理由不按时移交工程的：</w:t>
      </w:r>
      <w:r>
        <w:rPr>
          <w:rFonts w:hint="eastAsia" w:ascii="仿宋" w:hAnsi="仿宋" w:eastAsia="仿宋" w:cs="仿宋"/>
          <w:b/>
          <w:color w:val="auto"/>
          <w:szCs w:val="21"/>
          <w:highlight w:val="none"/>
          <w:u w:val="single"/>
        </w:rPr>
        <w:t>承包人应承担工程照管、成品保护、保管等与工程有关的各项费用，工程损坏、灭失（包括不可抗力引起的）的风险由承包人承担。同时，每逾期交工一天按照签约合同价2‰的金额向发包人支付逾期交工违约金</w:t>
      </w:r>
      <w:r>
        <w:rPr>
          <w:rFonts w:hint="eastAsia" w:ascii="仿宋" w:hAnsi="仿宋" w:eastAsia="仿宋" w:cs="仿宋"/>
          <w:color w:val="auto"/>
          <w:szCs w:val="21"/>
          <w:highlight w:val="none"/>
        </w:rPr>
        <w:t>。</w:t>
      </w:r>
    </w:p>
    <w:p w14:paraId="060A01EB">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13.3 工程试车</w:t>
      </w:r>
    </w:p>
    <w:bookmarkEnd w:id="1030"/>
    <w:p w14:paraId="0640BACE">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13.3.1 试车程序</w:t>
      </w:r>
    </w:p>
    <w:p w14:paraId="3654E275">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工程试车内容：</w:t>
      </w:r>
      <w:r>
        <w:rPr>
          <w:rFonts w:hint="eastAsia" w:ascii="仿宋" w:hAnsi="仿宋" w:eastAsia="仿宋" w:cs="仿宋"/>
          <w:b/>
          <w:color w:val="auto"/>
          <w:szCs w:val="21"/>
          <w:highlight w:val="none"/>
          <w:u w:val="single"/>
        </w:rPr>
        <w:t>按通用条款执行</w:t>
      </w:r>
    </w:p>
    <w:p w14:paraId="579544FB">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（1）单机无负荷试车费用由</w:t>
      </w:r>
      <w:r>
        <w:rPr>
          <w:rFonts w:hint="eastAsia" w:ascii="仿宋" w:hAnsi="仿宋" w:eastAsia="仿宋" w:cs="仿宋"/>
          <w:b/>
          <w:color w:val="auto"/>
          <w:szCs w:val="21"/>
          <w:highlight w:val="none"/>
          <w:u w:val="single"/>
        </w:rPr>
        <w:t>承包人</w:t>
      </w:r>
      <w:r>
        <w:rPr>
          <w:rFonts w:hint="eastAsia" w:ascii="仿宋" w:hAnsi="仿宋" w:eastAsia="仿宋" w:cs="仿宋"/>
          <w:color w:val="auto"/>
          <w:szCs w:val="21"/>
          <w:highlight w:val="none"/>
        </w:rPr>
        <w:t>承担；</w:t>
      </w:r>
    </w:p>
    <w:p w14:paraId="6A803FED">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（2）无负荷联动试车费用由</w:t>
      </w:r>
      <w:r>
        <w:rPr>
          <w:rFonts w:hint="eastAsia" w:ascii="仿宋" w:hAnsi="仿宋" w:eastAsia="仿宋" w:cs="仿宋"/>
          <w:b/>
          <w:color w:val="auto"/>
          <w:szCs w:val="21"/>
          <w:highlight w:val="none"/>
          <w:u w:val="single"/>
        </w:rPr>
        <w:t>承包人</w:t>
      </w:r>
      <w:r>
        <w:rPr>
          <w:rFonts w:hint="eastAsia" w:ascii="仿宋" w:hAnsi="仿宋" w:eastAsia="仿宋" w:cs="仿宋"/>
          <w:color w:val="auto"/>
          <w:szCs w:val="21"/>
          <w:highlight w:val="none"/>
        </w:rPr>
        <w:t>承担。</w:t>
      </w:r>
    </w:p>
    <w:p w14:paraId="4CCF53BD">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13.3.3 投料试车</w:t>
      </w:r>
    </w:p>
    <w:p w14:paraId="6BC42B3A">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关于投料试车相关事项的约定：</w:t>
      </w:r>
      <w:r>
        <w:rPr>
          <w:rFonts w:hint="eastAsia" w:ascii="仿宋" w:hAnsi="仿宋" w:eastAsia="仿宋" w:cs="仿宋"/>
          <w:b/>
          <w:color w:val="auto"/>
          <w:szCs w:val="21"/>
          <w:highlight w:val="none"/>
          <w:u w:val="single"/>
        </w:rPr>
        <w:t>/</w:t>
      </w:r>
      <w:r>
        <w:rPr>
          <w:rFonts w:hint="eastAsia" w:ascii="仿宋" w:hAnsi="仿宋" w:eastAsia="仿宋" w:cs="仿宋"/>
          <w:color w:val="auto"/>
          <w:szCs w:val="21"/>
          <w:highlight w:val="none"/>
        </w:rPr>
        <w:t>。</w:t>
      </w:r>
    </w:p>
    <w:p w14:paraId="7407B1A2">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13.6 竣工退场</w:t>
      </w:r>
    </w:p>
    <w:p w14:paraId="17EA0A07">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13.6.1 竣工退场</w:t>
      </w:r>
    </w:p>
    <w:p w14:paraId="2D8D1C81">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承包人完成竣工退场的期限：</w:t>
      </w:r>
      <w:r>
        <w:rPr>
          <w:rFonts w:hint="eastAsia" w:ascii="仿宋" w:hAnsi="仿宋" w:eastAsia="仿宋" w:cs="仿宋"/>
          <w:b/>
          <w:color w:val="auto"/>
          <w:szCs w:val="21"/>
          <w:highlight w:val="none"/>
          <w:u w:val="single"/>
        </w:rPr>
        <w:t>工程竣工验收合格后7天内</w:t>
      </w:r>
      <w:r>
        <w:rPr>
          <w:rFonts w:hint="eastAsia" w:ascii="仿宋" w:hAnsi="仿宋" w:eastAsia="仿宋" w:cs="仿宋"/>
          <w:color w:val="auto"/>
          <w:szCs w:val="21"/>
          <w:highlight w:val="none"/>
        </w:rPr>
        <w:t>。</w:t>
      </w:r>
    </w:p>
    <w:p w14:paraId="14D0353F">
      <w:pPr>
        <w:keepNext/>
        <w:keepLines/>
        <w:spacing w:before="0" w:after="0" w:line="360" w:lineRule="auto"/>
        <w:outlineLvl w:val="3"/>
        <w:rPr>
          <w:rFonts w:hint="eastAsia" w:ascii="仿宋" w:hAnsi="仿宋" w:eastAsia="仿宋" w:cs="仿宋"/>
          <w:b/>
          <w:color w:val="auto"/>
          <w:szCs w:val="21"/>
          <w:highlight w:val="none"/>
          <w:u w:val="single"/>
        </w:rPr>
      </w:pPr>
      <w:bookmarkStart w:id="1032" w:name="_Toc371946149"/>
      <w:r>
        <w:rPr>
          <w:rFonts w:hint="eastAsia" w:ascii="仿宋" w:hAnsi="仿宋" w:eastAsia="仿宋" w:cs="仿宋"/>
          <w:b/>
          <w:bCs/>
          <w:color w:val="auto"/>
          <w:szCs w:val="21"/>
          <w:highlight w:val="none"/>
        </w:rPr>
        <w:t>14. 竣工结算</w:t>
      </w:r>
      <w:r>
        <w:rPr>
          <w:rFonts w:hint="eastAsia" w:ascii="仿宋" w:hAnsi="仿宋" w:eastAsia="仿宋" w:cs="仿宋"/>
          <w:b/>
          <w:color w:val="auto"/>
          <w:szCs w:val="21"/>
          <w:highlight w:val="none"/>
          <w:u w:val="single"/>
        </w:rPr>
        <w:t>按以下执行：</w:t>
      </w:r>
    </w:p>
    <w:p w14:paraId="51DE84E6">
      <w:pPr>
        <w:spacing w:line="360" w:lineRule="auto"/>
        <w:ind w:firstLine="422" w:firstLineChars="200"/>
        <w:rPr>
          <w:rFonts w:hint="eastAsia" w:ascii="仿宋" w:hAnsi="仿宋" w:eastAsia="仿宋" w:cs="仿宋"/>
          <w:b/>
          <w:color w:val="auto"/>
          <w:szCs w:val="21"/>
          <w:highlight w:val="none"/>
          <w:u w:val="single"/>
        </w:rPr>
      </w:pPr>
      <w:r>
        <w:rPr>
          <w:rFonts w:hint="eastAsia" w:ascii="仿宋" w:hAnsi="仿宋" w:eastAsia="仿宋" w:cs="仿宋"/>
          <w:b/>
          <w:color w:val="auto"/>
          <w:szCs w:val="21"/>
          <w:highlight w:val="none"/>
          <w:u w:val="single"/>
        </w:rPr>
        <w:t>1、竣工结算申请单内容：</w:t>
      </w:r>
    </w:p>
    <w:p w14:paraId="3D66ED10">
      <w:pPr>
        <w:spacing w:line="360" w:lineRule="auto"/>
        <w:ind w:firstLine="422" w:firstLineChars="200"/>
        <w:rPr>
          <w:rFonts w:hint="eastAsia" w:ascii="仿宋" w:hAnsi="仿宋" w:eastAsia="仿宋" w:cs="仿宋"/>
          <w:b/>
          <w:color w:val="auto"/>
          <w:szCs w:val="21"/>
          <w:highlight w:val="none"/>
          <w:u w:val="single"/>
        </w:rPr>
      </w:pPr>
      <w:r>
        <w:rPr>
          <w:rFonts w:hint="eastAsia" w:ascii="仿宋" w:hAnsi="仿宋" w:eastAsia="仿宋" w:cs="仿宋"/>
          <w:b/>
          <w:color w:val="auto"/>
          <w:szCs w:val="21"/>
          <w:highlight w:val="none"/>
          <w:u w:val="single"/>
        </w:rPr>
        <w:t>(l）工程竣工验收合格接收证书颁发后，承包人应向监理人提交肆份竣工结算申请单，并提供相关证明材料。竣工结算申请单应包括下列内容：竣工结算合同总价、发包人已支付承包人的工程价款、应扣留的质量保证金、应支付的竣工付款金额</w:t>
      </w:r>
      <w:r>
        <w:rPr>
          <w:rFonts w:hint="eastAsia" w:ascii="仿宋" w:hAnsi="仿宋" w:eastAsia="仿宋" w:cs="仿宋"/>
          <w:color w:val="auto"/>
          <w:szCs w:val="21"/>
          <w:highlight w:val="none"/>
        </w:rPr>
        <w:t>。</w:t>
      </w:r>
    </w:p>
    <w:p w14:paraId="160D7FFC">
      <w:pPr>
        <w:spacing w:line="360" w:lineRule="auto"/>
        <w:ind w:firstLine="422" w:firstLineChars="200"/>
        <w:rPr>
          <w:rFonts w:hint="eastAsia" w:ascii="仿宋" w:hAnsi="仿宋" w:eastAsia="仿宋" w:cs="仿宋"/>
          <w:color w:val="auto"/>
          <w:szCs w:val="21"/>
          <w:highlight w:val="none"/>
        </w:rPr>
      </w:pPr>
      <w:r>
        <w:rPr>
          <w:rFonts w:hint="eastAsia" w:ascii="仿宋" w:hAnsi="仿宋" w:eastAsia="仿宋" w:cs="仿宋"/>
          <w:b/>
          <w:color w:val="auto"/>
          <w:szCs w:val="21"/>
          <w:highlight w:val="none"/>
          <w:u w:val="single"/>
        </w:rPr>
        <w:t>(2）监理人对竣工结算申请单有异议的，有权要求承包人进行修正和提供补充资料。经监理人和承包人协商后，由承包人向监理人提交修正后的竣工结算申请单</w:t>
      </w:r>
      <w:r>
        <w:rPr>
          <w:rFonts w:hint="eastAsia" w:ascii="仿宋" w:hAnsi="仿宋" w:eastAsia="仿宋" w:cs="仿宋"/>
          <w:color w:val="auto"/>
          <w:szCs w:val="21"/>
          <w:highlight w:val="none"/>
        </w:rPr>
        <w:t>。</w:t>
      </w:r>
    </w:p>
    <w:p w14:paraId="4779198F">
      <w:pPr>
        <w:spacing w:line="360" w:lineRule="auto"/>
        <w:ind w:firstLine="422" w:firstLineChars="200"/>
        <w:rPr>
          <w:rFonts w:hint="eastAsia" w:ascii="仿宋" w:hAnsi="仿宋" w:eastAsia="仿宋" w:cs="仿宋"/>
          <w:b/>
          <w:color w:val="auto"/>
          <w:szCs w:val="21"/>
          <w:highlight w:val="none"/>
          <w:u w:val="single"/>
        </w:rPr>
      </w:pPr>
      <w:r>
        <w:rPr>
          <w:rFonts w:hint="eastAsia" w:ascii="仿宋" w:hAnsi="仿宋" w:eastAsia="仿宋" w:cs="仿宋"/>
          <w:b/>
          <w:color w:val="auto"/>
          <w:szCs w:val="21"/>
          <w:highlight w:val="none"/>
          <w:u w:val="single"/>
        </w:rPr>
        <w:t>2、竣工结算申请单份数：6份</w:t>
      </w:r>
      <w:r>
        <w:rPr>
          <w:rFonts w:hint="eastAsia" w:ascii="仿宋" w:hAnsi="仿宋" w:eastAsia="仿宋" w:cs="仿宋"/>
          <w:color w:val="auto"/>
          <w:szCs w:val="21"/>
          <w:highlight w:val="none"/>
        </w:rPr>
        <w:t>。</w:t>
      </w:r>
    </w:p>
    <w:p w14:paraId="21A860BD">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竣工付款申请单应包括的内容：</w:t>
      </w:r>
      <w:r>
        <w:rPr>
          <w:rFonts w:hint="eastAsia" w:ascii="仿宋" w:hAnsi="仿宋" w:eastAsia="仿宋" w:cs="仿宋"/>
          <w:b/>
          <w:color w:val="auto"/>
          <w:szCs w:val="21"/>
          <w:highlight w:val="none"/>
          <w:u w:val="single"/>
        </w:rPr>
        <w:t>按照发包人和监理人要求的格式和内容提供</w:t>
      </w:r>
      <w:r>
        <w:rPr>
          <w:rFonts w:hint="eastAsia" w:ascii="仿宋" w:hAnsi="仿宋" w:eastAsia="仿宋" w:cs="仿宋"/>
          <w:color w:val="auto"/>
          <w:szCs w:val="21"/>
          <w:highlight w:val="none"/>
        </w:rPr>
        <w:t>。</w:t>
      </w:r>
    </w:p>
    <w:p w14:paraId="178D35B8">
      <w:pPr>
        <w:spacing w:after="0" w:line="360" w:lineRule="auto"/>
        <w:ind w:firstLine="422" w:firstLineChars="200"/>
        <w:rPr>
          <w:rFonts w:hint="eastAsia" w:ascii="仿宋" w:hAnsi="仿宋" w:eastAsia="仿宋" w:cs="仿宋"/>
          <w:b/>
          <w:color w:val="auto"/>
          <w:szCs w:val="21"/>
          <w:highlight w:val="none"/>
          <w:u w:val="single"/>
        </w:rPr>
      </w:pPr>
      <w:r>
        <w:rPr>
          <w:rFonts w:hint="eastAsia" w:ascii="仿宋" w:hAnsi="仿宋" w:eastAsia="仿宋" w:cs="仿宋"/>
          <w:b/>
          <w:color w:val="auto"/>
          <w:szCs w:val="21"/>
          <w:highlight w:val="none"/>
        </w:rPr>
        <w:t>14.2 竣工结算审核</w:t>
      </w:r>
    </w:p>
    <w:p w14:paraId="20116827">
      <w:pPr>
        <w:spacing w:line="360" w:lineRule="auto"/>
        <w:ind w:firstLine="422" w:firstLineChars="200"/>
        <w:rPr>
          <w:rFonts w:hint="eastAsia" w:ascii="仿宋" w:hAnsi="仿宋" w:eastAsia="仿宋" w:cs="仿宋"/>
          <w:b/>
          <w:color w:val="auto"/>
          <w:szCs w:val="21"/>
          <w:highlight w:val="none"/>
          <w:u w:val="single"/>
        </w:rPr>
      </w:pPr>
      <w:r>
        <w:rPr>
          <w:rFonts w:hint="eastAsia" w:ascii="仿宋" w:hAnsi="仿宋" w:eastAsia="仿宋" w:cs="仿宋"/>
          <w:b/>
          <w:color w:val="auto"/>
          <w:szCs w:val="21"/>
          <w:highlight w:val="none"/>
          <w:u w:val="single"/>
        </w:rPr>
        <w:t>工程竣工结算审核按照竣工结算审计程序执行，结算价参照第三方审计咨询机构出具的竣工结算审核报告审定价款。</w:t>
      </w:r>
    </w:p>
    <w:p w14:paraId="37CB7A14">
      <w:pPr>
        <w:spacing w:line="360" w:lineRule="auto"/>
        <w:ind w:firstLine="422" w:firstLineChars="200"/>
        <w:rPr>
          <w:rFonts w:hint="eastAsia" w:ascii="仿宋" w:hAnsi="仿宋" w:eastAsia="仿宋" w:cs="仿宋"/>
          <w:b/>
          <w:color w:val="auto"/>
          <w:szCs w:val="21"/>
          <w:highlight w:val="none"/>
          <w:u w:val="single"/>
        </w:rPr>
      </w:pPr>
      <w:r>
        <w:rPr>
          <w:rFonts w:hint="eastAsia" w:ascii="仿宋" w:hAnsi="仿宋" w:eastAsia="仿宋" w:cs="仿宋"/>
          <w:b/>
          <w:color w:val="auto"/>
          <w:szCs w:val="21"/>
          <w:highlight w:val="none"/>
          <w:u w:val="single"/>
        </w:rPr>
        <w:t>若本项目后期发包人复审或有关管理部门审计（包含但不限于检查、巡查等形式审核），按复审或审计最终价款多退少补。承包人同意无条件配合，并自愿受到复审或审计结果的约束，无论承包人是否签章，均以该结果作为双方新的结算依据。若复审和审计有核减，则核减的部分发包人未支付的，发包人不再承担支付责任；核减的部分发包人已支付的，承包人应在发包人书面通知后5天内全额退还。承包人逾期未退还的，每逾期一天，应以应退金额为基数，按照每天 1‰的标准向发包人支付违约金。</w:t>
      </w:r>
    </w:p>
    <w:p w14:paraId="13392285">
      <w:pPr>
        <w:spacing w:after="0" w:line="360" w:lineRule="auto"/>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14.4 最终结清</w:t>
      </w:r>
    </w:p>
    <w:p w14:paraId="2A16B938">
      <w:pPr>
        <w:spacing w:line="360" w:lineRule="auto"/>
        <w:ind w:firstLine="422" w:firstLineChars="200"/>
        <w:rPr>
          <w:rFonts w:hint="eastAsia" w:ascii="仿宋" w:hAnsi="仿宋" w:eastAsia="仿宋" w:cs="仿宋"/>
          <w:color w:val="auto"/>
          <w:szCs w:val="21"/>
          <w:highlight w:val="none"/>
        </w:rPr>
      </w:pPr>
      <w:r>
        <w:rPr>
          <w:rFonts w:hint="eastAsia" w:ascii="仿宋" w:hAnsi="仿宋" w:eastAsia="仿宋" w:cs="仿宋"/>
          <w:b/>
          <w:color w:val="auto"/>
          <w:szCs w:val="21"/>
          <w:highlight w:val="none"/>
          <w:u w:val="single"/>
        </w:rPr>
        <w:t>在缺陷责任期满后，承包人已履行合同约定的缺陷修复义务并且工程竣工结算审计已完成的，承包人按照发包人要求的格式和内容提交最终结清申请单，并提供相关证明材料。发包人应在收到承包人提交的最终结清申请单后14天内完成审批并向承包人支付扣留的质量保证金及其他未结清款项。承包人未能履行缺陷修复义务的，发包人有权扣除相应金额的维修费用</w:t>
      </w:r>
      <w:r>
        <w:rPr>
          <w:rFonts w:hint="eastAsia" w:ascii="仿宋" w:hAnsi="仿宋" w:eastAsia="仿宋" w:cs="仿宋"/>
          <w:color w:val="auto"/>
          <w:szCs w:val="21"/>
          <w:highlight w:val="none"/>
        </w:rPr>
        <w:t>。</w:t>
      </w:r>
    </w:p>
    <w:bookmarkEnd w:id="1019"/>
    <w:bookmarkEnd w:id="1020"/>
    <w:bookmarkEnd w:id="1021"/>
    <w:bookmarkEnd w:id="1022"/>
    <w:bookmarkEnd w:id="1023"/>
    <w:bookmarkEnd w:id="1024"/>
    <w:bookmarkEnd w:id="1025"/>
    <w:bookmarkEnd w:id="1031"/>
    <w:bookmarkEnd w:id="1032"/>
    <w:p w14:paraId="6CB54943">
      <w:pPr>
        <w:spacing w:line="360" w:lineRule="auto"/>
        <w:ind w:firstLine="420" w:firstLineChars="200"/>
        <w:rPr>
          <w:rFonts w:hint="eastAsia" w:ascii="仿宋" w:hAnsi="仿宋" w:eastAsia="仿宋" w:cs="仿宋"/>
          <w:color w:val="auto"/>
          <w:szCs w:val="21"/>
          <w:highlight w:val="none"/>
        </w:rPr>
      </w:pPr>
      <w:bookmarkStart w:id="1033" w:name="_Toc371946150"/>
      <w:bookmarkStart w:id="1034" w:name="_Toc267251483"/>
      <w:bookmarkStart w:id="1035" w:name="_Toc267251482"/>
      <w:bookmarkStart w:id="1036" w:name="_Toc267251484"/>
      <w:bookmarkStart w:id="1037" w:name="_Toc267251485"/>
      <w:bookmarkStart w:id="1038" w:name="_Toc267251488"/>
      <w:bookmarkStart w:id="1039" w:name="_Toc267251489"/>
      <w:bookmarkStart w:id="1040" w:name="_Toc267251490"/>
      <w:bookmarkStart w:id="1041" w:name="_Toc267251486"/>
      <w:bookmarkStart w:id="1042" w:name="_Toc267251496"/>
      <w:bookmarkStart w:id="1043" w:name="_Toc267251493"/>
      <w:bookmarkStart w:id="1044" w:name="_Toc267251501"/>
      <w:bookmarkStart w:id="1045" w:name="_Toc267251492"/>
      <w:bookmarkStart w:id="1046" w:name="_Toc267251495"/>
      <w:bookmarkStart w:id="1047" w:name="_Toc267251491"/>
      <w:bookmarkStart w:id="1048" w:name="_Toc267251503"/>
      <w:bookmarkStart w:id="1049" w:name="_Toc267251499"/>
      <w:bookmarkStart w:id="1050" w:name="_Toc267251497"/>
      <w:bookmarkStart w:id="1051" w:name="_Toc267251498"/>
      <w:bookmarkStart w:id="1052" w:name="_Toc267251494"/>
      <w:bookmarkStart w:id="1053" w:name="_Toc267251502"/>
      <w:bookmarkStart w:id="1054" w:name="_Toc267251504"/>
      <w:bookmarkStart w:id="1055" w:name="_Toc267251506"/>
      <w:bookmarkStart w:id="1056" w:name="_Toc267251507"/>
      <w:bookmarkStart w:id="1057" w:name="_Toc267251508"/>
      <w:bookmarkStart w:id="1058" w:name="_Toc267251509"/>
      <w:bookmarkStart w:id="1059" w:name="_Toc267251514"/>
      <w:bookmarkStart w:id="1060" w:name="_Toc267251510"/>
      <w:bookmarkStart w:id="1061" w:name="_Toc267251515"/>
      <w:bookmarkStart w:id="1062" w:name="_Toc267251513"/>
      <w:bookmarkStart w:id="1063" w:name="_Toc267251511"/>
      <w:r>
        <w:rPr>
          <w:rFonts w:hint="eastAsia" w:ascii="仿宋" w:hAnsi="仿宋" w:eastAsia="仿宋" w:cs="仿宋"/>
          <w:color w:val="auto"/>
          <w:szCs w:val="21"/>
          <w:highlight w:val="none"/>
        </w:rPr>
        <w:t>14.4.1 最终结清申请单</w:t>
      </w:r>
    </w:p>
    <w:p w14:paraId="48AE8F55">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承包人提交最终结清申请单的份数：</w:t>
      </w:r>
      <w:r>
        <w:rPr>
          <w:rFonts w:hint="eastAsia" w:ascii="仿宋" w:hAnsi="仿宋" w:eastAsia="仿宋" w:cs="仿宋"/>
          <w:b/>
          <w:color w:val="auto"/>
          <w:szCs w:val="21"/>
          <w:highlight w:val="none"/>
          <w:u w:val="single"/>
        </w:rPr>
        <w:t>（1）工程竣工验收报告经发包人审核后28天内，承包人向发包人递交竣工结算报告及完整的结算资料肆套，双方按照协议书约定的合同价款及专用条款约定的合同价款调整内容，进行工程竣工结算。(2)工程竣工结算价款以国家审计机关审定结果为准，结算审计时间按政府相关文件规定执行。(3) 工程竣工验收报告经发包人审核后28天内，承包人未能向发包人递交竣工结算报告及完整的结算资料，造成工程竣工结算不能正常进行的，竣工结算审计时间相应延后。经发包人函告通知28天内承包人仍未提供或没有明确答复的，可视为承包人默认由发包人可以根据已有资料办理结算</w:t>
      </w:r>
      <w:r>
        <w:rPr>
          <w:rFonts w:hint="eastAsia" w:ascii="仿宋" w:hAnsi="仿宋" w:eastAsia="仿宋" w:cs="仿宋"/>
          <w:color w:val="auto"/>
          <w:szCs w:val="21"/>
          <w:highlight w:val="none"/>
        </w:rPr>
        <w:t>。</w:t>
      </w:r>
    </w:p>
    <w:p w14:paraId="0C328178">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14.4.2 最终结清证书和支付</w:t>
      </w:r>
    </w:p>
    <w:p w14:paraId="3AD05AF1">
      <w:pPr>
        <w:spacing w:line="360" w:lineRule="auto"/>
        <w:ind w:firstLine="422" w:firstLineChars="200"/>
        <w:rPr>
          <w:rFonts w:hint="eastAsia" w:ascii="仿宋" w:hAnsi="仿宋" w:eastAsia="仿宋" w:cs="仿宋"/>
          <w:b/>
          <w:color w:val="auto"/>
          <w:szCs w:val="21"/>
          <w:highlight w:val="none"/>
          <w:u w:val="single"/>
        </w:rPr>
      </w:pPr>
      <w:r>
        <w:rPr>
          <w:rFonts w:hint="eastAsia" w:ascii="仿宋" w:hAnsi="仿宋" w:eastAsia="仿宋" w:cs="仿宋"/>
          <w:b/>
          <w:color w:val="auto"/>
          <w:szCs w:val="21"/>
          <w:highlight w:val="none"/>
          <w:u w:val="single"/>
        </w:rPr>
        <w:t>(l）监理人收到承包人提交的最终结清申请单后的14天内，提出发包人应支付给承包人的价款送发包人审核并抄送承包人</w:t>
      </w:r>
      <w:r>
        <w:rPr>
          <w:rFonts w:hint="eastAsia" w:ascii="仿宋" w:hAnsi="仿宋" w:eastAsia="仿宋" w:cs="仿宋"/>
          <w:color w:val="auto"/>
          <w:szCs w:val="21"/>
          <w:highlight w:val="none"/>
          <w:u w:val="single"/>
        </w:rPr>
        <w:t>。</w:t>
      </w:r>
      <w:r>
        <w:rPr>
          <w:rFonts w:hint="eastAsia" w:ascii="仿宋" w:hAnsi="仿宋" w:eastAsia="仿宋" w:cs="仿宋"/>
          <w:b/>
          <w:color w:val="auto"/>
          <w:szCs w:val="21"/>
          <w:highlight w:val="none"/>
          <w:u w:val="single"/>
        </w:rPr>
        <w:t>发包人应在收到后14天内审核完毕，由监理人向承包人出具经发包人签认的最终结清证书</w:t>
      </w:r>
      <w:r>
        <w:rPr>
          <w:rFonts w:hint="eastAsia" w:ascii="仿宋" w:hAnsi="仿宋" w:eastAsia="仿宋" w:cs="仿宋"/>
          <w:color w:val="auto"/>
          <w:szCs w:val="21"/>
          <w:highlight w:val="none"/>
          <w:u w:val="single"/>
        </w:rPr>
        <w:t>。</w:t>
      </w:r>
      <w:r>
        <w:rPr>
          <w:rFonts w:hint="eastAsia" w:ascii="仿宋" w:hAnsi="仿宋" w:eastAsia="仿宋" w:cs="仿宋"/>
          <w:b/>
          <w:color w:val="auto"/>
          <w:szCs w:val="21"/>
          <w:highlight w:val="none"/>
          <w:u w:val="single"/>
        </w:rPr>
        <w:t>监理人未在约定时间内核查，又未提出具体意见的，视为承包人提交的最终结清申请己经监理人核查同意；发包人未在约定时间内审核又未提出具体意见的，监理人提出应支付给承包人的价款视为已经发包人同意</w:t>
      </w:r>
      <w:r>
        <w:rPr>
          <w:rFonts w:hint="eastAsia" w:ascii="仿宋" w:hAnsi="仿宋" w:eastAsia="仿宋" w:cs="仿宋"/>
          <w:color w:val="auto"/>
          <w:szCs w:val="21"/>
          <w:highlight w:val="none"/>
        </w:rPr>
        <w:t>。</w:t>
      </w:r>
    </w:p>
    <w:p w14:paraId="6BA8CEA1">
      <w:pPr>
        <w:spacing w:line="360" w:lineRule="auto"/>
        <w:ind w:firstLine="422" w:firstLineChars="200"/>
        <w:rPr>
          <w:rFonts w:hint="eastAsia" w:ascii="仿宋" w:hAnsi="仿宋" w:eastAsia="仿宋" w:cs="仿宋"/>
          <w:b/>
          <w:color w:val="auto"/>
          <w:szCs w:val="21"/>
          <w:highlight w:val="none"/>
          <w:u w:val="single"/>
        </w:rPr>
      </w:pPr>
      <w:r>
        <w:rPr>
          <w:rFonts w:hint="eastAsia" w:ascii="仿宋" w:hAnsi="仿宋" w:eastAsia="仿宋" w:cs="仿宋"/>
          <w:b/>
          <w:color w:val="auto"/>
          <w:szCs w:val="21"/>
          <w:highlight w:val="none"/>
          <w:u w:val="single"/>
        </w:rPr>
        <w:t>(2）发包人应在监理人出具最终结清证书后的14 天内，将应支付款支付给承包人</w:t>
      </w:r>
      <w:r>
        <w:rPr>
          <w:rFonts w:hint="eastAsia" w:ascii="仿宋" w:hAnsi="仿宋" w:eastAsia="仿宋" w:cs="仿宋"/>
          <w:color w:val="auto"/>
          <w:szCs w:val="21"/>
          <w:highlight w:val="none"/>
        </w:rPr>
        <w:t>。</w:t>
      </w:r>
    </w:p>
    <w:p w14:paraId="0B4569B4">
      <w:pPr>
        <w:spacing w:line="360" w:lineRule="auto"/>
        <w:ind w:firstLine="422" w:firstLineChars="200"/>
        <w:rPr>
          <w:rFonts w:hint="eastAsia" w:ascii="仿宋" w:hAnsi="仿宋" w:eastAsia="仿宋" w:cs="仿宋"/>
          <w:color w:val="auto"/>
          <w:szCs w:val="21"/>
          <w:highlight w:val="none"/>
        </w:rPr>
      </w:pPr>
      <w:r>
        <w:rPr>
          <w:rFonts w:hint="eastAsia" w:ascii="仿宋" w:hAnsi="仿宋" w:eastAsia="仿宋" w:cs="仿宋"/>
          <w:b/>
          <w:color w:val="auto"/>
          <w:szCs w:val="21"/>
          <w:highlight w:val="none"/>
          <w:u w:val="single"/>
        </w:rPr>
        <w:t>(3）承包人对发包人签认的最终结清证书有异议的，按第20条的约定办理</w:t>
      </w:r>
      <w:r>
        <w:rPr>
          <w:rFonts w:hint="eastAsia" w:ascii="仿宋" w:hAnsi="仿宋" w:eastAsia="仿宋" w:cs="仿宋"/>
          <w:color w:val="auto"/>
          <w:szCs w:val="21"/>
          <w:highlight w:val="none"/>
        </w:rPr>
        <w:t>。</w:t>
      </w:r>
    </w:p>
    <w:p w14:paraId="439EC5DF">
      <w:pPr>
        <w:pStyle w:val="5"/>
        <w:spacing w:before="0" w:after="0" w:line="360" w:lineRule="auto"/>
        <w:rPr>
          <w:rFonts w:hint="eastAsia" w:ascii="仿宋" w:hAnsi="仿宋" w:eastAsia="仿宋" w:cs="仿宋"/>
          <w:b w:val="0"/>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bCs w:val="0"/>
          <w:color w:val="auto"/>
          <w:sz w:val="21"/>
          <w:szCs w:val="21"/>
          <w:highlight w:val="none"/>
          <w:u w:val="single"/>
        </w:rPr>
        <w:t xml:space="preserve">   (4）最终结清付款涉及政府投资资金的，按照国库集中支付等国家相关规定约定办理。</w:t>
      </w:r>
    </w:p>
    <w:p w14:paraId="1C1C2DA0">
      <w:pPr>
        <w:pStyle w:val="5"/>
        <w:spacing w:before="0" w:after="0" w:line="360" w:lineRule="auto"/>
        <w:rPr>
          <w:rFonts w:hint="eastAsia"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15. 缺陷责任期与保修</w:t>
      </w:r>
      <w:bookmarkEnd w:id="1033"/>
    </w:p>
    <w:p w14:paraId="2AAD2657">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15.2缺陷责任期</w:t>
      </w:r>
      <w:bookmarkEnd w:id="1034"/>
    </w:p>
    <w:p w14:paraId="19857763">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缺陷责任期的具体期限： </w:t>
      </w:r>
      <w:r>
        <w:rPr>
          <w:rFonts w:hint="eastAsia" w:ascii="仿宋" w:hAnsi="仿宋" w:eastAsia="仿宋" w:cs="仿宋"/>
          <w:b/>
          <w:color w:val="auto"/>
          <w:szCs w:val="21"/>
          <w:highlight w:val="none"/>
          <w:u w:val="single"/>
        </w:rPr>
        <w:t>工程竣工验收合格之日起24个月</w:t>
      </w:r>
      <w:r>
        <w:rPr>
          <w:rFonts w:hint="eastAsia" w:ascii="仿宋" w:hAnsi="仿宋" w:eastAsia="仿宋" w:cs="仿宋"/>
          <w:color w:val="auto"/>
          <w:szCs w:val="21"/>
          <w:highlight w:val="none"/>
        </w:rPr>
        <w:t xml:space="preserve"> 。</w:t>
      </w:r>
    </w:p>
    <w:p w14:paraId="3780E369">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15.3 质量保证金</w:t>
      </w:r>
    </w:p>
    <w:p w14:paraId="1E6FC71A">
      <w:pPr>
        <w:spacing w:line="360" w:lineRule="auto"/>
        <w:ind w:left="0" w:left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关于是否扣留质量保证金的约定：</w:t>
      </w:r>
      <w:r>
        <w:rPr>
          <w:rFonts w:hint="eastAsia" w:ascii="仿宋" w:hAnsi="仿宋" w:eastAsia="仿宋" w:cs="仿宋"/>
          <w:b/>
          <w:color w:val="auto"/>
          <w:szCs w:val="21"/>
          <w:highlight w:val="none"/>
          <w:u w:val="single"/>
        </w:rPr>
        <w:t>本合同约定扣留的质量保证金为工程竣工结算价款的3%</w:t>
      </w:r>
      <w:r>
        <w:rPr>
          <w:rFonts w:hint="eastAsia" w:ascii="仿宋" w:hAnsi="仿宋" w:eastAsia="仿宋" w:cs="仿宋"/>
          <w:color w:val="auto"/>
          <w:szCs w:val="21"/>
          <w:highlight w:val="none"/>
          <w:u w:val="single"/>
        </w:rPr>
        <w:t>。</w:t>
      </w:r>
      <w:r>
        <w:rPr>
          <w:rFonts w:hint="eastAsia" w:ascii="仿宋" w:hAnsi="仿宋" w:eastAsia="仿宋" w:cs="仿宋"/>
          <w:color w:val="auto"/>
          <w:szCs w:val="21"/>
          <w:highlight w:val="none"/>
        </w:rPr>
        <w:t>在工程项目竣工前，承包人按专用合同条款第3.7条提供履约担保的，发包人不得同时预留工程质量保证金。</w:t>
      </w:r>
    </w:p>
    <w:p w14:paraId="69EDBF07">
      <w:pPr>
        <w:spacing w:line="360" w:lineRule="auto"/>
        <w:ind w:left="0" w:left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15.3.1 承包人提供质量保证金的方式</w:t>
      </w:r>
    </w:p>
    <w:p w14:paraId="70B8680B">
      <w:pPr>
        <w:spacing w:line="360" w:lineRule="auto"/>
        <w:ind w:firstLine="422" w:firstLineChars="200"/>
        <w:rPr>
          <w:rFonts w:hint="eastAsia" w:ascii="仿宋" w:hAnsi="仿宋" w:eastAsia="仿宋" w:cs="仿宋"/>
          <w:color w:val="auto"/>
          <w:szCs w:val="21"/>
          <w:highlight w:val="none"/>
        </w:rPr>
      </w:pPr>
      <w:r>
        <w:rPr>
          <w:rFonts w:hint="eastAsia" w:ascii="仿宋" w:hAnsi="仿宋" w:eastAsia="仿宋" w:cs="仿宋"/>
          <w:b/>
          <w:color w:val="auto"/>
          <w:szCs w:val="21"/>
          <w:highlight w:val="none"/>
          <w:u w:val="single"/>
        </w:rPr>
        <w:t>质量保证金在工程竣工结算价款中扣除，缺陷责任期满发包人按照专用合同条款第14.4款和第15.3.2项的约定支付</w:t>
      </w:r>
      <w:r>
        <w:rPr>
          <w:rFonts w:hint="eastAsia" w:ascii="仿宋" w:hAnsi="仿宋" w:eastAsia="仿宋" w:cs="仿宋"/>
          <w:color w:val="auto"/>
          <w:szCs w:val="21"/>
          <w:highlight w:val="none"/>
        </w:rPr>
        <w:t>。</w:t>
      </w:r>
    </w:p>
    <w:p w14:paraId="0C645702">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15.3.2 质量保证金的扣留 </w:t>
      </w:r>
    </w:p>
    <w:p w14:paraId="12F068CE">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质量保证金的扣留采取以下第</w:t>
      </w:r>
      <w:r>
        <w:rPr>
          <w:rFonts w:hint="eastAsia" w:ascii="仿宋" w:hAnsi="仿宋" w:eastAsia="仿宋" w:cs="仿宋"/>
          <w:b/>
          <w:color w:val="auto"/>
          <w:szCs w:val="21"/>
          <w:highlight w:val="none"/>
          <w:u w:val="single"/>
        </w:rPr>
        <w:t xml:space="preserve"> （2） </w:t>
      </w:r>
      <w:r>
        <w:rPr>
          <w:rFonts w:hint="eastAsia" w:ascii="仿宋" w:hAnsi="仿宋" w:eastAsia="仿宋" w:cs="仿宋"/>
          <w:color w:val="auto"/>
          <w:szCs w:val="21"/>
          <w:highlight w:val="none"/>
        </w:rPr>
        <w:t>种方式：</w:t>
      </w:r>
    </w:p>
    <w:p w14:paraId="3A9B53BE">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（1）在支付工程进度款时逐次扣留，在此情形下，质量保证金的计算基数不包括预付款的支付、扣回以及价格调整的金额；</w:t>
      </w:r>
    </w:p>
    <w:p w14:paraId="47B3B045">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（2）工程竣工结算时一次性扣留质量保证金；</w:t>
      </w:r>
    </w:p>
    <w:p w14:paraId="16469354">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（3）其他扣留方式:</w:t>
      </w:r>
      <w:r>
        <w:rPr>
          <w:rFonts w:hint="eastAsia" w:ascii="仿宋" w:hAnsi="仿宋" w:eastAsia="仿宋" w:cs="仿宋"/>
          <w:b/>
          <w:color w:val="auto"/>
          <w:szCs w:val="21"/>
          <w:highlight w:val="none"/>
          <w:u w:val="single"/>
        </w:rPr>
        <w:t>/</w:t>
      </w:r>
      <w:r>
        <w:rPr>
          <w:rFonts w:hint="eastAsia" w:ascii="仿宋" w:hAnsi="仿宋" w:eastAsia="仿宋" w:cs="仿宋"/>
          <w:color w:val="auto"/>
          <w:szCs w:val="21"/>
          <w:highlight w:val="none"/>
        </w:rPr>
        <w:t>。</w:t>
      </w:r>
    </w:p>
    <w:p w14:paraId="013E30DE">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关于质量保证金的补充约定：</w:t>
      </w:r>
      <w:r>
        <w:rPr>
          <w:rFonts w:hint="eastAsia" w:ascii="仿宋" w:hAnsi="仿宋" w:eastAsia="仿宋" w:cs="仿宋"/>
          <w:b/>
          <w:color w:val="auto"/>
          <w:szCs w:val="21"/>
          <w:highlight w:val="none"/>
          <w:u w:val="single"/>
        </w:rPr>
        <w:t>承包人未能履行缺陷修复义务的，发包人有权扣除相应金额的维修费用，并有权要求承包人延长缺陷责任期，直至完成剩余工作为止。承包人未能履行缺陷修复义务，发包人有权自行修复或委托第三方修复，所需费用超过扣留质量保证金的部分由承包人另行支付；承包人未另行支付的，发包人有权向承包人追索</w:t>
      </w:r>
      <w:r>
        <w:rPr>
          <w:rFonts w:hint="eastAsia" w:ascii="仿宋" w:hAnsi="仿宋" w:eastAsia="仿宋" w:cs="仿宋"/>
          <w:color w:val="auto"/>
          <w:szCs w:val="21"/>
          <w:highlight w:val="none"/>
        </w:rPr>
        <w:t>。</w:t>
      </w:r>
    </w:p>
    <w:bookmarkEnd w:id="1035"/>
    <w:bookmarkEnd w:id="1036"/>
    <w:p w14:paraId="5CF0109D">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15.4保修</w:t>
      </w:r>
    </w:p>
    <w:bookmarkEnd w:id="1037"/>
    <w:p w14:paraId="64548FD4">
      <w:pPr>
        <w:spacing w:line="360" w:lineRule="auto"/>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15.4.1 保修责任</w:t>
      </w:r>
    </w:p>
    <w:p w14:paraId="42AEB6AD">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工程保修期为：</w:t>
      </w:r>
      <w:r>
        <w:rPr>
          <w:rFonts w:hint="eastAsia" w:ascii="仿宋" w:hAnsi="仿宋" w:eastAsia="仿宋" w:cs="仿宋"/>
          <w:b/>
          <w:color w:val="auto"/>
          <w:szCs w:val="21"/>
          <w:highlight w:val="none"/>
          <w:u w:val="single"/>
        </w:rPr>
        <w:t>详见附件《工程质量保修书》</w:t>
      </w:r>
      <w:r>
        <w:rPr>
          <w:rFonts w:hint="eastAsia" w:ascii="仿宋" w:hAnsi="仿宋" w:eastAsia="仿宋" w:cs="仿宋"/>
          <w:color w:val="auto"/>
          <w:szCs w:val="21"/>
          <w:highlight w:val="none"/>
        </w:rPr>
        <w:t>。</w:t>
      </w:r>
    </w:p>
    <w:p w14:paraId="4DD08109">
      <w:pPr>
        <w:spacing w:line="360" w:lineRule="auto"/>
        <w:ind w:firstLine="409" w:firstLineChars="195"/>
        <w:rPr>
          <w:rFonts w:hint="eastAsia" w:ascii="仿宋" w:hAnsi="仿宋" w:eastAsia="仿宋" w:cs="仿宋"/>
          <w:color w:val="auto"/>
          <w:szCs w:val="21"/>
          <w:highlight w:val="none"/>
        </w:rPr>
      </w:pPr>
      <w:r>
        <w:rPr>
          <w:rFonts w:hint="eastAsia" w:ascii="仿宋" w:hAnsi="仿宋" w:eastAsia="仿宋" w:cs="仿宋"/>
          <w:color w:val="auto"/>
          <w:szCs w:val="21"/>
          <w:highlight w:val="none"/>
        </w:rPr>
        <w:t>15.4.3 修复通知</w:t>
      </w:r>
    </w:p>
    <w:p w14:paraId="2E255BA8">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承包人收到保修通知并到达工程现场的合理时间：</w:t>
      </w:r>
      <w:r>
        <w:rPr>
          <w:rFonts w:hint="eastAsia" w:ascii="仿宋" w:hAnsi="仿宋" w:eastAsia="仿宋" w:cs="仿宋"/>
          <w:b/>
          <w:color w:val="auto"/>
          <w:szCs w:val="21"/>
          <w:highlight w:val="none"/>
          <w:u w:val="single"/>
        </w:rPr>
        <w:t>承包人应在收到发包人通知后的24小时内到达工程现场并修复缺陷或损坏</w:t>
      </w:r>
      <w:r>
        <w:rPr>
          <w:rFonts w:hint="eastAsia" w:ascii="仿宋" w:hAnsi="仿宋" w:eastAsia="仿宋" w:cs="仿宋"/>
          <w:color w:val="auto"/>
          <w:szCs w:val="21"/>
          <w:highlight w:val="none"/>
        </w:rPr>
        <w:t>。</w:t>
      </w:r>
    </w:p>
    <w:bookmarkEnd w:id="1038"/>
    <w:bookmarkEnd w:id="1039"/>
    <w:bookmarkEnd w:id="1040"/>
    <w:bookmarkEnd w:id="1041"/>
    <w:p w14:paraId="43D2EDD9">
      <w:pPr>
        <w:pStyle w:val="5"/>
        <w:spacing w:before="0" w:after="0" w:line="360" w:lineRule="auto"/>
        <w:rPr>
          <w:rFonts w:hint="eastAsia" w:ascii="仿宋" w:hAnsi="仿宋" w:eastAsia="仿宋" w:cs="仿宋"/>
          <w:b w:val="0"/>
          <w:color w:val="auto"/>
          <w:sz w:val="21"/>
          <w:szCs w:val="21"/>
          <w:highlight w:val="none"/>
        </w:rPr>
      </w:pPr>
      <w:bookmarkStart w:id="1064" w:name="_Toc371946151"/>
      <w:bookmarkStart w:id="1065" w:name="_Toc280868717"/>
      <w:bookmarkStart w:id="1066" w:name="_Toc280868718"/>
      <w:r>
        <w:rPr>
          <w:rFonts w:hint="eastAsia" w:ascii="仿宋" w:hAnsi="仿宋" w:eastAsia="仿宋" w:cs="仿宋"/>
          <w:b w:val="0"/>
          <w:color w:val="auto"/>
          <w:sz w:val="21"/>
          <w:szCs w:val="21"/>
          <w:highlight w:val="none"/>
        </w:rPr>
        <w:t>16. 违约</w:t>
      </w:r>
      <w:bookmarkEnd w:id="1064"/>
    </w:p>
    <w:p w14:paraId="5ABC5916">
      <w:pPr>
        <w:spacing w:line="360" w:lineRule="auto"/>
        <w:ind w:firstLine="420" w:firstLineChars="200"/>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16.1 发包人违约</w:t>
      </w:r>
    </w:p>
    <w:p w14:paraId="02463B57">
      <w:pPr>
        <w:spacing w:after="0" w:line="360" w:lineRule="auto"/>
        <w:ind w:firstLine="422" w:firstLineChars="200"/>
        <w:rPr>
          <w:rFonts w:hint="eastAsia" w:ascii="仿宋" w:hAnsi="仿宋" w:eastAsia="仿宋" w:cs="仿宋"/>
          <w:color w:val="auto"/>
          <w:szCs w:val="21"/>
          <w:highlight w:val="none"/>
        </w:rPr>
      </w:pPr>
      <w:r>
        <w:rPr>
          <w:rFonts w:hint="eastAsia" w:ascii="仿宋" w:hAnsi="仿宋" w:eastAsia="仿宋" w:cs="仿宋"/>
          <w:b/>
          <w:color w:val="auto"/>
          <w:szCs w:val="21"/>
          <w:highlight w:val="none"/>
          <w:u w:val="single"/>
        </w:rPr>
        <w:t>合同专用合同条款明确约定属于发包人原因造成工期延误或暂停施工的，经发包人批准后工期顺延</w:t>
      </w:r>
      <w:r>
        <w:rPr>
          <w:rFonts w:hint="eastAsia" w:ascii="仿宋" w:hAnsi="仿宋" w:eastAsia="仿宋" w:cs="仿宋"/>
          <w:color w:val="auto"/>
          <w:szCs w:val="21"/>
          <w:highlight w:val="none"/>
        </w:rPr>
        <w:t>。</w:t>
      </w:r>
    </w:p>
    <w:p w14:paraId="188BF130">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16.2 承包人违约</w:t>
      </w:r>
    </w:p>
    <w:p w14:paraId="2408443B">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16.2.1 承包人违约的情形</w:t>
      </w:r>
    </w:p>
    <w:p w14:paraId="31002017">
      <w:pPr>
        <w:spacing w:line="360" w:lineRule="auto"/>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承包人违约的其他情形：</w:t>
      </w:r>
    </w:p>
    <w:p w14:paraId="08A89A8D">
      <w:pPr>
        <w:tabs>
          <w:tab w:val="left" w:pos="6930"/>
        </w:tabs>
        <w:spacing w:line="360" w:lineRule="auto"/>
        <w:ind w:firstLine="413" w:firstLineChars="196"/>
        <w:rPr>
          <w:rFonts w:hint="eastAsia" w:ascii="仿宋" w:hAnsi="仿宋" w:eastAsia="仿宋" w:cs="仿宋"/>
          <w:b/>
          <w:color w:val="auto"/>
          <w:szCs w:val="21"/>
          <w:highlight w:val="none"/>
          <w:u w:val="single"/>
        </w:rPr>
      </w:pPr>
      <w:r>
        <w:rPr>
          <w:rFonts w:hint="eastAsia" w:ascii="仿宋" w:hAnsi="仿宋" w:eastAsia="仿宋" w:cs="仿宋"/>
          <w:b/>
          <w:color w:val="auto"/>
          <w:szCs w:val="21"/>
          <w:highlight w:val="none"/>
          <w:u w:val="single"/>
        </w:rPr>
        <w:t>1、在施工期间，若承包人违反施工操作技术规范、规程及管理规定，一经发现，承包人按5000元-10000元/人.次支付违约金，由此造成的一切后果均由承包人自行负责。</w:t>
      </w:r>
    </w:p>
    <w:p w14:paraId="52101D9C">
      <w:pPr>
        <w:spacing w:line="360" w:lineRule="auto"/>
        <w:ind w:firstLine="413" w:firstLineChars="196"/>
        <w:rPr>
          <w:rFonts w:hint="eastAsia" w:ascii="仿宋" w:hAnsi="仿宋" w:eastAsia="仿宋" w:cs="仿宋"/>
          <w:b/>
          <w:color w:val="auto"/>
          <w:szCs w:val="21"/>
          <w:highlight w:val="none"/>
          <w:u w:val="single"/>
        </w:rPr>
      </w:pPr>
      <w:r>
        <w:rPr>
          <w:rFonts w:hint="eastAsia" w:ascii="仿宋" w:hAnsi="仿宋" w:eastAsia="仿宋" w:cs="仿宋"/>
          <w:b/>
          <w:color w:val="auto"/>
          <w:szCs w:val="21"/>
          <w:highlight w:val="none"/>
          <w:u w:val="single"/>
        </w:rPr>
        <w:t>2、承包人在施工期间如果在各种报表及检查试验记录中作假或诱导监理人作假，一经查实，视其严重情况和影响程度，由承包人按1万元～5万元/次支付违约金。</w:t>
      </w:r>
    </w:p>
    <w:p w14:paraId="5FE2F046">
      <w:pPr>
        <w:spacing w:line="360" w:lineRule="auto"/>
        <w:ind w:firstLine="422" w:firstLineChars="200"/>
        <w:rPr>
          <w:rFonts w:hint="eastAsia" w:ascii="仿宋" w:hAnsi="仿宋" w:eastAsia="仿宋" w:cs="仿宋"/>
          <w:color w:val="auto"/>
          <w:szCs w:val="21"/>
          <w:highlight w:val="none"/>
          <w:u w:val="single"/>
        </w:rPr>
      </w:pPr>
      <w:r>
        <w:rPr>
          <w:rFonts w:hint="eastAsia" w:ascii="仿宋" w:hAnsi="仿宋" w:eastAsia="仿宋" w:cs="仿宋"/>
          <w:b/>
          <w:color w:val="auto"/>
          <w:szCs w:val="21"/>
          <w:highlight w:val="none"/>
          <w:u w:val="single"/>
        </w:rPr>
        <w:t>3、承包人若发生未能及时支付材料费、机械使用费和工人（含民工）工资等，由此造成相关人员、单位集体上访的, 每发生上访一次，承包人需承担最高30万元的违约金；造成停工、阻塞交通等的，承包人需承担最高50万元的违约金；情节严重造成恶劣社会影响或影响施工进程的，发包人有权提前解除合同，并由承包人按照专用合同条款第16.2.3项的约定承担违约责任</w:t>
      </w:r>
      <w:r>
        <w:rPr>
          <w:rFonts w:hint="eastAsia" w:ascii="仿宋" w:hAnsi="仿宋" w:eastAsia="仿宋" w:cs="仿宋"/>
          <w:color w:val="auto"/>
          <w:szCs w:val="21"/>
          <w:highlight w:val="none"/>
          <w:u w:val="single"/>
        </w:rPr>
        <w:t>。</w:t>
      </w:r>
    </w:p>
    <w:p w14:paraId="2CA20C9E">
      <w:pPr>
        <w:spacing w:line="360" w:lineRule="auto"/>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u w:val="single"/>
        </w:rPr>
        <w:t>4、</w:t>
      </w:r>
      <w:r>
        <w:rPr>
          <w:rFonts w:hint="eastAsia" w:ascii="仿宋" w:hAnsi="仿宋" w:eastAsia="仿宋" w:cs="仿宋"/>
          <w:b/>
          <w:bCs/>
          <w:color w:val="auto"/>
          <w:szCs w:val="21"/>
          <w:highlight w:val="none"/>
          <w:u w:val="single"/>
        </w:rPr>
        <w:t xml:space="preserve"> 因承包人原因（如人员、资金、技术力量等不足，拖欠民工工资、发生重特大安全事故或其他内部管理问题等）造成工程连续全面停工超过5天或比进度计划工期拖延超过7天的（承包人不得以发包人未支付工程进度款为由停工或拖延工期），视为承包人严重违约，发包人有权提前解除合同，</w:t>
      </w:r>
      <w:r>
        <w:rPr>
          <w:rFonts w:hint="eastAsia" w:ascii="仿宋" w:hAnsi="仿宋" w:eastAsia="仿宋" w:cs="仿宋"/>
          <w:b/>
          <w:color w:val="auto"/>
          <w:szCs w:val="21"/>
          <w:highlight w:val="none"/>
          <w:u w:val="single"/>
        </w:rPr>
        <w:t>并由承包人按照专用合同条款第16.2.3项的约定承担违约责任</w:t>
      </w:r>
      <w:r>
        <w:rPr>
          <w:rFonts w:hint="eastAsia" w:ascii="仿宋" w:hAnsi="仿宋" w:eastAsia="仿宋" w:cs="仿宋"/>
          <w:color w:val="auto"/>
          <w:szCs w:val="21"/>
          <w:highlight w:val="none"/>
        </w:rPr>
        <w:t>。</w:t>
      </w:r>
    </w:p>
    <w:p w14:paraId="10704F3E">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16.2.2承包人违约的责任</w:t>
      </w:r>
    </w:p>
    <w:p w14:paraId="22517C65">
      <w:pPr>
        <w:spacing w:line="360" w:lineRule="auto"/>
        <w:ind w:firstLine="420" w:firstLineChars="200"/>
        <w:rPr>
          <w:rFonts w:hint="eastAsia" w:ascii="仿宋" w:hAnsi="仿宋" w:eastAsia="仿宋" w:cs="仿宋"/>
          <w:b/>
          <w:color w:val="auto"/>
          <w:szCs w:val="21"/>
          <w:highlight w:val="none"/>
          <w:u w:val="single"/>
        </w:rPr>
      </w:pPr>
      <w:r>
        <w:rPr>
          <w:rFonts w:hint="eastAsia" w:ascii="仿宋" w:hAnsi="仿宋" w:eastAsia="仿宋" w:cs="仿宋"/>
          <w:color w:val="auto"/>
          <w:szCs w:val="21"/>
          <w:highlight w:val="none"/>
        </w:rPr>
        <w:t>承包人违约责任的承担方式和计算方法：</w:t>
      </w:r>
      <w:r>
        <w:rPr>
          <w:rFonts w:hint="eastAsia" w:ascii="仿宋" w:hAnsi="仿宋" w:eastAsia="仿宋" w:cs="仿宋"/>
          <w:b/>
          <w:color w:val="auto"/>
          <w:szCs w:val="21"/>
          <w:highlight w:val="none"/>
          <w:u w:val="single"/>
        </w:rPr>
        <w:t>合同约定应当由承包人赔偿发包人的损失或支付的违约金，发包人按照下列顺序扣除：（</w:t>
      </w:r>
      <w:r>
        <w:rPr>
          <w:rFonts w:hint="eastAsia" w:ascii="仿宋" w:hAnsi="仿宋" w:eastAsia="仿宋" w:cs="仿宋"/>
          <w:b/>
          <w:color w:val="auto"/>
          <w:szCs w:val="21"/>
          <w:highlight w:val="none"/>
          <w:u w:val="single"/>
          <w:lang w:val="en-US" w:eastAsia="zh-CN"/>
        </w:rPr>
        <w:t>1</w:t>
      </w:r>
      <w:r>
        <w:rPr>
          <w:rFonts w:hint="eastAsia" w:ascii="仿宋" w:hAnsi="仿宋" w:eastAsia="仿宋" w:cs="仿宋"/>
          <w:b/>
          <w:color w:val="auto"/>
          <w:szCs w:val="21"/>
          <w:highlight w:val="none"/>
          <w:u w:val="single"/>
        </w:rPr>
        <w:t>）发包人尚未支付的工程款（含质量保证金）。发包人尚未支付的工程款不足扣除的，发包人有权就剩余金额进行追索。违约责任计算方法按照专用合同条款的有关约定执行</w:t>
      </w:r>
      <w:r>
        <w:rPr>
          <w:rFonts w:hint="eastAsia" w:ascii="仿宋" w:hAnsi="仿宋" w:eastAsia="仿宋" w:cs="仿宋"/>
          <w:color w:val="auto"/>
          <w:szCs w:val="21"/>
          <w:highlight w:val="none"/>
          <w:u w:val="single"/>
        </w:rPr>
        <w:t>。</w:t>
      </w:r>
    </w:p>
    <w:p w14:paraId="7D3E9DD5">
      <w:pPr>
        <w:spacing w:line="360" w:lineRule="auto"/>
        <w:ind w:firstLine="422" w:firstLineChars="200"/>
        <w:rPr>
          <w:rFonts w:hint="eastAsia" w:ascii="仿宋" w:hAnsi="仿宋" w:eastAsia="仿宋" w:cs="仿宋"/>
          <w:color w:val="auto"/>
          <w:szCs w:val="21"/>
          <w:highlight w:val="none"/>
        </w:rPr>
      </w:pPr>
      <w:r>
        <w:rPr>
          <w:rFonts w:hint="eastAsia" w:ascii="仿宋" w:hAnsi="仿宋" w:eastAsia="仿宋" w:cs="仿宋"/>
          <w:b/>
          <w:color w:val="auto"/>
          <w:szCs w:val="21"/>
          <w:highlight w:val="none"/>
          <w:u w:val="single"/>
        </w:rPr>
        <w:t>承包人因拖欠民工等施工人员工资而引起上访或劳资纠纷的，发包人有权从承包人以现金形式缴纳的民工保证金、发包人尚未支付的工程款（含质量保证金）中扣除相应金额兑付承包人应付的民工等施工人员工资</w:t>
      </w:r>
      <w:r>
        <w:rPr>
          <w:rFonts w:hint="eastAsia" w:ascii="仿宋" w:hAnsi="仿宋" w:eastAsia="仿宋" w:cs="仿宋"/>
          <w:color w:val="auto"/>
          <w:szCs w:val="21"/>
          <w:highlight w:val="none"/>
        </w:rPr>
        <w:t>。</w:t>
      </w:r>
    </w:p>
    <w:p w14:paraId="42BEB138">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16.2.3 因承包人违约解除合同</w:t>
      </w:r>
    </w:p>
    <w:p w14:paraId="013FC9E3">
      <w:pPr>
        <w:spacing w:before="0" w:after="0" w:line="360" w:lineRule="auto"/>
        <w:ind w:firstLine="420" w:firstLineChars="200"/>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关于承包人违约解除合同的特别约定：</w:t>
      </w:r>
      <w:r>
        <w:rPr>
          <w:rFonts w:hint="eastAsia" w:ascii="仿宋" w:hAnsi="仿宋" w:eastAsia="仿宋" w:cs="仿宋"/>
          <w:b/>
          <w:color w:val="auto"/>
          <w:szCs w:val="21"/>
          <w:highlight w:val="none"/>
          <w:u w:val="single"/>
        </w:rPr>
        <w:t>出现专用合同条款约定因承包人违约发包人有权解除合同，以及出现通用合同条款第16.2.1项〔承包人违约的情形〕第（7）目约定的违约情况时，或监理人、发包人发出整改通知后，承包人在指定的合理期限内仍不纠正违约行为并致使合同目的不能实现的，发包人有权解除合同，同时承包人应当按照签约合同价20%的金额承担合同解除的违约责任</w:t>
      </w:r>
      <w:r>
        <w:rPr>
          <w:rFonts w:hint="eastAsia" w:ascii="仿宋" w:hAnsi="仿宋" w:eastAsia="仿宋" w:cs="仿宋"/>
          <w:color w:val="auto"/>
          <w:szCs w:val="21"/>
          <w:highlight w:val="none"/>
          <w:u w:val="single"/>
        </w:rPr>
        <w:t>。</w:t>
      </w:r>
      <w:r>
        <w:rPr>
          <w:rFonts w:hint="eastAsia" w:ascii="仿宋" w:hAnsi="仿宋" w:eastAsia="仿宋" w:cs="仿宋"/>
          <w:b/>
          <w:color w:val="auto"/>
          <w:szCs w:val="21"/>
          <w:highlight w:val="none"/>
          <w:u w:val="single"/>
        </w:rPr>
        <w:t>因解除合同给发包人造成损失的，承包人还应当赔偿相应的损</w:t>
      </w:r>
      <w:r>
        <w:rPr>
          <w:rFonts w:hint="eastAsia" w:ascii="仿宋" w:hAnsi="仿宋" w:eastAsia="仿宋" w:cs="仿宋"/>
          <w:b/>
          <w:color w:val="auto"/>
          <w:szCs w:val="21"/>
          <w:highlight w:val="none"/>
        </w:rPr>
        <w:t>失</w:t>
      </w:r>
      <w:r>
        <w:rPr>
          <w:rFonts w:hint="eastAsia" w:ascii="仿宋" w:hAnsi="仿宋" w:eastAsia="仿宋" w:cs="仿宋"/>
          <w:color w:val="auto"/>
          <w:szCs w:val="21"/>
          <w:highlight w:val="none"/>
        </w:rPr>
        <w:t>。</w:t>
      </w:r>
    </w:p>
    <w:p w14:paraId="491E6629">
      <w:pPr>
        <w:spacing w:before="0" w:after="0" w:line="360" w:lineRule="auto"/>
        <w:ind w:firstLine="420" w:firstLineChars="200"/>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发包人继续使用承包人在施工现场的材料、设备、临时工程、承包人文件和由承包人或以其名义编制的其他文件的费用承担方式：</w:t>
      </w:r>
      <w:r>
        <w:rPr>
          <w:rFonts w:hint="eastAsia" w:ascii="仿宋" w:hAnsi="仿宋" w:eastAsia="仿宋" w:cs="仿宋"/>
          <w:b/>
          <w:color w:val="auto"/>
          <w:szCs w:val="21"/>
          <w:highlight w:val="none"/>
          <w:u w:val="single"/>
        </w:rPr>
        <w:t>合同解除后，因继续完成工程的需要，发包人有权免费使用承包人在施工现场的临时工程、承包人文件和由承包人或以其名义编制的其他文件，承包人在施工现场的材料、设备由承包人按照发包人要求和监理人的指示在合理期限内自行撤离现场，限期内未完成现场的清理和撤离的，发包人有权免费使用</w:t>
      </w:r>
      <w:r>
        <w:rPr>
          <w:rFonts w:hint="eastAsia" w:ascii="仿宋" w:hAnsi="仿宋" w:eastAsia="仿宋" w:cs="仿宋"/>
          <w:color w:val="auto"/>
          <w:szCs w:val="21"/>
          <w:highlight w:val="none"/>
        </w:rPr>
        <w:t>。</w:t>
      </w:r>
    </w:p>
    <w:p w14:paraId="06198B61">
      <w:pPr>
        <w:spacing w:line="360" w:lineRule="auto"/>
        <w:ind w:firstLine="420" w:firstLineChars="200"/>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16.2.4因承包人违约解除合同后的处理</w:t>
      </w:r>
    </w:p>
    <w:p w14:paraId="4827BC0D">
      <w:pPr>
        <w:spacing w:line="360" w:lineRule="auto"/>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u w:val="single"/>
        </w:rPr>
        <w:t>因承包人原因导致合同解除的，承包人应按照发包人要求和监理人的指示完成现场的清理和撤离；对承包人实际完成工作对应的合同价款按照合同约定进行计量清算，尚未支付的工程款在扣除承包人应当支付的违约金和赔偿给发包人造成的损失后，发包人在解除合同后的2年内付清</w:t>
      </w:r>
      <w:r>
        <w:rPr>
          <w:rFonts w:hint="eastAsia" w:ascii="仿宋" w:hAnsi="仿宋" w:eastAsia="仿宋" w:cs="仿宋"/>
          <w:color w:val="auto"/>
          <w:szCs w:val="21"/>
          <w:highlight w:val="none"/>
        </w:rPr>
        <w:t>。</w:t>
      </w:r>
    </w:p>
    <w:p w14:paraId="2E347CF2">
      <w:pPr>
        <w:pStyle w:val="5"/>
        <w:spacing w:before="0" w:after="0" w:line="360" w:lineRule="auto"/>
        <w:rPr>
          <w:rFonts w:hint="eastAsia" w:ascii="仿宋" w:hAnsi="仿宋" w:eastAsia="仿宋" w:cs="仿宋"/>
          <w:b w:val="0"/>
          <w:color w:val="auto"/>
          <w:sz w:val="21"/>
          <w:szCs w:val="21"/>
          <w:highlight w:val="none"/>
        </w:rPr>
      </w:pPr>
      <w:bookmarkStart w:id="1067" w:name="_Toc371946152"/>
      <w:r>
        <w:rPr>
          <w:rFonts w:hint="eastAsia" w:ascii="仿宋" w:hAnsi="仿宋" w:eastAsia="仿宋" w:cs="仿宋"/>
          <w:b w:val="0"/>
          <w:color w:val="auto"/>
          <w:sz w:val="21"/>
          <w:szCs w:val="21"/>
          <w:highlight w:val="none"/>
        </w:rPr>
        <w:t>17. 不可抗力</w:t>
      </w:r>
      <w:bookmarkEnd w:id="1065"/>
      <w:bookmarkEnd w:id="1067"/>
    </w:p>
    <w:p w14:paraId="3B982687">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17.1 不可抗力的确认</w:t>
      </w:r>
    </w:p>
    <w:p w14:paraId="511B5B47">
      <w:pPr>
        <w:spacing w:line="360" w:lineRule="auto"/>
        <w:ind w:firstLine="420" w:firstLineChars="200"/>
        <w:rPr>
          <w:rFonts w:hint="eastAsia" w:ascii="仿宋" w:hAnsi="仿宋" w:eastAsia="仿宋" w:cs="仿宋"/>
          <w:b/>
          <w:color w:val="auto"/>
          <w:szCs w:val="21"/>
          <w:highlight w:val="none"/>
          <w:u w:val="single"/>
        </w:rPr>
      </w:pPr>
      <w:r>
        <w:rPr>
          <w:rFonts w:hint="eastAsia" w:ascii="仿宋" w:hAnsi="仿宋" w:eastAsia="仿宋" w:cs="仿宋"/>
          <w:color w:val="auto"/>
          <w:szCs w:val="21"/>
          <w:highlight w:val="none"/>
        </w:rPr>
        <w:t>除约定的不可抗力事件之外，视为不可抗力的其他情形：</w:t>
      </w:r>
      <w:r>
        <w:rPr>
          <w:rFonts w:hint="eastAsia" w:ascii="仿宋" w:hAnsi="仿宋" w:eastAsia="仿宋" w:cs="仿宋"/>
          <w:b/>
          <w:color w:val="auto"/>
          <w:szCs w:val="21"/>
          <w:highlight w:val="none"/>
          <w:u w:val="single"/>
        </w:rPr>
        <w:t>（1）7 级以上的地震；（2）8级以上的大风；（3）持续降雨（雪）24小时且降雨（雪）量为100mm以上；（4）40摄氏度以上并持续2天的高温天气。</w:t>
      </w:r>
    </w:p>
    <w:p w14:paraId="0B02C965">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17.4 因不可抗力解除合同</w:t>
      </w:r>
    </w:p>
    <w:p w14:paraId="544BAA5C">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合同解除后，发包人应在商定或确定发包人应支付款项后</w:t>
      </w:r>
      <w:r>
        <w:rPr>
          <w:rFonts w:hint="eastAsia" w:ascii="仿宋" w:hAnsi="仿宋" w:eastAsia="仿宋" w:cs="仿宋"/>
          <w:b/>
          <w:color w:val="auto"/>
          <w:szCs w:val="21"/>
          <w:highlight w:val="none"/>
          <w:u w:val="single"/>
        </w:rPr>
        <w:t>2年</w:t>
      </w:r>
      <w:r>
        <w:rPr>
          <w:rFonts w:hint="eastAsia" w:ascii="仿宋" w:hAnsi="仿宋" w:eastAsia="仿宋" w:cs="仿宋"/>
          <w:color w:val="auto"/>
          <w:szCs w:val="21"/>
          <w:highlight w:val="none"/>
        </w:rPr>
        <w:t>内完成款项的支付。</w:t>
      </w:r>
    </w:p>
    <w:p w14:paraId="5CDD75FA">
      <w:pPr>
        <w:pStyle w:val="5"/>
        <w:spacing w:before="0" w:after="0" w:line="360" w:lineRule="auto"/>
        <w:rPr>
          <w:rFonts w:hint="eastAsia" w:ascii="仿宋" w:hAnsi="仿宋" w:eastAsia="仿宋" w:cs="仿宋"/>
          <w:b w:val="0"/>
          <w:color w:val="auto"/>
          <w:sz w:val="21"/>
          <w:szCs w:val="21"/>
          <w:highlight w:val="none"/>
        </w:rPr>
      </w:pPr>
      <w:bookmarkStart w:id="1068" w:name="_Toc371946153"/>
      <w:r>
        <w:rPr>
          <w:rFonts w:hint="eastAsia" w:ascii="仿宋" w:hAnsi="仿宋" w:eastAsia="仿宋" w:cs="仿宋"/>
          <w:b w:val="0"/>
          <w:color w:val="auto"/>
          <w:sz w:val="21"/>
          <w:szCs w:val="21"/>
          <w:highlight w:val="none"/>
        </w:rPr>
        <w:t>18. 保险</w:t>
      </w:r>
      <w:bookmarkEnd w:id="1068"/>
    </w:p>
    <w:bookmarkEnd w:id="1066"/>
    <w:p w14:paraId="576F752B">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18.1 工程保险</w:t>
      </w:r>
    </w:p>
    <w:p w14:paraId="58952B0E">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关于工程保险的特别约定：</w:t>
      </w:r>
      <w:r>
        <w:rPr>
          <w:rFonts w:hint="eastAsia" w:ascii="仿宋" w:hAnsi="仿宋" w:eastAsia="仿宋" w:cs="仿宋"/>
          <w:b/>
          <w:color w:val="auto"/>
          <w:szCs w:val="21"/>
          <w:highlight w:val="none"/>
          <w:u w:val="single"/>
        </w:rPr>
        <w:t>根据本合同的具体情况，承包人应依据国家有关规定、企业自身的技术管理水平和对本条款风险的预测和决策能力，全面考虑投保险种，其投保的保险费自行承担支付，并已包含在所报的单价或总额价中，不单独报价和结算。承包人应投保建筑工程一切险或安装工程一切险，因投保产生的保险费和其他相关费用由承包人承担第三者责任险投保由承包人负责办理并承担费用</w:t>
      </w:r>
      <w:r>
        <w:rPr>
          <w:rFonts w:hint="eastAsia" w:ascii="仿宋" w:hAnsi="仿宋" w:eastAsia="仿宋" w:cs="仿宋"/>
          <w:color w:val="auto"/>
          <w:szCs w:val="21"/>
          <w:highlight w:val="none"/>
        </w:rPr>
        <w:t>。</w:t>
      </w:r>
    </w:p>
    <w:p w14:paraId="282EFEEC">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18.3 其他保险</w:t>
      </w:r>
    </w:p>
    <w:p w14:paraId="5E94F437">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关于其他保险的约定：</w:t>
      </w:r>
      <w:r>
        <w:rPr>
          <w:rFonts w:hint="eastAsia" w:ascii="仿宋" w:hAnsi="仿宋" w:eastAsia="仿宋" w:cs="仿宋"/>
          <w:b/>
          <w:color w:val="auto"/>
          <w:szCs w:val="21"/>
          <w:highlight w:val="none"/>
          <w:u w:val="single"/>
        </w:rPr>
        <w:t>发包人和承包人应当为其施工现场的全部人员（包括其员工及为履行合同聘请的第三方的人员）办理意外伤害保险并支付保险费，包括其员工及为履行合同聘请的第三方的人员</w:t>
      </w:r>
      <w:r>
        <w:rPr>
          <w:rFonts w:hint="eastAsia" w:ascii="仿宋" w:hAnsi="仿宋" w:eastAsia="仿宋" w:cs="仿宋"/>
          <w:b/>
          <w:color w:val="auto"/>
          <w:szCs w:val="21"/>
          <w:highlight w:val="none"/>
        </w:rPr>
        <w:t>。</w:t>
      </w:r>
    </w:p>
    <w:p w14:paraId="21D53CE1">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承包人是否应为其施工设备等办理财产保险：</w:t>
      </w:r>
      <w:r>
        <w:rPr>
          <w:rFonts w:hint="eastAsia" w:ascii="仿宋" w:hAnsi="仿宋" w:eastAsia="仿宋" w:cs="仿宋"/>
          <w:b/>
          <w:color w:val="auto"/>
          <w:szCs w:val="21"/>
          <w:highlight w:val="none"/>
          <w:u w:val="single"/>
        </w:rPr>
        <w:t>承包人应为其施工设备等办理财产保险</w:t>
      </w:r>
      <w:r>
        <w:rPr>
          <w:rFonts w:hint="eastAsia" w:ascii="仿宋" w:hAnsi="仿宋" w:eastAsia="仿宋" w:cs="仿宋"/>
          <w:color w:val="auto"/>
          <w:szCs w:val="21"/>
          <w:highlight w:val="none"/>
        </w:rPr>
        <w:t>。</w:t>
      </w:r>
    </w:p>
    <w:p w14:paraId="413497F6">
      <w:pPr>
        <w:pStyle w:val="9"/>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因承包人未及时、足额投保或脱保所造成的损失由承包人承担，并由承包人对发包人的损失足额予以赔偿。</w:t>
      </w:r>
    </w:p>
    <w:p w14:paraId="4635C61F">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18.7 通知义务</w:t>
      </w:r>
    </w:p>
    <w:p w14:paraId="62537871">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关于变更保险合同时的通知义务的约定：</w:t>
      </w:r>
      <w:r>
        <w:rPr>
          <w:rFonts w:hint="eastAsia" w:ascii="仿宋" w:hAnsi="仿宋" w:eastAsia="仿宋" w:cs="仿宋"/>
          <w:b/>
          <w:color w:val="auto"/>
          <w:szCs w:val="21"/>
          <w:highlight w:val="none"/>
          <w:u w:val="single"/>
        </w:rPr>
        <w:t>按通用合同条款执</w:t>
      </w:r>
      <w:r>
        <w:rPr>
          <w:rFonts w:hint="eastAsia" w:ascii="仿宋" w:hAnsi="仿宋" w:eastAsia="仿宋" w:cs="仿宋"/>
          <w:b/>
          <w:color w:val="auto"/>
          <w:szCs w:val="21"/>
          <w:highlight w:val="none"/>
        </w:rPr>
        <w:t>行</w:t>
      </w:r>
      <w:r>
        <w:rPr>
          <w:rFonts w:hint="eastAsia" w:ascii="仿宋" w:hAnsi="仿宋" w:eastAsia="仿宋" w:cs="仿宋"/>
          <w:color w:val="auto"/>
          <w:szCs w:val="21"/>
          <w:highlight w:val="none"/>
        </w:rPr>
        <w:t>。</w:t>
      </w:r>
    </w:p>
    <w:bookmarkEnd w:id="1042"/>
    <w:bookmarkEnd w:id="1043"/>
    <w:bookmarkEnd w:id="1044"/>
    <w:bookmarkEnd w:id="1045"/>
    <w:bookmarkEnd w:id="1046"/>
    <w:bookmarkEnd w:id="1047"/>
    <w:bookmarkEnd w:id="1048"/>
    <w:bookmarkEnd w:id="1049"/>
    <w:bookmarkEnd w:id="1050"/>
    <w:bookmarkEnd w:id="1051"/>
    <w:bookmarkEnd w:id="1052"/>
    <w:bookmarkEnd w:id="1053"/>
    <w:p w14:paraId="6ECC5A6F">
      <w:pPr>
        <w:pStyle w:val="5"/>
        <w:spacing w:before="0" w:after="0" w:line="360" w:lineRule="auto"/>
        <w:rPr>
          <w:rFonts w:hint="eastAsia" w:ascii="仿宋" w:hAnsi="仿宋" w:eastAsia="仿宋" w:cs="仿宋"/>
          <w:b w:val="0"/>
          <w:color w:val="auto"/>
          <w:sz w:val="21"/>
          <w:szCs w:val="21"/>
          <w:highlight w:val="none"/>
        </w:rPr>
      </w:pPr>
      <w:bookmarkStart w:id="1069" w:name="_Toc371946154"/>
      <w:r>
        <w:rPr>
          <w:rFonts w:hint="eastAsia" w:ascii="仿宋" w:hAnsi="仿宋" w:eastAsia="仿宋" w:cs="仿宋"/>
          <w:b w:val="0"/>
          <w:color w:val="auto"/>
          <w:sz w:val="21"/>
          <w:szCs w:val="21"/>
          <w:highlight w:val="none"/>
        </w:rPr>
        <w:t>20. 争议解决</w:t>
      </w:r>
      <w:bookmarkEnd w:id="1069"/>
    </w:p>
    <w:bookmarkEnd w:id="1054"/>
    <w:bookmarkEnd w:id="1055"/>
    <w:p w14:paraId="3CF2C88D">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20.3 争</w:t>
      </w:r>
      <w:bookmarkEnd w:id="1056"/>
      <w:r>
        <w:rPr>
          <w:rFonts w:hint="eastAsia" w:ascii="仿宋" w:hAnsi="仿宋" w:eastAsia="仿宋" w:cs="仿宋"/>
          <w:color w:val="auto"/>
          <w:szCs w:val="21"/>
          <w:highlight w:val="none"/>
        </w:rPr>
        <w:t>议评审</w:t>
      </w:r>
    </w:p>
    <w:p w14:paraId="08790292">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合同当事人是否同意将工程争议提交争议评审小组决定：</w:t>
      </w:r>
      <w:r>
        <w:rPr>
          <w:rFonts w:hint="eastAsia" w:ascii="仿宋" w:hAnsi="仿宋" w:eastAsia="仿宋" w:cs="仿宋"/>
          <w:b/>
          <w:color w:val="auto"/>
          <w:szCs w:val="21"/>
          <w:highlight w:val="none"/>
          <w:u w:val="single"/>
        </w:rPr>
        <w:t xml:space="preserve"> 不采取争议评审方式解决争议</w:t>
      </w:r>
      <w:r>
        <w:rPr>
          <w:rFonts w:hint="eastAsia" w:ascii="仿宋" w:hAnsi="仿宋" w:eastAsia="仿宋" w:cs="仿宋"/>
          <w:color w:val="auto"/>
          <w:szCs w:val="21"/>
          <w:highlight w:val="none"/>
        </w:rPr>
        <w:t>。</w:t>
      </w:r>
    </w:p>
    <w:p w14:paraId="09F8E10F">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20.3.1 争议评审小组的确定</w:t>
      </w:r>
    </w:p>
    <w:p w14:paraId="3B789435">
      <w:pPr>
        <w:spacing w:line="360" w:lineRule="auto"/>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争议评审小组成员的确定：</w:t>
      </w:r>
      <w:r>
        <w:rPr>
          <w:rFonts w:hint="eastAsia" w:ascii="仿宋" w:hAnsi="仿宋" w:eastAsia="仿宋" w:cs="仿宋"/>
          <w:b/>
          <w:color w:val="auto"/>
          <w:szCs w:val="21"/>
          <w:highlight w:val="none"/>
          <w:u w:val="single"/>
        </w:rPr>
        <w:t xml:space="preserve">/ </w:t>
      </w:r>
      <w:r>
        <w:rPr>
          <w:rFonts w:hint="eastAsia" w:ascii="仿宋" w:hAnsi="仿宋" w:eastAsia="仿宋" w:cs="仿宋"/>
          <w:color w:val="auto"/>
          <w:szCs w:val="21"/>
          <w:highlight w:val="none"/>
        </w:rPr>
        <w:t>。</w:t>
      </w:r>
    </w:p>
    <w:p w14:paraId="2F6DB905">
      <w:pPr>
        <w:spacing w:line="360" w:lineRule="auto"/>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选定争议评审员的期限：</w:t>
      </w:r>
      <w:r>
        <w:rPr>
          <w:rFonts w:hint="eastAsia" w:ascii="仿宋" w:hAnsi="仿宋" w:eastAsia="仿宋" w:cs="仿宋"/>
          <w:b/>
          <w:color w:val="auto"/>
          <w:szCs w:val="21"/>
          <w:highlight w:val="none"/>
          <w:u w:val="single"/>
        </w:rPr>
        <w:t xml:space="preserve">/ </w:t>
      </w:r>
      <w:r>
        <w:rPr>
          <w:rFonts w:hint="eastAsia" w:ascii="仿宋" w:hAnsi="仿宋" w:eastAsia="仿宋" w:cs="仿宋"/>
          <w:color w:val="auto"/>
          <w:szCs w:val="21"/>
          <w:highlight w:val="none"/>
        </w:rPr>
        <w:t>。</w:t>
      </w:r>
    </w:p>
    <w:p w14:paraId="0C03B31A">
      <w:pPr>
        <w:spacing w:line="360" w:lineRule="auto"/>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争议评审小组成员的报酬承担方式：</w:t>
      </w:r>
      <w:r>
        <w:rPr>
          <w:rFonts w:hint="eastAsia" w:ascii="仿宋" w:hAnsi="仿宋" w:eastAsia="仿宋" w:cs="仿宋"/>
          <w:b/>
          <w:color w:val="auto"/>
          <w:szCs w:val="21"/>
          <w:highlight w:val="none"/>
          <w:u w:val="single"/>
        </w:rPr>
        <w:t xml:space="preserve">/ </w:t>
      </w:r>
      <w:r>
        <w:rPr>
          <w:rFonts w:hint="eastAsia" w:ascii="仿宋" w:hAnsi="仿宋" w:eastAsia="仿宋" w:cs="仿宋"/>
          <w:color w:val="auto"/>
          <w:szCs w:val="21"/>
          <w:highlight w:val="none"/>
        </w:rPr>
        <w:t>。</w:t>
      </w:r>
    </w:p>
    <w:p w14:paraId="6681DB2E">
      <w:pPr>
        <w:spacing w:line="360" w:lineRule="auto"/>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其他事项的约定：</w:t>
      </w:r>
      <w:r>
        <w:rPr>
          <w:rFonts w:hint="eastAsia" w:ascii="仿宋" w:hAnsi="仿宋" w:eastAsia="仿宋" w:cs="仿宋"/>
          <w:b/>
          <w:color w:val="auto"/>
          <w:szCs w:val="21"/>
          <w:highlight w:val="none"/>
          <w:u w:val="single"/>
        </w:rPr>
        <w:t xml:space="preserve">/ </w:t>
      </w:r>
      <w:r>
        <w:rPr>
          <w:rFonts w:hint="eastAsia" w:ascii="仿宋" w:hAnsi="仿宋" w:eastAsia="仿宋" w:cs="仿宋"/>
          <w:color w:val="auto"/>
          <w:szCs w:val="21"/>
          <w:highlight w:val="none"/>
        </w:rPr>
        <w:t>。</w:t>
      </w:r>
    </w:p>
    <w:p w14:paraId="2A34D10B">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20.3.2 争议评审小组的决定</w:t>
      </w:r>
    </w:p>
    <w:p w14:paraId="6F625AA0">
      <w:pPr>
        <w:spacing w:line="360" w:lineRule="auto"/>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合同当事人关于本项的约定：</w:t>
      </w:r>
      <w:r>
        <w:rPr>
          <w:rFonts w:hint="eastAsia" w:ascii="仿宋" w:hAnsi="仿宋" w:eastAsia="仿宋" w:cs="仿宋"/>
          <w:b/>
          <w:color w:val="auto"/>
          <w:szCs w:val="21"/>
          <w:highlight w:val="none"/>
          <w:u w:val="single"/>
        </w:rPr>
        <w:t xml:space="preserve">/ </w:t>
      </w:r>
      <w:r>
        <w:rPr>
          <w:rFonts w:hint="eastAsia" w:ascii="仿宋" w:hAnsi="仿宋" w:eastAsia="仿宋" w:cs="仿宋"/>
          <w:color w:val="auto"/>
          <w:szCs w:val="21"/>
          <w:highlight w:val="none"/>
        </w:rPr>
        <w:t>。</w:t>
      </w:r>
    </w:p>
    <w:p w14:paraId="025FF5D5">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20.4仲裁或诉讼</w:t>
      </w:r>
      <w:bookmarkEnd w:id="1057"/>
    </w:p>
    <w:p w14:paraId="01F9E5CD">
      <w:pPr>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因合同及合同有关事项发生的争议，按下列第</w:t>
      </w:r>
      <w:r>
        <w:rPr>
          <w:rFonts w:hint="eastAsia" w:ascii="仿宋" w:hAnsi="仿宋" w:eastAsia="仿宋" w:cs="仿宋"/>
          <w:b/>
          <w:color w:val="auto"/>
          <w:szCs w:val="21"/>
          <w:highlight w:val="none"/>
          <w:u w:val="single"/>
        </w:rPr>
        <w:t>2</w:t>
      </w:r>
      <w:r>
        <w:rPr>
          <w:rFonts w:hint="eastAsia" w:ascii="仿宋" w:hAnsi="仿宋" w:eastAsia="仿宋" w:cs="仿宋"/>
          <w:color w:val="auto"/>
          <w:szCs w:val="21"/>
          <w:highlight w:val="none"/>
        </w:rPr>
        <w:t>种方式解决：</w:t>
      </w:r>
    </w:p>
    <w:p w14:paraId="0844A4CB">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（1）向</w:t>
      </w:r>
      <w:r>
        <w:rPr>
          <w:rFonts w:hint="eastAsia" w:ascii="仿宋" w:hAnsi="仿宋" w:eastAsia="仿宋" w:cs="仿宋"/>
          <w:b/>
          <w:color w:val="auto"/>
          <w:szCs w:val="21"/>
          <w:highlight w:val="none"/>
          <w:u w:val="single"/>
        </w:rPr>
        <w:t xml:space="preserve">/ </w:t>
      </w:r>
      <w:r>
        <w:rPr>
          <w:rFonts w:hint="eastAsia" w:ascii="仿宋" w:hAnsi="仿宋" w:eastAsia="仿宋" w:cs="仿宋"/>
          <w:color w:val="auto"/>
          <w:szCs w:val="21"/>
          <w:highlight w:val="none"/>
        </w:rPr>
        <w:t>仲裁委员会申请仲裁；</w:t>
      </w:r>
    </w:p>
    <w:p w14:paraId="5F7E1435">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（2）向</w:t>
      </w:r>
      <w:r>
        <w:rPr>
          <w:rFonts w:hint="eastAsia" w:ascii="仿宋" w:hAnsi="仿宋" w:eastAsia="仿宋" w:cs="仿宋"/>
          <w:b/>
          <w:color w:val="auto"/>
          <w:szCs w:val="21"/>
          <w:highlight w:val="none"/>
          <w:u w:val="single"/>
        </w:rPr>
        <w:t>工程所在地</w:t>
      </w:r>
      <w:r>
        <w:rPr>
          <w:rFonts w:hint="eastAsia" w:ascii="仿宋" w:hAnsi="仿宋" w:eastAsia="仿宋" w:cs="仿宋"/>
          <w:color w:val="auto"/>
          <w:szCs w:val="21"/>
          <w:highlight w:val="none"/>
        </w:rPr>
        <w:t>人民法院起诉。</w:t>
      </w:r>
      <w:bookmarkEnd w:id="1058"/>
      <w:bookmarkEnd w:id="1059"/>
      <w:bookmarkEnd w:id="1060"/>
      <w:bookmarkEnd w:id="1061"/>
      <w:bookmarkEnd w:id="1062"/>
      <w:bookmarkEnd w:id="1063"/>
    </w:p>
    <w:p w14:paraId="4F888EF5">
      <w:pPr>
        <w:tabs>
          <w:tab w:val="left" w:pos="6930"/>
        </w:tabs>
        <w:spacing w:line="360"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21、补充条款</w:t>
      </w:r>
      <w:r>
        <w:rPr>
          <w:rFonts w:hint="eastAsia" w:ascii="仿宋" w:hAnsi="仿宋" w:eastAsia="仿宋" w:cs="仿宋"/>
          <w:color w:val="auto"/>
          <w:szCs w:val="21"/>
          <w:highlight w:val="none"/>
        </w:rPr>
        <w:t>：</w:t>
      </w:r>
    </w:p>
    <w:p w14:paraId="148706E6">
      <w:pPr>
        <w:tabs>
          <w:tab w:val="left" w:pos="6930"/>
        </w:tabs>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 工程量清单中所列的工程量是根据本工程设计文件预计的工程量，不能作为承包人在履行合同义务过程中应予完成工程的实际和准确的工程量，竣工结算的工程量按应予计量且实际完成的工程量确定。工程量清单中的任何漏项或缺项，不应免除承包人根据合同约定和图纸、规范履行合同的责任。工程量清单中载明的项目，承包人没有报价的，视为承包人向发包人承诺免费，或其费用视为已分摊在工程量清单中其他相关子目的单价（价格）之中，结算时不得增加或调整相应费用。</w:t>
      </w:r>
    </w:p>
    <w:p w14:paraId="280A43C8">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 未尽事宜详见本工程招标文件工程量清单编制说明。</w:t>
      </w:r>
    </w:p>
    <w:p w14:paraId="1375BCF2">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 在施工过程中，乙方必须保护公路及公路配套设施，因施工单位原因造成公路设施的损坏，由乙方负责恢复原貌或照价赔偿。</w:t>
      </w:r>
    </w:p>
    <w:p w14:paraId="21978188">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 在施工过程中造成的安全责任事故概由乙方负责,与甲方无关。</w:t>
      </w:r>
    </w:p>
    <w:p w14:paraId="03757A9C">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 乙方严格遵守甲方制定的施工单位管理制度。</w:t>
      </w:r>
    </w:p>
    <w:p w14:paraId="14239591">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 因管网施工造成城镇市政设施损坏，由乙方负责恢复原貌或照价赔偿，并经城管部门验收合格甲方方能支付工程款。</w:t>
      </w:r>
    </w:p>
    <w:p w14:paraId="55F3D99C">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承包人应在签订施工合同后10个工作日内提交其按合同条款约定所需要购买的各项保险的凭证和保险单复印件。如承包人未按合同条款约定购买所需购买的各项保险的，其保险可由发包人代买，费用从承包人工程款中扣除。</w:t>
      </w:r>
    </w:p>
    <w:p w14:paraId="18B3740C"/>
    <w:p w14:paraId="7407B722"/>
    <w:p w14:paraId="479A7DCA"/>
    <w:p w14:paraId="5D39DE44"/>
    <w:p w14:paraId="2DEA3BF9"/>
    <w:p w14:paraId="2048F54C"/>
    <w:p w14:paraId="57044EF8"/>
    <w:p w14:paraId="26A6B0A2"/>
    <w:p w14:paraId="4B7C5BAA"/>
    <w:p w14:paraId="2837340C"/>
    <w:p w14:paraId="716F73BD"/>
    <w:p w14:paraId="74BE0EB3"/>
    <w:p w14:paraId="2349EBF5"/>
    <w:p w14:paraId="5F55A33D"/>
    <w:p w14:paraId="38F58F98"/>
    <w:p w14:paraId="387BC33C"/>
    <w:p w14:paraId="0F10CD14"/>
    <w:p w14:paraId="12F5A641"/>
    <w:p w14:paraId="018C6BED"/>
    <w:p w14:paraId="38B823F0"/>
    <w:p w14:paraId="1897237B">
      <w:pPr>
        <w:spacing w:before="0" w:beforeLines="0" w:after="0" w:afterLines="0"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工程质量保修书</w:t>
      </w:r>
    </w:p>
    <w:p w14:paraId="0296002B">
      <w:pPr>
        <w:snapToGrid/>
        <w:spacing w:beforeLines="0" w:afterLines="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发包人（全称）：</w:t>
      </w:r>
      <w:r>
        <w:rPr>
          <w:rFonts w:hint="eastAsia" w:ascii="仿宋" w:hAnsi="仿宋" w:eastAsia="仿宋" w:cs="仿宋"/>
          <w:b/>
          <w:color w:val="auto"/>
          <w:szCs w:val="21"/>
          <w:highlight w:val="none"/>
          <w:u w:val="single"/>
          <w:lang w:val="en-US" w:eastAsia="zh-CN"/>
        </w:rPr>
        <w:t>金堂县第一人民医院</w:t>
      </w:r>
    </w:p>
    <w:p w14:paraId="0496979B">
      <w:pPr>
        <w:snapToGrid/>
        <w:spacing w:beforeLines="0" w:afterLines="0"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承包人（全称）：</w:t>
      </w:r>
    </w:p>
    <w:p w14:paraId="3D2FB362">
      <w:pPr>
        <w:snapToGrid/>
        <w:spacing w:beforeLines="0" w:afterLines="0"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　　发包人和承包人根据《中华人民共和国建筑法》和《建设工程质量管理条例》，经协商一致就</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签订工程质量保修书。</w:t>
      </w:r>
    </w:p>
    <w:p w14:paraId="3B98A90C">
      <w:pPr>
        <w:snapToGrid/>
        <w:spacing w:beforeLines="0" w:afterLines="0" w:line="360" w:lineRule="auto"/>
        <w:outlineLvl w:val="0"/>
        <w:rPr>
          <w:rFonts w:hint="eastAsia" w:ascii="仿宋" w:hAnsi="仿宋" w:eastAsia="仿宋" w:cs="仿宋"/>
          <w:color w:val="auto"/>
          <w:szCs w:val="21"/>
          <w:highlight w:val="none"/>
        </w:rPr>
      </w:pPr>
      <w:r>
        <w:rPr>
          <w:rFonts w:hint="eastAsia" w:ascii="仿宋" w:hAnsi="仿宋" w:eastAsia="仿宋" w:cs="仿宋"/>
          <w:color w:val="auto"/>
          <w:szCs w:val="21"/>
          <w:highlight w:val="none"/>
        </w:rPr>
        <w:t>　　一、工程质量保修范围和内容</w:t>
      </w:r>
    </w:p>
    <w:p w14:paraId="4595EBD2">
      <w:pPr>
        <w:snapToGrid/>
        <w:spacing w:beforeLines="0" w:afterLines="0" w:line="360" w:lineRule="auto"/>
        <w:rPr>
          <w:rFonts w:hint="eastAsia" w:ascii="仿宋" w:hAnsi="仿宋" w:eastAsia="仿宋" w:cs="仿宋"/>
          <w:color w:val="auto"/>
          <w:sz w:val="22"/>
          <w:highlight w:val="none"/>
        </w:rPr>
      </w:pPr>
      <w:r>
        <w:rPr>
          <w:rFonts w:hint="eastAsia" w:ascii="仿宋" w:hAnsi="仿宋" w:eastAsia="仿宋" w:cs="仿宋"/>
          <w:color w:val="auto"/>
          <w:szCs w:val="21"/>
          <w:highlight w:val="none"/>
        </w:rPr>
        <w:t>　　承包人在质量保修期内，按照有关法律规定和合同约定，承担工程质量保修责任。</w:t>
      </w:r>
      <w:r>
        <w:rPr>
          <w:rFonts w:hint="eastAsia" w:ascii="仿宋" w:hAnsi="仿宋" w:eastAsia="仿宋" w:cs="仿宋"/>
          <w:color w:val="auto"/>
          <w:sz w:val="22"/>
          <w:highlight w:val="none"/>
        </w:rPr>
        <w:t>质量保修范围包括地基基础工程、主体结构工程、屋面防水工程和双方约定的其他土建工程，以及电气管线、上下水管线的安装工程，供热、供冷系统工程、绿化工程等项目。</w:t>
      </w:r>
    </w:p>
    <w:p w14:paraId="7AEC351D">
      <w:pPr>
        <w:spacing w:beforeLines="0" w:afterLines="0" w:line="360" w:lineRule="auto"/>
        <w:ind w:firstLine="440"/>
        <w:rPr>
          <w:rFonts w:hint="eastAsia" w:ascii="仿宋" w:hAnsi="仿宋" w:eastAsia="仿宋" w:cs="仿宋"/>
          <w:color w:val="auto"/>
          <w:sz w:val="22"/>
          <w:highlight w:val="none"/>
        </w:rPr>
      </w:pPr>
      <w:r>
        <w:rPr>
          <w:rFonts w:hint="eastAsia" w:ascii="仿宋" w:hAnsi="仿宋" w:eastAsia="仿宋" w:cs="仿宋"/>
          <w:color w:val="auto"/>
          <w:sz w:val="22"/>
          <w:highlight w:val="none"/>
        </w:rPr>
        <w:t>具体质量保修内容双方约定如下：质量保修内容包括竣工图范围内的全部工程内容，主要设备达到国家相关规定使用年限要求，其它耗材按成本价收取费用。</w:t>
      </w:r>
    </w:p>
    <w:p w14:paraId="44AF3CB0">
      <w:pPr>
        <w:spacing w:beforeLines="0" w:afterLines="0" w:line="360" w:lineRule="auto"/>
        <w:ind w:firstLine="442" w:firstLineChars="200"/>
        <w:rPr>
          <w:rFonts w:hint="eastAsia" w:ascii="仿宋" w:hAnsi="仿宋" w:eastAsia="仿宋" w:cs="仿宋"/>
          <w:b/>
          <w:bCs/>
          <w:color w:val="auto"/>
          <w:sz w:val="22"/>
          <w:highlight w:val="none"/>
        </w:rPr>
      </w:pPr>
      <w:r>
        <w:rPr>
          <w:rFonts w:hint="eastAsia" w:ascii="仿宋" w:hAnsi="仿宋" w:eastAsia="仿宋" w:cs="仿宋"/>
          <w:b/>
          <w:bCs/>
          <w:color w:val="auto"/>
          <w:sz w:val="22"/>
          <w:highlight w:val="none"/>
        </w:rPr>
        <w:t>质量保修内容包括竣工图范围内的全部工程内容。</w:t>
      </w:r>
    </w:p>
    <w:p w14:paraId="7A6C7748">
      <w:pPr>
        <w:snapToGrid/>
        <w:spacing w:beforeLines="0" w:afterLines="0" w:line="360" w:lineRule="auto"/>
        <w:outlineLvl w:val="0"/>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　　</w:t>
      </w:r>
      <w:r>
        <w:rPr>
          <w:rFonts w:hint="eastAsia" w:ascii="仿宋" w:hAnsi="仿宋" w:eastAsia="仿宋" w:cs="仿宋"/>
          <w:color w:val="auto"/>
          <w:szCs w:val="21"/>
          <w:highlight w:val="none"/>
        </w:rPr>
        <w:t>二、质量保修期</w:t>
      </w:r>
    </w:p>
    <w:p w14:paraId="0A86EC65">
      <w:pPr>
        <w:snapToGrid/>
        <w:spacing w:beforeLines="0" w:afterLines="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根据《建设工程质量管理条例》及有关规定，工程的质量保修期如下：</w:t>
      </w:r>
    </w:p>
    <w:p w14:paraId="7CDA88E9">
      <w:pPr>
        <w:snapToGrid/>
        <w:spacing w:beforeLines="0" w:afterLines="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1．地基基础工程和主体结构工程为设计文件规定的工程合理使用年限；</w:t>
      </w:r>
    </w:p>
    <w:p w14:paraId="6571859E">
      <w:pPr>
        <w:snapToGrid/>
        <w:spacing w:beforeLines="0" w:afterLines="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2．屋面防水工程、有防水要求的卫生间、房间和外墙面的防渗为</w:t>
      </w:r>
      <w:r>
        <w:rPr>
          <w:rFonts w:hint="eastAsia" w:ascii="仿宋" w:hAnsi="仿宋" w:eastAsia="仿宋" w:cs="仿宋"/>
          <w:b/>
          <w:bCs/>
          <w:color w:val="auto"/>
          <w:szCs w:val="21"/>
          <w:highlight w:val="none"/>
          <w:u w:val="single"/>
        </w:rPr>
        <w:t xml:space="preserve">5 </w:t>
      </w:r>
      <w:r>
        <w:rPr>
          <w:rFonts w:hint="eastAsia" w:ascii="仿宋" w:hAnsi="仿宋" w:eastAsia="仿宋" w:cs="仿宋"/>
          <w:color w:val="auto"/>
          <w:szCs w:val="21"/>
          <w:highlight w:val="none"/>
        </w:rPr>
        <w:t>年；</w:t>
      </w:r>
    </w:p>
    <w:p w14:paraId="67E4274E">
      <w:pPr>
        <w:snapToGrid/>
        <w:spacing w:beforeLines="0" w:afterLines="0" w:line="360" w:lineRule="auto"/>
        <w:ind w:firstLine="105" w:firstLineChars="5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3．装修工程为</w:t>
      </w:r>
      <w:r>
        <w:rPr>
          <w:rFonts w:hint="eastAsia" w:ascii="仿宋" w:hAnsi="仿宋" w:eastAsia="仿宋" w:cs="仿宋"/>
          <w:b/>
          <w:bCs/>
          <w:color w:val="auto"/>
          <w:szCs w:val="21"/>
          <w:highlight w:val="none"/>
          <w:u w:val="single"/>
        </w:rPr>
        <w:t>2</w:t>
      </w:r>
      <w:r>
        <w:rPr>
          <w:rFonts w:hint="eastAsia" w:ascii="仿宋" w:hAnsi="仿宋" w:eastAsia="仿宋" w:cs="仿宋"/>
          <w:color w:val="auto"/>
          <w:szCs w:val="21"/>
          <w:highlight w:val="none"/>
        </w:rPr>
        <w:t>年；</w:t>
      </w:r>
    </w:p>
    <w:p w14:paraId="59D28E37">
      <w:pPr>
        <w:snapToGrid/>
        <w:spacing w:beforeLines="0" w:afterLines="0" w:line="360" w:lineRule="auto"/>
        <w:ind w:firstLine="105" w:firstLineChars="5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4．电气管线、给排水管道、设备安装工程为</w:t>
      </w:r>
      <w:r>
        <w:rPr>
          <w:rFonts w:hint="eastAsia" w:ascii="仿宋" w:hAnsi="仿宋" w:eastAsia="仿宋" w:cs="仿宋"/>
          <w:b/>
          <w:bCs/>
          <w:color w:val="auto"/>
          <w:szCs w:val="21"/>
          <w:highlight w:val="none"/>
          <w:u w:val="single"/>
        </w:rPr>
        <w:t xml:space="preserve">2  </w:t>
      </w:r>
      <w:r>
        <w:rPr>
          <w:rFonts w:hint="eastAsia" w:ascii="仿宋" w:hAnsi="仿宋" w:eastAsia="仿宋" w:cs="仿宋"/>
          <w:color w:val="auto"/>
          <w:szCs w:val="21"/>
          <w:highlight w:val="none"/>
        </w:rPr>
        <w:t>年；</w:t>
      </w:r>
    </w:p>
    <w:p w14:paraId="4A48EA69">
      <w:pPr>
        <w:snapToGrid/>
        <w:spacing w:beforeLines="0" w:afterLines="0" w:line="360" w:lineRule="auto"/>
        <w:ind w:firstLine="105" w:firstLineChars="5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5．供热与供冷系统为</w:t>
      </w:r>
      <w:r>
        <w:rPr>
          <w:rFonts w:hint="eastAsia" w:ascii="仿宋" w:hAnsi="仿宋" w:eastAsia="仿宋" w:cs="仿宋"/>
          <w:b/>
          <w:bCs/>
          <w:color w:val="auto"/>
          <w:szCs w:val="21"/>
          <w:highlight w:val="none"/>
          <w:u w:val="single"/>
        </w:rPr>
        <w:t xml:space="preserve"> 2</w:t>
      </w:r>
      <w:r>
        <w:rPr>
          <w:rFonts w:hint="eastAsia" w:ascii="仿宋" w:hAnsi="仿宋" w:eastAsia="仿宋" w:cs="仿宋"/>
          <w:color w:val="auto"/>
          <w:szCs w:val="21"/>
          <w:highlight w:val="none"/>
        </w:rPr>
        <w:t>个采暖期、供冷期；</w:t>
      </w:r>
    </w:p>
    <w:p w14:paraId="220CDAAC">
      <w:pPr>
        <w:snapToGrid/>
        <w:spacing w:beforeLines="0" w:afterLines="0" w:line="360" w:lineRule="auto"/>
        <w:ind w:firstLine="105" w:firstLineChars="5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6．住宅小区内的给排水设施、道路等配套工程为</w:t>
      </w:r>
      <w:r>
        <w:rPr>
          <w:rFonts w:hint="eastAsia" w:ascii="仿宋" w:hAnsi="仿宋" w:eastAsia="仿宋" w:cs="仿宋"/>
          <w:b/>
          <w:bCs/>
          <w:color w:val="auto"/>
          <w:szCs w:val="21"/>
          <w:highlight w:val="none"/>
          <w:u w:val="single"/>
        </w:rPr>
        <w:t xml:space="preserve">2 </w:t>
      </w:r>
      <w:r>
        <w:rPr>
          <w:rFonts w:hint="eastAsia" w:ascii="仿宋" w:hAnsi="仿宋" w:eastAsia="仿宋" w:cs="仿宋"/>
          <w:color w:val="auto"/>
          <w:szCs w:val="21"/>
          <w:highlight w:val="none"/>
        </w:rPr>
        <w:t>年；</w:t>
      </w:r>
    </w:p>
    <w:p w14:paraId="2C65E78A">
      <w:pPr>
        <w:adjustRightInd/>
        <w:snapToGrid/>
        <w:spacing w:beforeLines="0" w:afterLines="0" w:line="360" w:lineRule="auto"/>
        <w:ind w:firstLine="440" w:firstLineChars="200"/>
        <w:rPr>
          <w:rFonts w:hint="eastAsia" w:ascii="仿宋" w:hAnsi="仿宋" w:eastAsia="仿宋" w:cs="仿宋"/>
          <w:color w:val="auto"/>
          <w:highlight w:val="none"/>
        </w:rPr>
      </w:pPr>
      <w:r>
        <w:rPr>
          <w:rFonts w:hint="eastAsia" w:ascii="仿宋" w:hAnsi="仿宋" w:eastAsia="仿宋" w:cs="仿宋"/>
          <w:color w:val="auto"/>
          <w:sz w:val="22"/>
          <w:highlight w:val="none"/>
        </w:rPr>
        <w:t>7.绿化工程为</w:t>
      </w:r>
      <w:r>
        <w:rPr>
          <w:rFonts w:hint="eastAsia" w:ascii="仿宋" w:hAnsi="仿宋" w:eastAsia="仿宋" w:cs="仿宋"/>
          <w:color w:val="auto"/>
          <w:sz w:val="22"/>
          <w:highlight w:val="none"/>
          <w:u w:val="single"/>
        </w:rPr>
        <w:t>1</w:t>
      </w:r>
      <w:r>
        <w:rPr>
          <w:rFonts w:hint="eastAsia" w:ascii="仿宋" w:hAnsi="仿宋" w:eastAsia="仿宋" w:cs="仿宋"/>
          <w:color w:val="auto"/>
          <w:sz w:val="22"/>
          <w:highlight w:val="none"/>
        </w:rPr>
        <w:t>年</w:t>
      </w:r>
    </w:p>
    <w:p w14:paraId="552FB0CC">
      <w:pPr>
        <w:adjustRightInd/>
        <w:snapToGrid/>
        <w:spacing w:beforeLines="0" w:afterLines="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8．其他项目保修期限约定如下：</w:t>
      </w:r>
      <w:r>
        <w:rPr>
          <w:rFonts w:hint="eastAsia" w:ascii="仿宋" w:hAnsi="仿宋" w:eastAsia="仿宋" w:cs="仿宋"/>
          <w:color w:val="auto"/>
          <w:sz w:val="22"/>
          <w:highlight w:val="none"/>
        </w:rPr>
        <w:t>按国家建设部，省、市建设行政主管部门文件规定。</w:t>
      </w:r>
    </w:p>
    <w:p w14:paraId="01A035D1">
      <w:pPr>
        <w:snapToGrid/>
        <w:spacing w:beforeLines="0" w:afterLines="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质量保修期自工程竣工验收合格之日起计算。</w:t>
      </w:r>
    </w:p>
    <w:p w14:paraId="46BFDFFD">
      <w:pPr>
        <w:snapToGrid/>
        <w:spacing w:beforeLines="0" w:afterLines="0" w:line="360" w:lineRule="auto"/>
        <w:ind w:firstLine="420" w:firstLineChars="200"/>
        <w:outlineLvl w:val="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三、缺陷责任期</w:t>
      </w:r>
    </w:p>
    <w:p w14:paraId="72927DE0">
      <w:pPr>
        <w:spacing w:beforeLines="0" w:afterLines="0" w:line="360" w:lineRule="auto"/>
        <w:ind w:firstLine="440" w:firstLineChars="200"/>
        <w:rPr>
          <w:rFonts w:hint="eastAsia" w:ascii="仿宋" w:hAnsi="仿宋" w:eastAsia="仿宋" w:cs="仿宋"/>
          <w:color w:val="auto"/>
          <w:sz w:val="22"/>
          <w:highlight w:val="none"/>
        </w:rPr>
      </w:pPr>
      <w:r>
        <w:rPr>
          <w:rFonts w:hint="eastAsia" w:ascii="仿宋" w:hAnsi="仿宋" w:eastAsia="仿宋" w:cs="仿宋"/>
          <w:color w:val="auto"/>
          <w:sz w:val="22"/>
          <w:highlight w:val="none"/>
        </w:rPr>
        <w:t>工程缺陷责任期为24个月，缺陷责任期自工程竣工验收合格之日起计算。单位工程先于全部工程进行验收，单位工程缺陷责任期自单位工程验收合格之日起算。缺陷责任期终止后，发包人应退还剩余的质量保证金。</w:t>
      </w:r>
    </w:p>
    <w:p w14:paraId="0F649FC1">
      <w:pPr>
        <w:spacing w:beforeLines="0" w:afterLines="0" w:line="360" w:lineRule="auto"/>
        <w:rPr>
          <w:rFonts w:hint="eastAsia" w:ascii="仿宋" w:hAnsi="仿宋" w:eastAsia="仿宋" w:cs="仿宋"/>
          <w:color w:val="auto"/>
          <w:sz w:val="22"/>
          <w:highlight w:val="none"/>
        </w:rPr>
      </w:pPr>
      <w:r>
        <w:rPr>
          <w:rFonts w:hint="eastAsia" w:ascii="仿宋" w:hAnsi="仿宋" w:eastAsia="仿宋" w:cs="仿宋"/>
          <w:color w:val="auto"/>
          <w:sz w:val="22"/>
          <w:highlight w:val="none"/>
        </w:rPr>
        <w:t xml:space="preserve">    四、质量保修责任</w:t>
      </w:r>
    </w:p>
    <w:p w14:paraId="0A138F17">
      <w:pPr>
        <w:spacing w:beforeLines="0" w:afterLines="0" w:line="360" w:lineRule="auto"/>
        <w:ind w:firstLine="440"/>
        <w:rPr>
          <w:rFonts w:hint="eastAsia" w:ascii="仿宋" w:hAnsi="仿宋" w:eastAsia="仿宋" w:cs="仿宋"/>
          <w:color w:val="auto"/>
          <w:sz w:val="22"/>
          <w:highlight w:val="none"/>
        </w:rPr>
      </w:pPr>
      <w:r>
        <w:rPr>
          <w:rFonts w:hint="eastAsia" w:ascii="仿宋" w:hAnsi="仿宋" w:eastAsia="仿宋" w:cs="仿宋"/>
          <w:color w:val="auto"/>
          <w:sz w:val="22"/>
          <w:highlight w:val="none"/>
        </w:rPr>
        <w:t>1、属于保修范围和内容的项目，承包人应在接到通知之日起48小时内派人修理。承包人若不在约定期限内派人修理，发包人可自行修理或委托其他人员修理。</w:t>
      </w:r>
    </w:p>
    <w:p w14:paraId="0D9BFEA3">
      <w:pPr>
        <w:spacing w:beforeLines="0" w:afterLines="0" w:line="360" w:lineRule="auto"/>
        <w:ind w:firstLine="440"/>
        <w:rPr>
          <w:rFonts w:hint="eastAsia" w:ascii="仿宋" w:hAnsi="仿宋" w:eastAsia="仿宋" w:cs="仿宋"/>
          <w:color w:val="auto"/>
          <w:sz w:val="22"/>
          <w:highlight w:val="none"/>
        </w:rPr>
      </w:pPr>
      <w:r>
        <w:rPr>
          <w:rFonts w:hint="eastAsia" w:ascii="仿宋" w:hAnsi="仿宋" w:eastAsia="仿宋" w:cs="仿宋"/>
          <w:color w:val="auto"/>
          <w:sz w:val="22"/>
          <w:highlight w:val="none"/>
        </w:rPr>
        <w:t>2、发生须紧急抢修事故，承包人接到通知后，应立即到达事故现场进行抢修。</w:t>
      </w:r>
    </w:p>
    <w:p w14:paraId="1483F9B2">
      <w:pPr>
        <w:spacing w:beforeLines="0" w:afterLines="0" w:line="360" w:lineRule="auto"/>
        <w:ind w:firstLine="440"/>
        <w:rPr>
          <w:rFonts w:hint="eastAsia" w:ascii="仿宋" w:hAnsi="仿宋" w:eastAsia="仿宋" w:cs="仿宋"/>
          <w:color w:val="auto"/>
          <w:sz w:val="22"/>
          <w:highlight w:val="none"/>
        </w:rPr>
      </w:pPr>
      <w:r>
        <w:rPr>
          <w:rFonts w:hint="eastAsia" w:ascii="仿宋" w:hAnsi="仿宋" w:eastAsia="仿宋" w:cs="仿宋"/>
          <w:color w:val="auto"/>
          <w:sz w:val="22"/>
          <w:highlight w:val="none"/>
        </w:rPr>
        <w:t>3、在国家规定的工程合理使用期限内，承包人应确保地基基础工程和主体结构的质量。因承包人原因致使工程在合理使用期限内造成人身和财产损害的，承包人应承担损害赔偿责任。</w:t>
      </w:r>
    </w:p>
    <w:p w14:paraId="18873EEE">
      <w:pPr>
        <w:spacing w:beforeLines="0" w:afterLines="0" w:line="360" w:lineRule="auto"/>
        <w:ind w:firstLine="440"/>
        <w:rPr>
          <w:rFonts w:hint="eastAsia" w:ascii="仿宋" w:hAnsi="仿宋" w:eastAsia="仿宋" w:cs="仿宋"/>
          <w:color w:val="auto"/>
          <w:sz w:val="22"/>
          <w:highlight w:val="none"/>
        </w:rPr>
      </w:pPr>
      <w:r>
        <w:rPr>
          <w:rFonts w:hint="eastAsia" w:ascii="仿宋" w:hAnsi="仿宋" w:eastAsia="仿宋" w:cs="仿宋"/>
          <w:color w:val="auto"/>
          <w:sz w:val="22"/>
          <w:highlight w:val="none"/>
        </w:rPr>
        <w:t>4、对于涉及结构安全的质量问题，应当按照《房屋建筑工程质量保修办法》的规定，立即向当地建设行政主管部门报告，采取相应的安全防范措施；由原设计单位或者具有相应资质等级的设计单位提出保修方案。</w:t>
      </w:r>
    </w:p>
    <w:p w14:paraId="1998245F">
      <w:pPr>
        <w:spacing w:beforeLines="0" w:afterLines="0" w:line="360" w:lineRule="auto"/>
        <w:ind w:firstLine="440"/>
        <w:rPr>
          <w:rFonts w:hint="eastAsia" w:ascii="仿宋" w:hAnsi="仿宋" w:eastAsia="仿宋" w:cs="仿宋"/>
          <w:color w:val="auto"/>
          <w:sz w:val="22"/>
          <w:highlight w:val="none"/>
        </w:rPr>
      </w:pPr>
      <w:r>
        <w:rPr>
          <w:rFonts w:hint="eastAsia" w:ascii="仿宋" w:hAnsi="仿宋" w:eastAsia="仿宋" w:cs="仿宋"/>
          <w:color w:val="auto"/>
          <w:sz w:val="22"/>
          <w:highlight w:val="none"/>
        </w:rPr>
        <w:t>5．绿化养护质量达到设计要求和绿化养护管理标准。</w:t>
      </w:r>
    </w:p>
    <w:p w14:paraId="5E24B6AE">
      <w:pPr>
        <w:spacing w:beforeLines="0" w:afterLines="0" w:line="360" w:lineRule="auto"/>
        <w:ind w:firstLine="440"/>
        <w:rPr>
          <w:rFonts w:hint="eastAsia" w:ascii="仿宋" w:hAnsi="仿宋" w:eastAsia="仿宋" w:cs="仿宋"/>
          <w:color w:val="auto"/>
          <w:sz w:val="22"/>
          <w:highlight w:val="none"/>
        </w:rPr>
      </w:pPr>
      <w:r>
        <w:rPr>
          <w:rFonts w:hint="eastAsia" w:ascii="仿宋" w:hAnsi="仿宋" w:eastAsia="仿宋" w:cs="仿宋"/>
          <w:color w:val="auto"/>
          <w:sz w:val="22"/>
          <w:highlight w:val="none"/>
        </w:rPr>
        <w:t>6、质量保修完成后，由发包人组织验收。</w:t>
      </w:r>
    </w:p>
    <w:p w14:paraId="66459C11">
      <w:pPr>
        <w:snapToGrid/>
        <w:spacing w:beforeLines="0" w:afterLines="0" w:line="360" w:lineRule="auto"/>
        <w:outlineLvl w:val="0"/>
        <w:rPr>
          <w:rFonts w:hint="eastAsia" w:ascii="仿宋" w:hAnsi="仿宋" w:eastAsia="仿宋" w:cs="仿宋"/>
          <w:color w:val="auto"/>
          <w:szCs w:val="21"/>
          <w:highlight w:val="none"/>
        </w:rPr>
      </w:pPr>
      <w:r>
        <w:rPr>
          <w:rFonts w:hint="eastAsia" w:ascii="仿宋" w:hAnsi="仿宋" w:eastAsia="仿宋" w:cs="仿宋"/>
          <w:color w:val="auto"/>
          <w:szCs w:val="21"/>
          <w:highlight w:val="none"/>
        </w:rPr>
        <w:t>　　五、保修费用</w:t>
      </w:r>
    </w:p>
    <w:p w14:paraId="08E43A4C">
      <w:pPr>
        <w:spacing w:beforeLines="0" w:afterLines="0" w:line="360" w:lineRule="auto"/>
        <w:ind w:firstLine="440" w:firstLineChars="0"/>
        <w:rPr>
          <w:rFonts w:hint="eastAsia" w:ascii="仿宋" w:hAnsi="仿宋" w:eastAsia="仿宋" w:cs="仿宋"/>
          <w:color w:val="auto"/>
          <w:sz w:val="22"/>
          <w:highlight w:val="none"/>
        </w:rPr>
      </w:pPr>
      <w:r>
        <w:rPr>
          <w:rFonts w:hint="eastAsia" w:ascii="仿宋" w:hAnsi="仿宋" w:eastAsia="仿宋" w:cs="仿宋"/>
          <w:color w:val="auto"/>
          <w:sz w:val="22"/>
          <w:highlight w:val="none"/>
        </w:rPr>
        <w:t>发包人和承包人应共同查清缺陷和（或）损坏的原因。经查明属承包人原因造成的，应由承包人承担修复和查验的费用。经查验属发包人原因造成的，发包人应承担修复和查验的费用。</w:t>
      </w:r>
    </w:p>
    <w:p w14:paraId="75E53D0C">
      <w:pPr>
        <w:snapToGrid/>
        <w:spacing w:beforeLines="0" w:afterLines="0" w:line="360" w:lineRule="auto"/>
        <w:ind w:firstLine="411" w:firstLineChars="196"/>
        <w:outlineLvl w:val="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六、补充条款</w:t>
      </w:r>
    </w:p>
    <w:p w14:paraId="0BACE3D6">
      <w:pPr>
        <w:snapToGrid/>
        <w:spacing w:beforeLines="0" w:afterLines="0" w:line="360" w:lineRule="auto"/>
        <w:ind w:firstLine="411" w:firstLineChars="196"/>
        <w:outlineLvl w:val="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1、本工程约定的工程质量保修金为工程结算价款的</w:t>
      </w:r>
      <w:r>
        <w:rPr>
          <w:rFonts w:hint="eastAsia" w:ascii="仿宋" w:hAnsi="仿宋" w:eastAsia="仿宋" w:cs="仿宋"/>
          <w:b/>
          <w:bCs/>
          <w:color w:val="auto"/>
          <w:szCs w:val="21"/>
          <w:highlight w:val="none"/>
          <w:u w:val="single"/>
        </w:rPr>
        <w:t xml:space="preserve">  3%  </w:t>
      </w:r>
      <w:r>
        <w:rPr>
          <w:rFonts w:hint="eastAsia" w:ascii="仿宋" w:hAnsi="仿宋" w:eastAsia="仿宋" w:cs="仿宋"/>
          <w:color w:val="auto"/>
          <w:szCs w:val="21"/>
          <w:highlight w:val="none"/>
        </w:rPr>
        <w:t>，并在工程结算价款中扣除。在质量保修期（自工程竣工验收合格之日起24个月）满后，承包人已完成保修责任的，发包人应在14日内将剩余保证金支付给承包人，保证金无利息；承包人没有完成保修责任的，发包人有权扣留与未履行责任剩余工作所需金额相应的质量保证金金额，并有权要求延长保修责任期，直至完成剩余工作为止。承包人未完成保修责任，由发包人或第三人代为履行的，应该由承包人承担的费用超过剩余质量保证金的部分由承包人另行支付；承包人未另行支付的，发包人有权向承包人追索。</w:t>
      </w:r>
    </w:p>
    <w:p w14:paraId="2AF20D27">
      <w:pPr>
        <w:snapToGrid/>
        <w:spacing w:beforeLines="0" w:afterLines="0" w:line="360" w:lineRule="auto"/>
        <w:ind w:firstLine="411" w:firstLineChars="196"/>
        <w:outlineLvl w:val="0"/>
        <w:rPr>
          <w:rFonts w:hint="eastAsia" w:ascii="仿宋" w:hAnsi="仿宋" w:eastAsia="仿宋" w:cs="仿宋"/>
          <w:color w:val="auto"/>
          <w:szCs w:val="21"/>
          <w:highlight w:val="none"/>
        </w:rPr>
      </w:pPr>
      <w:r>
        <w:rPr>
          <w:rFonts w:hint="eastAsia" w:ascii="仿宋" w:hAnsi="仿宋" w:eastAsia="仿宋" w:cs="仿宋"/>
          <w:color w:val="auto"/>
          <w:szCs w:val="21"/>
          <w:highlight w:val="none"/>
        </w:rPr>
        <w:t>2、未尽事宜，双方另行补充约定。</w:t>
      </w:r>
    </w:p>
    <w:p w14:paraId="58B0E7B9">
      <w:pPr>
        <w:snapToGrid/>
        <w:spacing w:beforeLines="0" w:afterLines="0" w:line="360" w:lineRule="auto"/>
        <w:ind w:firstLine="399" w:firstLineChars="190"/>
        <w:rPr>
          <w:rFonts w:hint="eastAsia" w:ascii="仿宋" w:hAnsi="仿宋" w:eastAsia="仿宋" w:cs="仿宋"/>
          <w:color w:val="auto"/>
          <w:szCs w:val="21"/>
          <w:highlight w:val="none"/>
        </w:rPr>
      </w:pPr>
      <w:r>
        <w:rPr>
          <w:rFonts w:hint="eastAsia" w:ascii="仿宋" w:hAnsi="仿宋" w:eastAsia="仿宋" w:cs="仿宋"/>
          <w:color w:val="auto"/>
          <w:szCs w:val="21"/>
          <w:highlight w:val="none"/>
        </w:rPr>
        <w:t>工程质量保修书由发包人、承包人在工程竣工验收前共同签署，作为施工合同附件，其有效期限至保修期满。</w:t>
      </w:r>
    </w:p>
    <w:tbl>
      <w:tblPr>
        <w:tblStyle w:val="18"/>
        <w:tblW w:w="9349" w:type="dxa"/>
        <w:tblInd w:w="-270" w:type="dxa"/>
        <w:tblLayout w:type="fixed"/>
        <w:tblCellMar>
          <w:top w:w="0" w:type="dxa"/>
          <w:left w:w="108" w:type="dxa"/>
          <w:bottom w:w="0" w:type="dxa"/>
          <w:right w:w="108" w:type="dxa"/>
        </w:tblCellMar>
      </w:tblPr>
      <w:tblGrid>
        <w:gridCol w:w="4597"/>
        <w:gridCol w:w="4752"/>
      </w:tblGrid>
      <w:tr w14:paraId="32310295">
        <w:tblPrEx>
          <w:tblCellMar>
            <w:top w:w="0" w:type="dxa"/>
            <w:left w:w="108" w:type="dxa"/>
            <w:bottom w:w="0" w:type="dxa"/>
            <w:right w:w="108" w:type="dxa"/>
          </w:tblCellMar>
        </w:tblPrEx>
        <w:trPr>
          <w:trHeight w:val="719" w:hRule="atLeast"/>
        </w:trPr>
        <w:tc>
          <w:tcPr>
            <w:tcW w:w="4597" w:type="dxa"/>
            <w:noWrap w:val="0"/>
            <w:vAlign w:val="center"/>
          </w:tcPr>
          <w:p w14:paraId="60EDB6D2">
            <w:pPr>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发包人：</w:t>
            </w:r>
            <w:r>
              <w:rPr>
                <w:rFonts w:hint="eastAsia" w:ascii="仿宋" w:hAnsi="仿宋" w:eastAsia="仿宋" w:cs="仿宋"/>
                <w:bCs/>
                <w:color w:val="auto"/>
                <w:szCs w:val="21"/>
                <w:highlight w:val="none"/>
                <w:lang w:val="en-US" w:eastAsia="zh-CN"/>
              </w:rPr>
              <w:t>金堂县第一人民医院</w:t>
            </w:r>
            <w:r>
              <w:rPr>
                <w:rFonts w:hint="eastAsia" w:ascii="仿宋" w:hAnsi="仿宋" w:eastAsia="仿宋" w:cs="仿宋"/>
                <w:bCs/>
                <w:color w:val="auto"/>
                <w:szCs w:val="21"/>
                <w:highlight w:val="none"/>
              </w:rPr>
              <w:t>（盖章）</w:t>
            </w:r>
          </w:p>
        </w:tc>
        <w:tc>
          <w:tcPr>
            <w:tcW w:w="4752" w:type="dxa"/>
            <w:noWrap w:val="0"/>
            <w:vAlign w:val="center"/>
          </w:tcPr>
          <w:p w14:paraId="2994CB42">
            <w:pPr>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承包人：（盖章）</w:t>
            </w:r>
          </w:p>
        </w:tc>
      </w:tr>
      <w:tr w14:paraId="441CFD7B">
        <w:tblPrEx>
          <w:tblCellMar>
            <w:top w:w="0" w:type="dxa"/>
            <w:left w:w="108" w:type="dxa"/>
            <w:bottom w:w="0" w:type="dxa"/>
            <w:right w:w="108" w:type="dxa"/>
          </w:tblCellMar>
        </w:tblPrEx>
        <w:trPr>
          <w:trHeight w:val="719" w:hRule="atLeast"/>
        </w:trPr>
        <w:tc>
          <w:tcPr>
            <w:tcW w:w="4597" w:type="dxa"/>
            <w:noWrap w:val="0"/>
            <w:vAlign w:val="center"/>
          </w:tcPr>
          <w:p w14:paraId="087E02C6">
            <w:pPr>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法定代表人或授权代表人（签字或盖章）：</w:t>
            </w:r>
          </w:p>
        </w:tc>
        <w:tc>
          <w:tcPr>
            <w:tcW w:w="4752" w:type="dxa"/>
            <w:noWrap w:val="0"/>
            <w:vAlign w:val="center"/>
          </w:tcPr>
          <w:p w14:paraId="36A6C506">
            <w:pPr>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法定代表人或授权代表人（签字或盖章）：</w:t>
            </w:r>
          </w:p>
        </w:tc>
      </w:tr>
      <w:tr w14:paraId="2EF770B8">
        <w:tblPrEx>
          <w:tblCellMar>
            <w:top w:w="0" w:type="dxa"/>
            <w:left w:w="108" w:type="dxa"/>
            <w:bottom w:w="0" w:type="dxa"/>
            <w:right w:w="108" w:type="dxa"/>
          </w:tblCellMar>
        </w:tblPrEx>
        <w:trPr>
          <w:trHeight w:val="719" w:hRule="atLeast"/>
        </w:trPr>
        <w:tc>
          <w:tcPr>
            <w:tcW w:w="4597" w:type="dxa"/>
            <w:noWrap w:val="0"/>
            <w:vAlign w:val="center"/>
          </w:tcPr>
          <w:p w14:paraId="27668BAE">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统一社会信用代码：</w:t>
            </w:r>
          </w:p>
        </w:tc>
        <w:tc>
          <w:tcPr>
            <w:tcW w:w="4752" w:type="dxa"/>
            <w:noWrap w:val="0"/>
            <w:vAlign w:val="center"/>
          </w:tcPr>
          <w:p w14:paraId="6374D07B">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统一社会信用代码：</w:t>
            </w:r>
          </w:p>
        </w:tc>
      </w:tr>
      <w:tr w14:paraId="7BC49118">
        <w:tblPrEx>
          <w:tblCellMar>
            <w:top w:w="0" w:type="dxa"/>
            <w:left w:w="108" w:type="dxa"/>
            <w:bottom w:w="0" w:type="dxa"/>
            <w:right w:w="108" w:type="dxa"/>
          </w:tblCellMar>
        </w:tblPrEx>
        <w:trPr>
          <w:trHeight w:val="719" w:hRule="atLeast"/>
        </w:trPr>
        <w:tc>
          <w:tcPr>
            <w:tcW w:w="4597" w:type="dxa"/>
            <w:noWrap w:val="0"/>
            <w:vAlign w:val="center"/>
          </w:tcPr>
          <w:p w14:paraId="3EA3BCC2">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地址</w:t>
            </w:r>
            <w:r>
              <w:rPr>
                <w:rFonts w:hint="eastAsia" w:ascii="仿宋" w:hAnsi="仿宋" w:eastAsia="仿宋" w:cs="仿宋"/>
                <w:bCs/>
                <w:color w:val="auto"/>
                <w:szCs w:val="21"/>
                <w:highlight w:val="none"/>
              </w:rPr>
              <w:t>：</w:t>
            </w:r>
          </w:p>
        </w:tc>
        <w:tc>
          <w:tcPr>
            <w:tcW w:w="4752" w:type="dxa"/>
            <w:noWrap w:val="0"/>
            <w:vAlign w:val="center"/>
          </w:tcPr>
          <w:p w14:paraId="1760E142">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地址</w:t>
            </w:r>
            <w:r>
              <w:rPr>
                <w:rFonts w:hint="eastAsia" w:ascii="仿宋" w:hAnsi="仿宋" w:eastAsia="仿宋" w:cs="仿宋"/>
                <w:bCs/>
                <w:color w:val="auto"/>
                <w:szCs w:val="21"/>
                <w:highlight w:val="none"/>
              </w:rPr>
              <w:t>：</w:t>
            </w:r>
          </w:p>
        </w:tc>
      </w:tr>
      <w:tr w14:paraId="07757BB6">
        <w:tblPrEx>
          <w:tblCellMar>
            <w:top w:w="0" w:type="dxa"/>
            <w:left w:w="108" w:type="dxa"/>
            <w:bottom w:w="0" w:type="dxa"/>
            <w:right w:w="108" w:type="dxa"/>
          </w:tblCellMar>
        </w:tblPrEx>
        <w:trPr>
          <w:trHeight w:val="719" w:hRule="atLeast"/>
        </w:trPr>
        <w:tc>
          <w:tcPr>
            <w:tcW w:w="4597" w:type="dxa"/>
            <w:noWrap w:val="0"/>
            <w:vAlign w:val="center"/>
          </w:tcPr>
          <w:p w14:paraId="7BCCC200">
            <w:pPr>
              <w:spacing w:line="400" w:lineRule="exact"/>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rPr>
              <w:t>邮政编码：</w:t>
            </w:r>
          </w:p>
        </w:tc>
        <w:tc>
          <w:tcPr>
            <w:tcW w:w="4752" w:type="dxa"/>
            <w:noWrap w:val="0"/>
            <w:vAlign w:val="center"/>
          </w:tcPr>
          <w:p w14:paraId="37104BF4">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邮政编码：</w:t>
            </w:r>
          </w:p>
        </w:tc>
      </w:tr>
      <w:tr w14:paraId="09086841">
        <w:tblPrEx>
          <w:tblCellMar>
            <w:top w:w="0" w:type="dxa"/>
            <w:left w:w="108" w:type="dxa"/>
            <w:bottom w:w="0" w:type="dxa"/>
            <w:right w:w="108" w:type="dxa"/>
          </w:tblCellMar>
        </w:tblPrEx>
        <w:trPr>
          <w:trHeight w:val="719" w:hRule="atLeast"/>
        </w:trPr>
        <w:tc>
          <w:tcPr>
            <w:tcW w:w="4597" w:type="dxa"/>
            <w:noWrap w:val="0"/>
            <w:vAlign w:val="center"/>
          </w:tcPr>
          <w:p w14:paraId="2E85250D">
            <w:pPr>
              <w:spacing w:line="400" w:lineRule="exact"/>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rPr>
              <w:t>电话：</w:t>
            </w:r>
          </w:p>
        </w:tc>
        <w:tc>
          <w:tcPr>
            <w:tcW w:w="4752" w:type="dxa"/>
            <w:noWrap w:val="0"/>
            <w:vAlign w:val="center"/>
          </w:tcPr>
          <w:p w14:paraId="32F0F36A">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电话：</w:t>
            </w:r>
          </w:p>
        </w:tc>
      </w:tr>
      <w:tr w14:paraId="246BD51E">
        <w:tblPrEx>
          <w:tblCellMar>
            <w:top w:w="0" w:type="dxa"/>
            <w:left w:w="108" w:type="dxa"/>
            <w:bottom w:w="0" w:type="dxa"/>
            <w:right w:w="108" w:type="dxa"/>
          </w:tblCellMar>
        </w:tblPrEx>
        <w:trPr>
          <w:trHeight w:val="719" w:hRule="atLeast"/>
        </w:trPr>
        <w:tc>
          <w:tcPr>
            <w:tcW w:w="4597" w:type="dxa"/>
            <w:noWrap w:val="0"/>
            <w:vAlign w:val="center"/>
          </w:tcPr>
          <w:p w14:paraId="2BCC6BFB">
            <w:pPr>
              <w:spacing w:line="400" w:lineRule="exact"/>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rPr>
              <w:t>传真：</w:t>
            </w:r>
            <w:r>
              <w:rPr>
                <w:rFonts w:hint="eastAsia" w:ascii="仿宋" w:hAnsi="仿宋" w:eastAsia="仿宋" w:cs="仿宋"/>
                <w:bCs/>
                <w:color w:val="auto"/>
                <w:szCs w:val="21"/>
                <w:highlight w:val="none"/>
                <w:lang w:val="en-US" w:eastAsia="zh-CN"/>
              </w:rPr>
              <w:t>/</w:t>
            </w:r>
          </w:p>
        </w:tc>
        <w:tc>
          <w:tcPr>
            <w:tcW w:w="4752" w:type="dxa"/>
            <w:noWrap w:val="0"/>
            <w:vAlign w:val="center"/>
          </w:tcPr>
          <w:p w14:paraId="5E067D92">
            <w:pPr>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传真： /</w:t>
            </w:r>
          </w:p>
        </w:tc>
      </w:tr>
      <w:tr w14:paraId="41426183">
        <w:tblPrEx>
          <w:tblCellMar>
            <w:top w:w="0" w:type="dxa"/>
            <w:left w:w="108" w:type="dxa"/>
            <w:bottom w:w="0" w:type="dxa"/>
            <w:right w:w="108" w:type="dxa"/>
          </w:tblCellMar>
        </w:tblPrEx>
        <w:trPr>
          <w:trHeight w:val="719" w:hRule="atLeast"/>
        </w:trPr>
        <w:tc>
          <w:tcPr>
            <w:tcW w:w="4597" w:type="dxa"/>
            <w:noWrap w:val="0"/>
            <w:vAlign w:val="center"/>
          </w:tcPr>
          <w:p w14:paraId="78A463D4">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开户银行：</w:t>
            </w:r>
          </w:p>
        </w:tc>
        <w:tc>
          <w:tcPr>
            <w:tcW w:w="4752" w:type="dxa"/>
            <w:noWrap w:val="0"/>
            <w:vAlign w:val="center"/>
          </w:tcPr>
          <w:p w14:paraId="64738447">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开户银行：</w:t>
            </w:r>
          </w:p>
        </w:tc>
      </w:tr>
      <w:tr w14:paraId="029D3C22">
        <w:tblPrEx>
          <w:tblCellMar>
            <w:top w:w="0" w:type="dxa"/>
            <w:left w:w="108" w:type="dxa"/>
            <w:bottom w:w="0" w:type="dxa"/>
            <w:right w:w="108" w:type="dxa"/>
          </w:tblCellMar>
        </w:tblPrEx>
        <w:trPr>
          <w:trHeight w:val="719" w:hRule="atLeast"/>
        </w:trPr>
        <w:tc>
          <w:tcPr>
            <w:tcW w:w="4597" w:type="dxa"/>
            <w:noWrap w:val="0"/>
            <w:vAlign w:val="center"/>
          </w:tcPr>
          <w:p w14:paraId="7C13E535">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银行账号</w:t>
            </w:r>
            <w:r>
              <w:rPr>
                <w:rFonts w:hint="eastAsia" w:ascii="仿宋" w:hAnsi="仿宋" w:eastAsia="仿宋" w:cs="仿宋"/>
                <w:bCs/>
                <w:color w:val="auto"/>
                <w:szCs w:val="21"/>
                <w:highlight w:val="none"/>
                <w:lang w:val="en-US" w:eastAsia="zh-CN"/>
              </w:rPr>
              <w:t>：</w:t>
            </w:r>
          </w:p>
        </w:tc>
        <w:tc>
          <w:tcPr>
            <w:tcW w:w="4752" w:type="dxa"/>
            <w:noWrap w:val="0"/>
            <w:vAlign w:val="center"/>
          </w:tcPr>
          <w:p w14:paraId="176D933E">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银行账号：</w:t>
            </w:r>
          </w:p>
        </w:tc>
      </w:tr>
    </w:tbl>
    <w:p w14:paraId="4D364DFC"/>
    <w:p w14:paraId="2F258294"/>
    <w:p w14:paraId="040D89C1"/>
    <w:p w14:paraId="7D91D79E"/>
    <w:p w14:paraId="6E7B6748"/>
    <w:p w14:paraId="793DD7A8"/>
    <w:p w14:paraId="24D30A5C"/>
    <w:p w14:paraId="73881ADD"/>
    <w:p w14:paraId="11E23C02"/>
    <w:p w14:paraId="7B66F42D"/>
    <w:p w14:paraId="38E8E9AD"/>
    <w:p w14:paraId="5794AAD9"/>
    <w:p w14:paraId="2DAC1FCF"/>
    <w:p w14:paraId="21948A05"/>
    <w:p w14:paraId="4084D865"/>
    <w:p w14:paraId="1D222CB7"/>
    <w:p w14:paraId="11638F0C"/>
    <w:p w14:paraId="1BDE33B2"/>
    <w:p w14:paraId="6C5B6CC2"/>
    <w:p w14:paraId="56022848"/>
    <w:p w14:paraId="15C2B9E8"/>
    <w:p w14:paraId="08DD5036"/>
    <w:p w14:paraId="2AF6BE2F"/>
    <w:p w14:paraId="079B1E82"/>
    <w:p w14:paraId="144CC8C8"/>
    <w:p w14:paraId="4B6CC5E1"/>
    <w:p w14:paraId="1A038509"/>
    <w:p w14:paraId="590130D4"/>
    <w:p w14:paraId="78B873F9"/>
    <w:p w14:paraId="7054B19A"/>
    <w:p w14:paraId="4C849021"/>
    <w:p w14:paraId="305A5B42"/>
    <w:p w14:paraId="2207B3D1"/>
    <w:p w14:paraId="544F8C86"/>
    <w:p w14:paraId="748DC84D"/>
    <w:p w14:paraId="3243D2D5"/>
    <w:p w14:paraId="1439159E"/>
    <w:p w14:paraId="1F182CC0"/>
    <w:p w14:paraId="452BE715">
      <w:pPr>
        <w:spacing w:before="156" w:beforeLines="50" w:after="156" w:afterLines="50" w:line="440" w:lineRule="exact"/>
        <w:jc w:val="center"/>
        <w:rPr>
          <w:rFonts w:hint="eastAsia" w:ascii="仿宋" w:hAnsi="仿宋" w:eastAsia="仿宋" w:cs="仿宋"/>
          <w:b/>
          <w:color w:val="auto"/>
          <w:sz w:val="30"/>
          <w:szCs w:val="30"/>
          <w:highlight w:val="none"/>
        </w:rPr>
      </w:pPr>
      <mc:AlternateContent>
        <mc:Choice Requires="wpsCustomData">
          <wpsCustomData:docfieldStart id="0" docfieldname="标题_1" hidden="0" print="1" readonly="0" index="4"/>
        </mc:Choice>
      </mc:AlternateContent>
      <w:r>
        <w:rPr>
          <w:rFonts w:hint="eastAsia" w:ascii="仿宋" w:hAnsi="仿宋" w:eastAsia="仿宋" w:cs="仿宋"/>
          <w:b/>
          <w:color w:val="auto"/>
          <w:sz w:val="30"/>
          <w:szCs w:val="30"/>
          <w:highlight w:val="none"/>
        </w:rPr>
        <w:t>外来承包商安全管理协议</w:t>
      </w:r>
      <mc:AlternateContent>
        <mc:Choice Requires="wpsCustomData">
          <wpsCustomData:docfieldEnd id="0"/>
        </mc:Choice>
      </mc:AlternateContent>
    </w:p>
    <w:p w14:paraId="662D9017">
      <w:pPr>
        <w:spacing w:before="156" w:beforeLines="50" w:after="156" w:afterLines="50" w:line="440" w:lineRule="exact"/>
        <w:jc w:val="center"/>
        <w:rPr>
          <w:rFonts w:hint="eastAsia" w:ascii="仿宋" w:hAnsi="仿宋" w:eastAsia="仿宋" w:cs="仿宋"/>
          <w:b/>
          <w:color w:val="auto"/>
          <w:sz w:val="30"/>
          <w:szCs w:val="30"/>
          <w:highlight w:val="none"/>
        </w:rPr>
      </w:pPr>
    </w:p>
    <w:p w14:paraId="046E7BD3">
      <w:pPr>
        <w:keepNext w:val="0"/>
        <w:keepLines w:val="0"/>
        <w:pageBreakBefore w:val="0"/>
        <w:kinsoku/>
        <w:wordWrap/>
        <w:autoSpaceDE/>
        <w:autoSpaceDN/>
        <w:bidi w:val="0"/>
        <w:adjustRightInd/>
        <w:snapToGrid/>
        <w:spacing w:line="360" w:lineRule="auto"/>
        <w:textAlignment w:val="auto"/>
        <w:rPr>
          <w:rFonts w:hint="eastAsia" w:ascii="仿宋" w:hAnsi="仿宋" w:eastAsia="仿宋" w:cs="仿宋"/>
          <w:color w:val="auto"/>
          <w:kern w:val="0"/>
          <w:sz w:val="21"/>
          <w:szCs w:val="21"/>
          <w:highlight w:val="none"/>
        </w:rPr>
      </w:pPr>
      <w:r>
        <w:rPr>
          <w:rFonts w:hint="eastAsia" w:ascii="仿宋" w:hAnsi="仿宋" w:eastAsia="仿宋" w:cs="仿宋"/>
          <w:bCs/>
          <w:color w:val="auto"/>
          <w:kern w:val="0"/>
          <w:sz w:val="21"/>
          <w:szCs w:val="21"/>
          <w:highlight w:val="none"/>
        </w:rPr>
        <w:t>项目名称</w:t>
      </w:r>
      <w:r>
        <w:rPr>
          <w:rFonts w:hint="eastAsia" w:ascii="仿宋" w:hAnsi="仿宋" w:eastAsia="仿宋" w:cs="仿宋"/>
          <w:color w:val="auto"/>
          <w:kern w:val="0"/>
          <w:sz w:val="21"/>
          <w:szCs w:val="21"/>
          <w:highlight w:val="none"/>
        </w:rPr>
        <w:t>：</w:t>
      </w:r>
    </w:p>
    <w:p w14:paraId="5F0D03C1">
      <w:pPr>
        <w:keepNext w:val="0"/>
        <w:keepLines w:val="0"/>
        <w:pageBreakBefore w:val="0"/>
        <w:kinsoku/>
        <w:wordWrap/>
        <w:autoSpaceDE/>
        <w:autoSpaceDN/>
        <w:bidi w:val="0"/>
        <w:adjustRightInd/>
        <w:snapToGrid/>
        <w:spacing w:line="360" w:lineRule="auto"/>
        <w:textAlignment w:val="auto"/>
        <w:rPr>
          <w:rFonts w:hint="eastAsia" w:ascii="仿宋" w:hAnsi="仿宋" w:eastAsia="仿宋" w:cs="仿宋"/>
          <w:color w:val="auto"/>
          <w:spacing w:val="-39"/>
          <w:kern w:val="0"/>
          <w:sz w:val="21"/>
          <w:szCs w:val="21"/>
          <w:highlight w:val="none"/>
          <w:lang w:val="en-US" w:eastAsia="zh-CN"/>
        </w:rPr>
      </w:pPr>
      <w:r>
        <w:rPr>
          <w:rFonts w:hint="eastAsia" w:ascii="仿宋" w:hAnsi="仿宋" w:eastAsia="仿宋" w:cs="仿宋"/>
          <w:bCs/>
          <w:color w:val="auto"/>
          <w:kern w:val="0"/>
          <w:sz w:val="21"/>
          <w:szCs w:val="21"/>
          <w:highlight w:val="none"/>
        </w:rPr>
        <w:t>甲方：</w:t>
      </w:r>
      <w:r>
        <w:rPr>
          <w:rFonts w:hint="eastAsia" w:ascii="仿宋" w:hAnsi="仿宋" w:eastAsia="仿宋" w:cs="仿宋"/>
          <w:bCs/>
          <w:color w:val="auto"/>
          <w:kern w:val="0"/>
          <w:sz w:val="21"/>
          <w:szCs w:val="21"/>
          <w:highlight w:val="none"/>
          <w:lang w:val="en-US" w:eastAsia="zh-CN"/>
        </w:rPr>
        <w:t>金堂县第一人民医院</w:t>
      </w:r>
    </w:p>
    <w:p w14:paraId="3706DD29">
      <w:pPr>
        <w:keepNext w:val="0"/>
        <w:keepLines w:val="0"/>
        <w:pageBreakBefore w:val="0"/>
        <w:kinsoku/>
        <w:wordWrap/>
        <w:autoSpaceDE/>
        <w:autoSpaceDN/>
        <w:bidi w:val="0"/>
        <w:adjustRightInd/>
        <w:snapToGrid/>
        <w:spacing w:line="360" w:lineRule="auto"/>
        <w:textAlignment w:val="auto"/>
        <w:rPr>
          <w:rFonts w:hint="default"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rPr>
        <w:t>联系电话：</w:t>
      </w:r>
      <w:r>
        <w:rPr>
          <w:rFonts w:hint="eastAsia" w:ascii="仿宋" w:hAnsi="仿宋" w:eastAsia="仿宋" w:cs="仿宋"/>
          <w:bCs/>
          <w:color w:val="auto"/>
          <w:kern w:val="0"/>
          <w:sz w:val="21"/>
          <w:szCs w:val="21"/>
          <w:highlight w:val="none"/>
          <w:lang w:val="en-US" w:eastAsia="zh-CN"/>
        </w:rPr>
        <w:t>028-84932532</w:t>
      </w:r>
    </w:p>
    <w:p w14:paraId="29C77392">
      <w:pPr>
        <w:keepNext w:val="0"/>
        <w:keepLines w:val="0"/>
        <w:pageBreakBefore w:val="0"/>
        <w:kinsoku/>
        <w:wordWrap/>
        <w:autoSpaceDE/>
        <w:autoSpaceDN/>
        <w:bidi w:val="0"/>
        <w:adjustRightInd/>
        <w:snapToGrid/>
        <w:spacing w:line="360" w:lineRule="auto"/>
        <w:textAlignment w:val="auto"/>
        <w:rPr>
          <w:rFonts w:hint="eastAsia" w:ascii="仿宋" w:hAnsi="仿宋" w:eastAsia="仿宋" w:cs="仿宋"/>
          <w:color w:val="auto"/>
          <w:kern w:val="0"/>
          <w:sz w:val="21"/>
          <w:szCs w:val="21"/>
          <w:highlight w:val="none"/>
        </w:rPr>
      </w:pPr>
      <w:r>
        <w:rPr>
          <w:rFonts w:hint="eastAsia" w:ascii="仿宋" w:hAnsi="仿宋" w:eastAsia="仿宋" w:cs="仿宋"/>
          <w:bCs/>
          <w:color w:val="auto"/>
          <w:kern w:val="0"/>
          <w:sz w:val="21"/>
          <w:szCs w:val="21"/>
          <w:highlight w:val="none"/>
        </w:rPr>
        <w:t>乙方</w:t>
      </w:r>
      <w:r>
        <w:rPr>
          <w:rFonts w:hint="eastAsia" w:ascii="仿宋" w:hAnsi="仿宋" w:eastAsia="仿宋" w:cs="仿宋"/>
          <w:bCs/>
          <w:color w:val="auto"/>
          <w:kern w:val="0"/>
          <w:sz w:val="21"/>
          <w:szCs w:val="21"/>
          <w:highlight w:val="none"/>
          <w:lang w:eastAsia="zh-CN"/>
        </w:rPr>
        <w:t>（</w:t>
      </w:r>
      <w:r>
        <w:rPr>
          <w:rFonts w:hint="eastAsia" w:ascii="仿宋" w:hAnsi="仿宋" w:eastAsia="仿宋" w:cs="仿宋"/>
          <w:bCs/>
          <w:color w:val="auto"/>
          <w:kern w:val="0"/>
          <w:sz w:val="21"/>
          <w:szCs w:val="21"/>
          <w:highlight w:val="none"/>
          <w:lang w:val="en-US" w:eastAsia="zh-CN"/>
        </w:rPr>
        <w:t>承包人</w:t>
      </w:r>
      <w:r>
        <w:rPr>
          <w:rFonts w:hint="eastAsia" w:ascii="仿宋" w:hAnsi="仿宋" w:eastAsia="仿宋" w:cs="仿宋"/>
          <w:bCs/>
          <w:color w:val="auto"/>
          <w:kern w:val="0"/>
          <w:sz w:val="21"/>
          <w:szCs w:val="21"/>
          <w:highlight w:val="none"/>
          <w:lang w:eastAsia="zh-CN"/>
        </w:rPr>
        <w:t>）</w:t>
      </w:r>
      <w:r>
        <w:rPr>
          <w:rFonts w:hint="eastAsia" w:ascii="仿宋" w:hAnsi="仿宋" w:eastAsia="仿宋" w:cs="仿宋"/>
          <w:color w:val="auto"/>
          <w:kern w:val="0"/>
          <w:sz w:val="21"/>
          <w:szCs w:val="21"/>
          <w:highlight w:val="none"/>
        </w:rPr>
        <w:t>：</w:t>
      </w:r>
    </w:p>
    <w:p w14:paraId="21536C42">
      <w:pPr>
        <w:pStyle w:val="9"/>
        <w:keepNext w:val="0"/>
        <w:keepLines w:val="0"/>
        <w:pageBreakBefore w:val="0"/>
        <w:kinsoku/>
        <w:wordWrap/>
        <w:autoSpaceDE/>
        <w:autoSpaceDN/>
        <w:bidi w:val="0"/>
        <w:adjustRightInd/>
        <w:snapToGrid/>
        <w:spacing w:after="0" w:line="360" w:lineRule="auto"/>
        <w:textAlignment w:val="auto"/>
        <w:rPr>
          <w:rFonts w:hint="eastAsia" w:ascii="仿宋" w:hAnsi="仿宋" w:eastAsia="仿宋" w:cs="仿宋"/>
          <w:color w:val="auto"/>
          <w:kern w:val="0"/>
          <w:sz w:val="21"/>
          <w:szCs w:val="21"/>
          <w:highlight w:val="none"/>
        </w:rPr>
      </w:pPr>
      <w:r>
        <w:rPr>
          <w:rFonts w:hint="eastAsia" w:ascii="仿宋" w:hAnsi="仿宋" w:eastAsia="仿宋" w:cs="仿宋"/>
          <w:bCs/>
          <w:color w:val="auto"/>
          <w:kern w:val="0"/>
          <w:sz w:val="21"/>
          <w:szCs w:val="21"/>
          <w:highlight w:val="none"/>
        </w:rPr>
        <w:t>联系电话</w:t>
      </w:r>
      <w:r>
        <w:rPr>
          <w:rFonts w:hint="eastAsia" w:ascii="仿宋" w:hAnsi="仿宋" w:eastAsia="仿宋" w:cs="仿宋"/>
          <w:color w:val="auto"/>
          <w:kern w:val="0"/>
          <w:sz w:val="21"/>
          <w:szCs w:val="21"/>
          <w:highlight w:val="none"/>
        </w:rPr>
        <w:t>：</w:t>
      </w:r>
    </w:p>
    <w:p w14:paraId="792C34F4">
      <w:pPr>
        <w:pStyle w:val="9"/>
        <w:keepNext w:val="0"/>
        <w:keepLines w:val="0"/>
        <w:pageBreakBefore w:val="0"/>
        <w:kinsoku/>
        <w:wordWrap/>
        <w:autoSpaceDE/>
        <w:autoSpaceDN/>
        <w:bidi w:val="0"/>
        <w:adjustRightInd/>
        <w:snapToGrid/>
        <w:spacing w:after="0"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Cs w:val="21"/>
          <w:highlight w:val="none"/>
        </w:rPr>
        <w:t>为维护甲乙双方的共同利益，保证服务质量和安全生产，保持良好的工作秩序，根据《中华人民共和国安全生产法》及甲方管理要求，经甲乙双方平等协商，签订本安全协议作为双方合同履约之安全补充，以资共同遵守。</w:t>
      </w:r>
    </w:p>
    <w:p w14:paraId="068F451E">
      <w:pPr>
        <w:pStyle w:val="9"/>
        <w:keepNext w:val="0"/>
        <w:keepLines w:val="0"/>
        <w:pageBreakBefore w:val="0"/>
        <w:numPr>
          <w:ilvl w:val="0"/>
          <w:numId w:val="5"/>
        </w:numPr>
        <w:kinsoku/>
        <w:wordWrap/>
        <w:topLinePunct w:val="0"/>
        <w:autoSpaceDE/>
        <w:autoSpaceDN/>
        <w:bidi w:val="0"/>
        <w:adjustRightInd/>
        <w:snapToGrid/>
        <w:spacing w:after="0" w:line="360" w:lineRule="auto"/>
        <w:ind w:left="0" w:leftChars="0" w:firstLine="619" w:firstLineChars="0"/>
        <w:textAlignment w:val="auto"/>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甲方安全管理责任</w:t>
      </w:r>
    </w:p>
    <w:p w14:paraId="48758480">
      <w:pPr>
        <w:pStyle w:val="9"/>
        <w:keepNext w:val="0"/>
        <w:keepLines w:val="0"/>
        <w:pageBreakBefore w:val="0"/>
        <w:kinsoku/>
        <w:wordWrap/>
        <w:autoSpaceDE/>
        <w:autoSpaceDN/>
        <w:bidi w:val="0"/>
        <w:adjustRightInd/>
        <w:snapToGrid/>
        <w:spacing w:after="0" w:line="360" w:lineRule="auto"/>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甲方权利如下：</w:t>
      </w:r>
    </w:p>
    <w:p w14:paraId="7D2A58AF">
      <w:pPr>
        <w:pStyle w:val="9"/>
        <w:keepNext w:val="0"/>
        <w:keepLines w:val="0"/>
        <w:pageBreakBefore w:val="0"/>
        <w:widowControl/>
        <w:numPr>
          <w:ilvl w:val="0"/>
          <w:numId w:val="6"/>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rPr>
        <w:t>有权要求</w:t>
      </w: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配备安全管理机构或人员，执行安全生产法规、标准，遵守安全生产规章制度及安全操作规程，控制危险源，熟练掌握事故防范措施和事故应急预案等。</w:t>
      </w:r>
    </w:p>
    <w:p w14:paraId="3D4AE0DB">
      <w:pPr>
        <w:pStyle w:val="9"/>
        <w:keepNext w:val="0"/>
        <w:keepLines w:val="0"/>
        <w:pageBreakBefore w:val="0"/>
        <w:widowControl/>
        <w:numPr>
          <w:ilvl w:val="0"/>
          <w:numId w:val="6"/>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rPr>
        <w:t>有权要求</w:t>
      </w: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贯彻执行安全生产责任制，并对其履行情况进行监督。</w:t>
      </w:r>
    </w:p>
    <w:p w14:paraId="6CD77DFB">
      <w:pPr>
        <w:pStyle w:val="9"/>
        <w:keepNext w:val="0"/>
        <w:keepLines w:val="0"/>
        <w:pageBreakBefore w:val="0"/>
        <w:widowControl/>
        <w:numPr>
          <w:ilvl w:val="0"/>
          <w:numId w:val="6"/>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rPr>
        <w:t>有权要求</w:t>
      </w: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按规定维护相关的生产设施设备并使设施设备处于良好的工作状态。</w:t>
      </w:r>
    </w:p>
    <w:p w14:paraId="49DC75AF">
      <w:pPr>
        <w:pStyle w:val="9"/>
        <w:keepNext w:val="0"/>
        <w:keepLines w:val="0"/>
        <w:pageBreakBefore w:val="0"/>
        <w:widowControl/>
        <w:numPr>
          <w:ilvl w:val="0"/>
          <w:numId w:val="6"/>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rPr>
        <w:t>有权对</w:t>
      </w: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施工作业的安全管理情况进行监督检查。</w:t>
      </w:r>
    </w:p>
    <w:p w14:paraId="4CFF05B8">
      <w:pPr>
        <w:pStyle w:val="9"/>
        <w:keepNext w:val="0"/>
        <w:keepLines w:val="0"/>
        <w:pageBreakBefore w:val="0"/>
        <w:widowControl/>
        <w:numPr>
          <w:ilvl w:val="0"/>
          <w:numId w:val="6"/>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rPr>
        <w:t>发生事故后，有权参与事故的调查并按照合同约定进行扣款。</w:t>
      </w:r>
    </w:p>
    <w:p w14:paraId="07900D95">
      <w:pPr>
        <w:pStyle w:val="9"/>
        <w:keepNext w:val="0"/>
        <w:keepLines w:val="0"/>
        <w:pageBreakBefore w:val="0"/>
        <w:widowControl/>
        <w:numPr>
          <w:ilvl w:val="0"/>
          <w:numId w:val="6"/>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rPr>
        <w:t>有权对</w:t>
      </w: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进行安全业绩及资质检查。</w:t>
      </w:r>
    </w:p>
    <w:p w14:paraId="72FD77CF">
      <w:pPr>
        <w:pStyle w:val="9"/>
        <w:keepNext w:val="0"/>
        <w:keepLines w:val="0"/>
        <w:pageBreakBefore w:val="0"/>
        <w:widowControl/>
        <w:numPr>
          <w:ilvl w:val="0"/>
          <w:numId w:val="6"/>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rPr>
        <w:t>有权根据承包项目危险性的不同，要求</w:t>
      </w: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制定专门的安全技术管理方案并对其进行审查。</w:t>
      </w:r>
    </w:p>
    <w:p w14:paraId="27159AFA">
      <w:pPr>
        <w:pStyle w:val="9"/>
        <w:keepNext w:val="0"/>
        <w:keepLines w:val="0"/>
        <w:pageBreakBefore w:val="0"/>
        <w:kinsoku/>
        <w:wordWrap/>
        <w:autoSpaceDE/>
        <w:autoSpaceDN/>
        <w:bidi w:val="0"/>
        <w:adjustRightInd/>
        <w:snapToGrid/>
        <w:spacing w:after="0" w:line="360" w:lineRule="auto"/>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二、甲方义务如下：</w:t>
      </w:r>
    </w:p>
    <w:p w14:paraId="052997E0">
      <w:pPr>
        <w:pStyle w:val="9"/>
        <w:keepNext w:val="0"/>
        <w:keepLines w:val="0"/>
        <w:pageBreakBefore w:val="0"/>
        <w:widowControl/>
        <w:numPr>
          <w:ilvl w:val="0"/>
          <w:numId w:val="7"/>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rPr>
        <w:t>向</w:t>
      </w: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提供合同中规定的安全条件。</w:t>
      </w:r>
    </w:p>
    <w:p w14:paraId="05DF3A39">
      <w:pPr>
        <w:pStyle w:val="9"/>
        <w:keepNext w:val="0"/>
        <w:keepLines w:val="0"/>
        <w:pageBreakBefore w:val="0"/>
        <w:widowControl/>
        <w:numPr>
          <w:ilvl w:val="0"/>
          <w:numId w:val="7"/>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rPr>
        <w:t>发生事故后，积极组织抢险救援，防止事故扩大。</w:t>
      </w:r>
    </w:p>
    <w:p w14:paraId="6DC7C23B">
      <w:pPr>
        <w:pStyle w:val="9"/>
        <w:keepNext w:val="0"/>
        <w:keepLines w:val="0"/>
        <w:pageBreakBefore w:val="0"/>
        <w:widowControl/>
        <w:numPr>
          <w:ilvl w:val="0"/>
          <w:numId w:val="7"/>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rPr>
        <w:t>应</w:t>
      </w: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要求，向</w:t>
      </w: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提供相关的安全资料。</w:t>
      </w:r>
    </w:p>
    <w:p w14:paraId="13EBE0C1">
      <w:pPr>
        <w:pStyle w:val="9"/>
        <w:keepNext w:val="0"/>
        <w:keepLines w:val="0"/>
        <w:pageBreakBefore w:val="0"/>
        <w:widowControl/>
        <w:numPr>
          <w:ilvl w:val="0"/>
          <w:numId w:val="7"/>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color w:val="auto"/>
          <w:sz w:val="21"/>
          <w:szCs w:val="21"/>
          <w:highlight w:val="none"/>
        </w:rPr>
      </w:pPr>
      <w:r>
        <w:rPr>
          <w:rFonts w:hint="eastAsia" w:ascii="仿宋" w:hAnsi="仿宋" w:eastAsia="仿宋" w:cs="仿宋"/>
          <w:color w:val="auto"/>
          <w:szCs w:val="21"/>
          <w:highlight w:val="none"/>
        </w:rPr>
        <w:t>其他根据相关规定要求应尽的义务。</w:t>
      </w:r>
    </w:p>
    <w:p w14:paraId="61D10977">
      <w:pPr>
        <w:pStyle w:val="9"/>
        <w:keepNext w:val="0"/>
        <w:keepLines w:val="0"/>
        <w:pageBreakBefore w:val="0"/>
        <w:numPr>
          <w:ilvl w:val="0"/>
          <w:numId w:val="5"/>
        </w:numPr>
        <w:kinsoku/>
        <w:wordWrap/>
        <w:topLinePunct w:val="0"/>
        <w:autoSpaceDE/>
        <w:autoSpaceDN/>
        <w:bidi w:val="0"/>
        <w:adjustRightInd/>
        <w:snapToGrid/>
        <w:spacing w:after="0" w:line="360" w:lineRule="auto"/>
        <w:ind w:left="0" w:leftChars="0" w:firstLine="619" w:firstLineChars="0"/>
        <w:textAlignment w:val="auto"/>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乙方安全管理责任</w:t>
      </w:r>
    </w:p>
    <w:p w14:paraId="03349ED4">
      <w:pPr>
        <w:pStyle w:val="9"/>
        <w:keepNext w:val="0"/>
        <w:keepLines w:val="0"/>
        <w:pageBreakBefore w:val="0"/>
        <w:kinsoku/>
        <w:wordWrap/>
        <w:autoSpaceDE/>
        <w:autoSpaceDN/>
        <w:bidi w:val="0"/>
        <w:adjustRightInd/>
        <w:snapToGrid/>
        <w:spacing w:after="0" w:line="360" w:lineRule="auto"/>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一、</w:t>
      </w:r>
      <w:r>
        <w:rPr>
          <w:rFonts w:hint="eastAsia" w:ascii="仿宋" w:hAnsi="仿宋" w:eastAsia="仿宋" w:cs="仿宋"/>
          <w:color w:val="auto"/>
          <w:szCs w:val="21"/>
          <w:highlight w:val="none"/>
        </w:rPr>
        <w:t>乙方权利如下：</w:t>
      </w:r>
    </w:p>
    <w:p w14:paraId="7CDCB765">
      <w:pPr>
        <w:pStyle w:val="9"/>
        <w:keepNext w:val="0"/>
        <w:keepLines w:val="0"/>
        <w:pageBreakBefore w:val="0"/>
        <w:widowControl/>
        <w:numPr>
          <w:ilvl w:val="0"/>
          <w:numId w:val="8"/>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rPr>
        <w:t>有权对甲方的安全工作提出建议，对甲方违章指挥、强令冒险作业，有权拒绝执行。</w:t>
      </w:r>
    </w:p>
    <w:p w14:paraId="58FEB876">
      <w:pPr>
        <w:pStyle w:val="9"/>
        <w:keepNext w:val="0"/>
        <w:keepLines w:val="0"/>
        <w:pageBreakBefore w:val="0"/>
        <w:widowControl/>
        <w:numPr>
          <w:ilvl w:val="0"/>
          <w:numId w:val="8"/>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rPr>
        <w:t>对属于甲方的作业场所，有权按规定要求甲方提供符合安全施工作业的条件和环境。</w:t>
      </w:r>
    </w:p>
    <w:p w14:paraId="1A57ABB8">
      <w:pPr>
        <w:pStyle w:val="9"/>
        <w:keepNext w:val="0"/>
        <w:keepLines w:val="0"/>
        <w:pageBreakBefore w:val="0"/>
        <w:widowControl/>
        <w:numPr>
          <w:ilvl w:val="0"/>
          <w:numId w:val="8"/>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rPr>
        <w:t>出现严重危及生命安全的紧急情况时，有权采取合理必要的避险措施。</w:t>
      </w:r>
    </w:p>
    <w:p w14:paraId="577966BC">
      <w:pPr>
        <w:pStyle w:val="9"/>
        <w:keepNext w:val="0"/>
        <w:keepLines w:val="0"/>
        <w:pageBreakBefore w:val="0"/>
        <w:widowControl/>
        <w:numPr>
          <w:ilvl w:val="0"/>
          <w:numId w:val="8"/>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rPr>
        <w:t>有权要求甲方提供相关的安全资料。</w:t>
      </w:r>
    </w:p>
    <w:p w14:paraId="50121172">
      <w:pPr>
        <w:pStyle w:val="9"/>
        <w:keepNext w:val="0"/>
        <w:keepLines w:val="0"/>
        <w:pageBreakBefore w:val="0"/>
        <w:widowControl/>
        <w:kinsoku/>
        <w:wordWrap/>
        <w:autoSpaceDE/>
        <w:autoSpaceDN/>
        <w:bidi w:val="0"/>
        <w:adjustRightInd/>
        <w:snapToGrid/>
        <w:spacing w:after="0" w:line="360" w:lineRule="auto"/>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二、</w:t>
      </w:r>
      <w:r>
        <w:rPr>
          <w:rFonts w:hint="eastAsia" w:ascii="仿宋" w:hAnsi="仿宋" w:eastAsia="仿宋" w:cs="仿宋"/>
          <w:color w:val="auto"/>
          <w:szCs w:val="21"/>
          <w:highlight w:val="none"/>
        </w:rPr>
        <w:t>乙方义务如下：</w:t>
      </w:r>
    </w:p>
    <w:p w14:paraId="5ECB6B76">
      <w:pPr>
        <w:pStyle w:val="9"/>
        <w:keepNext w:val="0"/>
        <w:keepLines w:val="0"/>
        <w:pageBreakBefore w:val="0"/>
        <w:widowControl/>
        <w:numPr>
          <w:ilvl w:val="0"/>
          <w:numId w:val="8"/>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rPr>
        <w:t>应建立健全安全管理机构，配备专职或兼职安全管理人员，建立安全生产责任制，制定各项安全规章制度，并满足甲方最低安全管理要求。</w:t>
      </w:r>
    </w:p>
    <w:p w14:paraId="483DC74A">
      <w:pPr>
        <w:pStyle w:val="9"/>
        <w:keepNext w:val="0"/>
        <w:keepLines w:val="0"/>
        <w:pageBreakBefore w:val="0"/>
        <w:widowControl/>
        <w:numPr>
          <w:ilvl w:val="0"/>
          <w:numId w:val="8"/>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rPr>
        <w:t>对重点施工或危险作业项目（包括但不限于动火作业、临时用电作业、高处作业、有限空间作业等）制定安全技术管理方案，报甲方审批。</w:t>
      </w:r>
    </w:p>
    <w:p w14:paraId="60B9273B">
      <w:pPr>
        <w:pStyle w:val="9"/>
        <w:keepNext w:val="0"/>
        <w:keepLines w:val="0"/>
        <w:pageBreakBefore w:val="0"/>
        <w:widowControl/>
        <w:numPr>
          <w:ilvl w:val="0"/>
          <w:numId w:val="8"/>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rPr>
        <w:t>组织安全检查，采取有效措施消除安全隐患，重大隐患应及时通报甲方。</w:t>
      </w:r>
    </w:p>
    <w:p w14:paraId="593A21D1">
      <w:pPr>
        <w:pStyle w:val="9"/>
        <w:keepNext w:val="0"/>
        <w:keepLines w:val="0"/>
        <w:pageBreakBefore w:val="0"/>
        <w:widowControl/>
        <w:numPr>
          <w:ilvl w:val="0"/>
          <w:numId w:val="8"/>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rPr>
        <w:t>应对作业人员进行安全教育和培训，使其具备相应安全意识和技能。从事特种作业的人员必须通过专业培训并获得特种作业资格证书。</w:t>
      </w:r>
    </w:p>
    <w:p w14:paraId="7677B3FC">
      <w:pPr>
        <w:pStyle w:val="9"/>
        <w:keepNext w:val="0"/>
        <w:keepLines w:val="0"/>
        <w:pageBreakBefore w:val="0"/>
        <w:widowControl/>
        <w:numPr>
          <w:ilvl w:val="0"/>
          <w:numId w:val="8"/>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应向工作人员提供相应合格的劳保用品，并有确保其正确使用。不得使用不符合甲方要求或国家、行业标准的材料、设备、装置、防护用品、安全检测仪器等物品。</w:t>
      </w:r>
    </w:p>
    <w:p w14:paraId="7C2853B8">
      <w:pPr>
        <w:pStyle w:val="9"/>
        <w:keepNext w:val="0"/>
        <w:keepLines w:val="0"/>
        <w:pageBreakBefore w:val="0"/>
        <w:widowControl/>
        <w:numPr>
          <w:ilvl w:val="0"/>
          <w:numId w:val="8"/>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rPr>
        <w:t>应在项目安全管理计划中明确对甲方利益的维护。</w:t>
      </w:r>
    </w:p>
    <w:p w14:paraId="38E3E5D0">
      <w:pPr>
        <w:pStyle w:val="9"/>
        <w:keepNext w:val="0"/>
        <w:keepLines w:val="0"/>
        <w:pageBreakBefore w:val="0"/>
        <w:widowControl/>
        <w:numPr>
          <w:ilvl w:val="0"/>
          <w:numId w:val="8"/>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rPr>
        <w:t>应雇佣身心健康的人员执行承包服务合同。</w:t>
      </w:r>
    </w:p>
    <w:p w14:paraId="0F4E0E05">
      <w:pPr>
        <w:pStyle w:val="9"/>
        <w:keepNext w:val="0"/>
        <w:keepLines w:val="0"/>
        <w:pageBreakBefore w:val="0"/>
        <w:widowControl/>
        <w:numPr>
          <w:ilvl w:val="0"/>
          <w:numId w:val="8"/>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rPr>
        <w:t>两个及以上在甲方同一区域内作业的</w:t>
      </w: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，可能影响对方生产安全时，应当签订安全生产管理协议，明确各自的安全生产管理职责和应当采取的安全措施，并报甲方备案。</w:t>
      </w:r>
    </w:p>
    <w:p w14:paraId="43C661B9">
      <w:pPr>
        <w:pStyle w:val="9"/>
        <w:keepNext w:val="0"/>
        <w:keepLines w:val="0"/>
        <w:pageBreakBefore w:val="0"/>
        <w:widowControl/>
        <w:numPr>
          <w:ilvl w:val="0"/>
          <w:numId w:val="8"/>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rPr>
        <w:t>其他根据相关规定要求应尽的义务。</w:t>
      </w:r>
    </w:p>
    <w:p w14:paraId="3B4D19BE">
      <w:pPr>
        <w:pStyle w:val="9"/>
        <w:keepNext w:val="0"/>
        <w:keepLines w:val="0"/>
        <w:pageBreakBefore w:val="0"/>
        <w:numPr>
          <w:ilvl w:val="0"/>
          <w:numId w:val="5"/>
        </w:numPr>
        <w:kinsoku/>
        <w:wordWrap/>
        <w:topLinePunct w:val="0"/>
        <w:autoSpaceDE/>
        <w:autoSpaceDN/>
        <w:bidi w:val="0"/>
        <w:adjustRightInd/>
        <w:snapToGrid/>
        <w:spacing w:after="0" w:line="360" w:lineRule="auto"/>
        <w:ind w:left="0" w:leftChars="0" w:firstLine="619" w:firstLineChars="0"/>
        <w:textAlignment w:val="auto"/>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事故处理</w:t>
      </w:r>
    </w:p>
    <w:p w14:paraId="4EE1EDE0">
      <w:pPr>
        <w:pStyle w:val="9"/>
        <w:keepNext w:val="0"/>
        <w:keepLines w:val="0"/>
        <w:pageBreakBefore w:val="0"/>
        <w:widowControl/>
        <w:numPr>
          <w:ilvl w:val="0"/>
          <w:numId w:val="9"/>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rPr>
        <w:t>甲方负有对</w:t>
      </w: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的安全管理进行监督检查的责任，但这并不影响和减轻</w:t>
      </w: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应负的责任。</w:t>
      </w:r>
    </w:p>
    <w:p w14:paraId="715A1520">
      <w:pPr>
        <w:pStyle w:val="9"/>
        <w:keepNext w:val="0"/>
        <w:keepLines w:val="0"/>
        <w:pageBreakBefore w:val="0"/>
        <w:widowControl/>
        <w:numPr>
          <w:ilvl w:val="0"/>
          <w:numId w:val="9"/>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应事先掌握项目的所有安全风险，（并在合同报价中单列安全费用），甲方不再对此类风险控制费用和时间进行任何补偿。</w:t>
      </w:r>
    </w:p>
    <w:p w14:paraId="33C425A1">
      <w:pPr>
        <w:pStyle w:val="9"/>
        <w:keepNext w:val="0"/>
        <w:keepLines w:val="0"/>
        <w:pageBreakBefore w:val="0"/>
        <w:widowControl/>
        <w:numPr>
          <w:ilvl w:val="0"/>
          <w:numId w:val="9"/>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rPr>
        <w:t>发生事故或险情时，甲方与</w:t>
      </w: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都有抢险救灾的义务，所发生的费用由责任方承担。</w:t>
      </w:r>
    </w:p>
    <w:p w14:paraId="3E400D43">
      <w:pPr>
        <w:pStyle w:val="9"/>
        <w:keepNext w:val="0"/>
        <w:keepLines w:val="0"/>
        <w:pageBreakBefore w:val="0"/>
        <w:widowControl/>
        <w:numPr>
          <w:ilvl w:val="0"/>
          <w:numId w:val="9"/>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rPr>
        <w:t>事故调查依照法律法规进行，事故调查后应明确责任。</w:t>
      </w:r>
    </w:p>
    <w:p w14:paraId="63AE7834">
      <w:pPr>
        <w:pStyle w:val="9"/>
        <w:keepNext w:val="0"/>
        <w:keepLines w:val="0"/>
        <w:pageBreakBefore w:val="0"/>
        <w:widowControl/>
        <w:numPr>
          <w:ilvl w:val="0"/>
          <w:numId w:val="9"/>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rPr>
        <w:t>甲方或</w:t>
      </w: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违反合同要求，未造成事故时，依据合同约定进行赔偿。由甲方造成的事故，甲方承担全部责任，并按合同约定赔偿损失；由</w:t>
      </w: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造成的事故，</w:t>
      </w: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承担全部责任，并按合同约定赔偿损失；合同双方共同违约造成的事故，按双方责任大小承担相应责任，并按照合同约定支付违约金；由于不可抗力造成合同项目发生事故及损失，甲方及</w:t>
      </w: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各自承担相应的损失。</w:t>
      </w:r>
    </w:p>
    <w:p w14:paraId="648E322E">
      <w:pPr>
        <w:pStyle w:val="9"/>
        <w:keepNext w:val="0"/>
        <w:keepLines w:val="0"/>
        <w:pageBreakBefore w:val="0"/>
        <w:widowControl/>
        <w:numPr>
          <w:ilvl w:val="0"/>
          <w:numId w:val="9"/>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发生事故后弄虚作假、隐瞒不报、迟报或慌报，甲方将按本附约中的违约细则条款对其进行扣款。</w:t>
      </w:r>
    </w:p>
    <w:p w14:paraId="15935419">
      <w:pPr>
        <w:pStyle w:val="9"/>
        <w:keepNext w:val="0"/>
        <w:keepLines w:val="0"/>
        <w:pageBreakBefore w:val="0"/>
        <w:widowControl/>
        <w:numPr>
          <w:ilvl w:val="0"/>
          <w:numId w:val="5"/>
        </w:numPr>
        <w:kinsoku/>
        <w:wordWrap/>
        <w:topLinePunct w:val="0"/>
        <w:autoSpaceDE/>
        <w:autoSpaceDN/>
        <w:bidi w:val="0"/>
        <w:adjustRightInd/>
        <w:snapToGrid/>
        <w:spacing w:after="0" w:line="360" w:lineRule="auto"/>
        <w:ind w:left="0" w:leftChars="0" w:firstLine="619" w:firstLineChars="0"/>
        <w:textAlignment w:val="auto"/>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汇报</w:t>
      </w:r>
    </w:p>
    <w:p w14:paraId="61AE275B">
      <w:pPr>
        <w:pStyle w:val="9"/>
        <w:keepNext w:val="0"/>
        <w:keepLines w:val="0"/>
        <w:pageBreakBefore w:val="0"/>
        <w:widowControl/>
        <w:kinsoku/>
        <w:wordWrap/>
        <w:autoSpaceDE/>
        <w:autoSpaceDN/>
        <w:bidi w:val="0"/>
        <w:adjustRightInd/>
        <w:snapToGrid/>
        <w:spacing w:after="0" w:line="360" w:lineRule="auto"/>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应按月或更短的间隔期向甲方提交正式报告。该报告应概括</w:t>
      </w: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在报告期内的安全管理情况，包括但不限于以下内容：</w:t>
      </w:r>
    </w:p>
    <w:p w14:paraId="1BE49E78">
      <w:pPr>
        <w:pStyle w:val="9"/>
        <w:keepNext w:val="0"/>
        <w:keepLines w:val="0"/>
        <w:pageBreakBefore w:val="0"/>
        <w:kinsoku/>
        <w:wordWrap/>
        <w:autoSpaceDE/>
        <w:autoSpaceDN/>
        <w:bidi w:val="0"/>
        <w:adjustRightInd/>
        <w:snapToGrid/>
        <w:spacing w:after="0" w:line="360" w:lineRule="auto"/>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——安全管理目标的实现情况和日常工作的实施情况；</w:t>
      </w:r>
    </w:p>
    <w:p w14:paraId="76880F65">
      <w:pPr>
        <w:pStyle w:val="9"/>
        <w:keepNext w:val="0"/>
        <w:keepLines w:val="0"/>
        <w:pageBreakBefore w:val="0"/>
        <w:kinsoku/>
        <w:wordWrap/>
        <w:autoSpaceDE/>
        <w:autoSpaceDN/>
        <w:bidi w:val="0"/>
        <w:adjustRightInd/>
        <w:snapToGrid/>
        <w:spacing w:after="0" w:line="360" w:lineRule="auto"/>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——所有会造成潜在的、或重大伤害的、或对设备财产造成损失的、或其他应该向甲方报告的事故；</w:t>
      </w:r>
    </w:p>
    <w:p w14:paraId="2DB89E92">
      <w:pPr>
        <w:pStyle w:val="9"/>
        <w:keepNext w:val="0"/>
        <w:keepLines w:val="0"/>
        <w:pageBreakBefore w:val="0"/>
        <w:kinsoku/>
        <w:wordWrap/>
        <w:autoSpaceDE/>
        <w:autoSpaceDN/>
        <w:bidi w:val="0"/>
        <w:adjustRightInd/>
        <w:snapToGrid/>
        <w:spacing w:after="0" w:line="360" w:lineRule="auto"/>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——所有未遂的但具有潜在伤害、损失的事故； </w:t>
      </w:r>
    </w:p>
    <w:p w14:paraId="4AAC3DF4">
      <w:pPr>
        <w:pStyle w:val="9"/>
        <w:keepNext w:val="0"/>
        <w:keepLines w:val="0"/>
        <w:pageBreakBefore w:val="0"/>
        <w:kinsoku/>
        <w:wordWrap/>
        <w:autoSpaceDE/>
        <w:autoSpaceDN/>
        <w:bidi w:val="0"/>
        <w:adjustRightInd/>
        <w:snapToGrid/>
        <w:spacing w:after="0" w:line="360" w:lineRule="auto"/>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——改进措施、禁令发布及法律诉讼通告等； </w:t>
      </w:r>
    </w:p>
    <w:p w14:paraId="4E14D347">
      <w:pPr>
        <w:pStyle w:val="9"/>
        <w:keepNext w:val="0"/>
        <w:keepLines w:val="0"/>
        <w:pageBreakBefore w:val="0"/>
        <w:kinsoku/>
        <w:wordWrap/>
        <w:autoSpaceDE/>
        <w:autoSpaceDN/>
        <w:bidi w:val="0"/>
        <w:adjustRightInd/>
        <w:snapToGrid/>
        <w:spacing w:after="0" w:line="360" w:lineRule="auto"/>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——其它须向甲方汇报的事项。</w:t>
      </w:r>
    </w:p>
    <w:p w14:paraId="74C1C3DD">
      <w:pPr>
        <w:pStyle w:val="9"/>
        <w:keepNext w:val="0"/>
        <w:keepLines w:val="0"/>
        <w:pageBreakBefore w:val="0"/>
        <w:widowControl/>
        <w:numPr>
          <w:ilvl w:val="0"/>
          <w:numId w:val="5"/>
        </w:numPr>
        <w:kinsoku/>
        <w:wordWrap/>
        <w:topLinePunct w:val="0"/>
        <w:autoSpaceDE/>
        <w:autoSpaceDN/>
        <w:bidi w:val="0"/>
        <w:adjustRightInd/>
        <w:snapToGrid/>
        <w:spacing w:after="0" w:line="360" w:lineRule="auto"/>
        <w:ind w:left="0" w:leftChars="0" w:firstLine="619" w:firstLineChars="0"/>
        <w:textAlignment w:val="auto"/>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个人防护</w:t>
      </w:r>
    </w:p>
    <w:p w14:paraId="6108B03B">
      <w:pPr>
        <w:pStyle w:val="9"/>
        <w:keepNext w:val="0"/>
        <w:keepLines w:val="0"/>
        <w:pageBreakBefore w:val="0"/>
        <w:widowControl/>
        <w:numPr>
          <w:ilvl w:val="0"/>
          <w:numId w:val="10"/>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应根据工作中的风险为工作人员提供合适的个人防护用品，并应认识到这是最后的安全措施，任何详细的工作计划、措施和管理均不能取而代之。</w:t>
      </w:r>
    </w:p>
    <w:p w14:paraId="7B518E82">
      <w:pPr>
        <w:pStyle w:val="9"/>
        <w:keepNext w:val="0"/>
        <w:keepLines w:val="0"/>
        <w:pageBreakBefore w:val="0"/>
        <w:widowControl/>
        <w:numPr>
          <w:ilvl w:val="0"/>
          <w:numId w:val="10"/>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rPr>
        <w:t>在所有施工场地，现场所有人员都至少应穿戴安全帽、工作服。</w:t>
      </w:r>
    </w:p>
    <w:p w14:paraId="07A411A9">
      <w:pPr>
        <w:pStyle w:val="9"/>
        <w:keepNext w:val="0"/>
        <w:keepLines w:val="0"/>
        <w:pageBreakBefore w:val="0"/>
        <w:widowControl/>
        <w:numPr>
          <w:ilvl w:val="0"/>
          <w:numId w:val="10"/>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rPr>
        <w:t>因实际作业风险的需要或甲方对部分区域和作业有具体要求时，</w:t>
      </w: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应为员工提供相应的劳保用品。</w:t>
      </w:r>
    </w:p>
    <w:p w14:paraId="2D3CC284">
      <w:pPr>
        <w:pStyle w:val="9"/>
        <w:keepNext w:val="0"/>
        <w:keepLines w:val="0"/>
        <w:pageBreakBefore w:val="0"/>
        <w:widowControl/>
        <w:numPr>
          <w:ilvl w:val="0"/>
          <w:numId w:val="10"/>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应根据对风险的评估确定实际需要的个人防护用品，而不能只满足最低的个人防护用品要求。</w:t>
      </w:r>
    </w:p>
    <w:p w14:paraId="556588FE">
      <w:pPr>
        <w:pStyle w:val="9"/>
        <w:keepNext w:val="0"/>
        <w:keepLines w:val="0"/>
        <w:pageBreakBefore w:val="0"/>
        <w:widowControl/>
        <w:numPr>
          <w:ilvl w:val="0"/>
          <w:numId w:val="5"/>
        </w:numPr>
        <w:kinsoku/>
        <w:wordWrap/>
        <w:topLinePunct w:val="0"/>
        <w:autoSpaceDE/>
        <w:autoSpaceDN/>
        <w:bidi w:val="0"/>
        <w:adjustRightInd/>
        <w:snapToGrid/>
        <w:spacing w:after="0" w:line="360" w:lineRule="auto"/>
        <w:ind w:left="0" w:leftChars="0" w:firstLine="619" w:firstLineChars="0"/>
        <w:textAlignment w:val="auto"/>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工作环境</w:t>
      </w:r>
    </w:p>
    <w:p w14:paraId="4814A0FF">
      <w:pPr>
        <w:pStyle w:val="9"/>
        <w:keepNext w:val="0"/>
        <w:keepLines w:val="0"/>
        <w:pageBreakBefore w:val="0"/>
        <w:widowControl/>
        <w:numPr>
          <w:ilvl w:val="0"/>
          <w:numId w:val="11"/>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应督促所有人员保持施工现场的清洁和整齐，将人员受伤、设备受损的风险减至最小。</w:t>
      </w:r>
    </w:p>
    <w:p w14:paraId="6E17B534">
      <w:pPr>
        <w:pStyle w:val="9"/>
        <w:keepNext w:val="0"/>
        <w:keepLines w:val="0"/>
        <w:pageBreakBefore w:val="0"/>
        <w:widowControl/>
        <w:numPr>
          <w:ilvl w:val="0"/>
          <w:numId w:val="11"/>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应与当地周边单位和个人和平共处，若有任何冲突、矛盾或对个人财产的破坏应立即上报和处理。</w:t>
      </w:r>
    </w:p>
    <w:p w14:paraId="60179531">
      <w:pPr>
        <w:pStyle w:val="9"/>
        <w:keepNext w:val="0"/>
        <w:keepLines w:val="0"/>
        <w:pageBreakBefore w:val="0"/>
        <w:widowControl/>
        <w:numPr>
          <w:ilvl w:val="0"/>
          <w:numId w:val="11"/>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应报告包括盗窃在内的一切治安事件。</w:t>
      </w:r>
    </w:p>
    <w:p w14:paraId="2960C02D">
      <w:pPr>
        <w:pStyle w:val="9"/>
        <w:keepNext w:val="0"/>
        <w:keepLines w:val="0"/>
        <w:pageBreakBefore w:val="0"/>
        <w:widowControl/>
        <w:numPr>
          <w:ilvl w:val="0"/>
          <w:numId w:val="11"/>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应确保任何来访者进入施工现场前接受安全教育，使其了解施工场地的安全要求，并有人全程现场陪同。</w:t>
      </w:r>
    </w:p>
    <w:p w14:paraId="0EAE82EE">
      <w:pPr>
        <w:pStyle w:val="9"/>
        <w:keepNext w:val="0"/>
        <w:keepLines w:val="0"/>
        <w:pageBreakBefore w:val="0"/>
        <w:widowControl/>
        <w:numPr>
          <w:ilvl w:val="0"/>
          <w:numId w:val="11"/>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应禁止一切与工作或业务无关人员进入施工现场。</w:t>
      </w:r>
    </w:p>
    <w:p w14:paraId="5373E431">
      <w:pPr>
        <w:pStyle w:val="9"/>
        <w:keepNext w:val="0"/>
        <w:keepLines w:val="0"/>
        <w:pageBreakBefore w:val="0"/>
        <w:widowControl/>
        <w:numPr>
          <w:ilvl w:val="0"/>
          <w:numId w:val="5"/>
        </w:numPr>
        <w:kinsoku/>
        <w:wordWrap/>
        <w:topLinePunct w:val="0"/>
        <w:autoSpaceDE/>
        <w:autoSpaceDN/>
        <w:bidi w:val="0"/>
        <w:adjustRightInd/>
        <w:snapToGrid/>
        <w:spacing w:after="0" w:line="360" w:lineRule="auto"/>
        <w:ind w:left="0" w:leftChars="0" w:firstLine="619" w:firstLineChars="0"/>
        <w:textAlignment w:val="auto"/>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设备、设施安全</w:t>
      </w:r>
    </w:p>
    <w:p w14:paraId="00F68A93">
      <w:pPr>
        <w:pStyle w:val="9"/>
        <w:keepNext w:val="0"/>
        <w:keepLines w:val="0"/>
        <w:pageBreakBefore w:val="0"/>
        <w:widowControl/>
        <w:numPr>
          <w:ilvl w:val="0"/>
          <w:numId w:val="12"/>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应确保所提供的设备都处于完好安全的状态，特种设备应在检验合格有效期内使用。一旦甲方要求，</w:t>
      </w: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 xml:space="preserve">应随时提供设备的检查记录，维修保养记录、检验档案等。 </w:t>
      </w:r>
    </w:p>
    <w:p w14:paraId="3721894A">
      <w:pPr>
        <w:pStyle w:val="9"/>
        <w:keepNext w:val="0"/>
        <w:keepLines w:val="0"/>
        <w:pageBreakBefore w:val="0"/>
        <w:widowControl/>
        <w:numPr>
          <w:ilvl w:val="0"/>
          <w:numId w:val="12"/>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应制定所有设备的安全操作规程，并确保所有的人员都按安全操作规程进行操作。</w:t>
      </w:r>
    </w:p>
    <w:p w14:paraId="4F768FEB">
      <w:pPr>
        <w:pStyle w:val="9"/>
        <w:keepNext w:val="0"/>
        <w:keepLines w:val="0"/>
        <w:pageBreakBefore w:val="0"/>
        <w:widowControl/>
        <w:numPr>
          <w:ilvl w:val="0"/>
          <w:numId w:val="5"/>
        </w:numPr>
        <w:kinsoku/>
        <w:wordWrap/>
        <w:topLinePunct w:val="0"/>
        <w:autoSpaceDE/>
        <w:autoSpaceDN/>
        <w:bidi w:val="0"/>
        <w:adjustRightInd/>
        <w:snapToGrid/>
        <w:spacing w:after="0" w:line="360" w:lineRule="auto"/>
        <w:ind w:left="0" w:leftChars="0" w:firstLine="619" w:firstLineChars="0"/>
        <w:textAlignment w:val="auto"/>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环保要求</w:t>
      </w:r>
    </w:p>
    <w:p w14:paraId="3060F118">
      <w:pPr>
        <w:pStyle w:val="9"/>
        <w:keepNext w:val="0"/>
        <w:keepLines w:val="0"/>
        <w:pageBreakBefore w:val="0"/>
        <w:widowControl/>
        <w:numPr>
          <w:ilvl w:val="0"/>
          <w:numId w:val="13"/>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应遵守有关废弃物生产、运输、储存和处理等方面的所有法律法规，应使其数量最小化。</w:t>
      </w:r>
    </w:p>
    <w:p w14:paraId="0CF6905F">
      <w:pPr>
        <w:pStyle w:val="9"/>
        <w:keepNext w:val="0"/>
        <w:keepLines w:val="0"/>
        <w:pageBreakBefore w:val="0"/>
        <w:widowControl/>
        <w:numPr>
          <w:ilvl w:val="0"/>
          <w:numId w:val="13"/>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应在施工场地设立固定垃圾存放点，保持施工场地的环境卫生，做到文明施工。</w:t>
      </w:r>
    </w:p>
    <w:p w14:paraId="1696083E">
      <w:pPr>
        <w:pStyle w:val="9"/>
        <w:keepNext w:val="0"/>
        <w:keepLines w:val="0"/>
        <w:pageBreakBefore w:val="0"/>
        <w:widowControl/>
        <w:numPr>
          <w:ilvl w:val="0"/>
          <w:numId w:val="13"/>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应确保所有参加施工的机械设施和设备均符合国家和地方环保政策和法规标准的要求。</w:t>
      </w:r>
    </w:p>
    <w:p w14:paraId="2F978B1C">
      <w:pPr>
        <w:pStyle w:val="9"/>
        <w:keepNext w:val="0"/>
        <w:keepLines w:val="0"/>
        <w:pageBreakBefore w:val="0"/>
        <w:widowControl/>
        <w:numPr>
          <w:ilvl w:val="0"/>
          <w:numId w:val="13"/>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应具备突发环境事故应急程序以及相应的应急设备和物资。</w:t>
      </w:r>
    </w:p>
    <w:p w14:paraId="313BBA9E">
      <w:pPr>
        <w:pStyle w:val="9"/>
        <w:keepNext w:val="0"/>
        <w:keepLines w:val="0"/>
        <w:pageBreakBefore w:val="0"/>
        <w:widowControl/>
        <w:numPr>
          <w:ilvl w:val="0"/>
          <w:numId w:val="5"/>
        </w:numPr>
        <w:kinsoku/>
        <w:wordWrap/>
        <w:topLinePunct w:val="0"/>
        <w:autoSpaceDE/>
        <w:autoSpaceDN/>
        <w:bidi w:val="0"/>
        <w:adjustRightInd/>
        <w:snapToGrid/>
        <w:spacing w:after="0" w:line="360" w:lineRule="auto"/>
        <w:ind w:left="0" w:leftChars="0" w:firstLine="619" w:firstLineChars="0"/>
        <w:textAlignment w:val="auto"/>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违约细则</w:t>
      </w:r>
    </w:p>
    <w:p w14:paraId="7B0E64BB">
      <w:pPr>
        <w:pStyle w:val="9"/>
        <w:keepNext w:val="0"/>
        <w:keepLines w:val="0"/>
        <w:pageBreakBefore w:val="0"/>
        <w:widowControl/>
        <w:numPr>
          <w:ilvl w:val="0"/>
          <w:numId w:val="14"/>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进入施工现场后必须履行自身的安全职责、严格遵守本附约各条款及甲方针对本项目制定的各项管理制度。甲方将随机对</w:t>
      </w: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的安全表现进行检查，对违章行为以及管理缺陷进行扣款，扣款金额从工程款中直接扣除。</w:t>
      </w:r>
    </w:p>
    <w:p w14:paraId="4308EA78">
      <w:pPr>
        <w:pStyle w:val="9"/>
        <w:keepNext w:val="0"/>
        <w:keepLines w:val="0"/>
        <w:pageBreakBefore w:val="0"/>
        <w:widowControl/>
        <w:numPr>
          <w:ilvl w:val="0"/>
          <w:numId w:val="14"/>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rPr>
        <w:t>甲方有权要求</w:t>
      </w: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撤换任何严重违规的人员，</w:t>
      </w: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应在甲方要求的期限内撤换。</w:t>
      </w:r>
    </w:p>
    <w:p w14:paraId="7B6D77C1">
      <w:pPr>
        <w:pStyle w:val="9"/>
        <w:keepNext w:val="0"/>
        <w:keepLines w:val="0"/>
        <w:pageBreakBefore w:val="0"/>
        <w:widowControl/>
        <w:numPr>
          <w:ilvl w:val="0"/>
          <w:numId w:val="14"/>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严重违规或者现场存在重大隐患时，甲方可要求</w:t>
      </w: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停工，直至其满足甲方最低安全管理要求，并提出申请，经甲方批准后，方可复工。因</w:t>
      </w: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的工作失误导致甲方要求</w:t>
      </w: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停工而造成的损失由</w:t>
      </w: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承担。</w:t>
      </w:r>
    </w:p>
    <w:p w14:paraId="2ABEF530">
      <w:pPr>
        <w:pStyle w:val="9"/>
        <w:keepNext w:val="0"/>
        <w:keepLines w:val="0"/>
        <w:pageBreakBefore w:val="0"/>
        <w:widowControl/>
        <w:numPr>
          <w:ilvl w:val="0"/>
          <w:numId w:val="14"/>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责任事故扣款标准：</w:t>
      </w:r>
    </w:p>
    <w:p w14:paraId="345E5364">
      <w:pPr>
        <w:pStyle w:val="9"/>
        <w:keepNext w:val="0"/>
        <w:keepLines w:val="0"/>
        <w:pageBreakBefore w:val="0"/>
        <w:widowControl/>
        <w:numPr>
          <w:ilvl w:val="0"/>
          <w:numId w:val="14"/>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rPr>
        <w:t>上述扣款，直接从</w:t>
      </w: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工程款中扣除，工程余款不足的，甲方有权追偿。</w:t>
      </w:r>
    </w:p>
    <w:p w14:paraId="04BA1BE1">
      <w:pPr>
        <w:pStyle w:val="9"/>
        <w:keepNext w:val="0"/>
        <w:keepLines w:val="0"/>
        <w:pageBreakBefore w:val="0"/>
        <w:widowControl/>
        <w:numPr>
          <w:ilvl w:val="0"/>
          <w:numId w:val="14"/>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在开工后一周内即发生安全事故的，则该</w:t>
      </w: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将被认为是极度不安全作业的，甲方即可单方面终止与该</w:t>
      </w: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的工程合同，由此造成的损失，由</w:t>
      </w:r>
      <w:r>
        <w:rPr>
          <w:rFonts w:hint="eastAsia" w:ascii="仿宋" w:hAnsi="仿宋" w:eastAsia="仿宋" w:cs="仿宋"/>
          <w:color w:val="auto"/>
          <w:szCs w:val="21"/>
          <w:highlight w:val="none"/>
          <w:lang w:eastAsia="zh-CN"/>
        </w:rPr>
        <w:t>承包人</w:t>
      </w:r>
      <w:r>
        <w:rPr>
          <w:rFonts w:hint="eastAsia" w:ascii="仿宋" w:hAnsi="仿宋" w:eastAsia="仿宋" w:cs="仿宋"/>
          <w:color w:val="auto"/>
          <w:szCs w:val="21"/>
          <w:highlight w:val="none"/>
        </w:rPr>
        <w:t>负责赔偿。</w:t>
      </w:r>
    </w:p>
    <w:p w14:paraId="1424628F">
      <w:pPr>
        <w:pStyle w:val="9"/>
        <w:keepNext w:val="0"/>
        <w:keepLines w:val="0"/>
        <w:pageBreakBefore w:val="0"/>
        <w:numPr>
          <w:ilvl w:val="0"/>
          <w:numId w:val="5"/>
        </w:numPr>
        <w:kinsoku/>
        <w:wordWrap/>
        <w:topLinePunct w:val="0"/>
        <w:autoSpaceDE/>
        <w:autoSpaceDN/>
        <w:bidi w:val="0"/>
        <w:adjustRightInd/>
        <w:snapToGrid/>
        <w:spacing w:after="0" w:line="360" w:lineRule="auto"/>
        <w:ind w:left="0" w:leftChars="0" w:firstLine="619" w:firstLineChars="0"/>
        <w:textAlignment w:val="auto"/>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安全风险抵押金</w:t>
      </w:r>
    </w:p>
    <w:p w14:paraId="0C676763">
      <w:pPr>
        <w:pStyle w:val="9"/>
        <w:keepNext w:val="0"/>
        <w:keepLines w:val="0"/>
        <w:pageBreakBefore w:val="0"/>
        <w:numPr>
          <w:ilvl w:val="0"/>
          <w:numId w:val="15"/>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rPr>
        <w:t>乙方在签订服务合同及本协议后10日内，向甲方缴纳安全风险抵押金</w:t>
      </w:r>
      <w:r>
        <w:rPr>
          <w:rFonts w:hint="eastAsia" w:ascii="仿宋" w:hAnsi="仿宋" w:eastAsia="仿宋" w:cs="仿宋"/>
          <w:color w:val="auto"/>
          <w:szCs w:val="21"/>
          <w:highlight w:val="none"/>
          <w:u w:val="single"/>
          <w:lang w:val="en-US" w:eastAsia="zh-CN"/>
        </w:rPr>
        <w:t xml:space="preserve"> / </w:t>
      </w:r>
      <w:r>
        <w:rPr>
          <w:rFonts w:hint="eastAsia" w:ascii="仿宋" w:hAnsi="仿宋" w:eastAsia="仿宋" w:cs="仿宋"/>
          <w:color w:val="auto"/>
          <w:szCs w:val="21"/>
          <w:highlight w:val="none"/>
        </w:rPr>
        <w:t>万元。</w:t>
      </w:r>
    </w:p>
    <w:p w14:paraId="5BF53BE7">
      <w:pPr>
        <w:pStyle w:val="9"/>
        <w:keepNext w:val="0"/>
        <w:keepLines w:val="0"/>
        <w:pageBreakBefore w:val="0"/>
        <w:numPr>
          <w:ilvl w:val="0"/>
          <w:numId w:val="15"/>
        </w:numPr>
        <w:kinsoku/>
        <w:wordWrap/>
        <w:topLinePunct w:val="0"/>
        <w:autoSpaceDE/>
        <w:autoSpaceDN/>
        <w:bidi w:val="0"/>
        <w:adjustRightInd/>
        <w:snapToGrid/>
        <w:spacing w:after="0" w:line="360" w:lineRule="auto"/>
        <w:ind w:left="0" w:leftChars="0" w:firstLine="616" w:firstLineChars="0"/>
        <w:textAlignment w:val="auto"/>
        <w:rPr>
          <w:rFonts w:hint="eastAsia" w:ascii="仿宋" w:hAnsi="仿宋" w:eastAsia="仿宋" w:cs="仿宋"/>
          <w:b w:val="0"/>
          <w:color w:val="auto"/>
          <w:szCs w:val="21"/>
          <w:highlight w:val="none"/>
        </w:rPr>
      </w:pPr>
      <w:r>
        <w:rPr>
          <w:rFonts w:hint="eastAsia" w:ascii="仿宋" w:hAnsi="仿宋" w:eastAsia="仿宋" w:cs="仿宋"/>
          <w:color w:val="auto"/>
          <w:szCs w:val="21"/>
          <w:highlight w:val="none"/>
        </w:rPr>
        <w:t>合同期满，如无本协议约定的违约扣罚情形，抵押金如数退回乙方。</w:t>
      </w:r>
    </w:p>
    <w:p w14:paraId="51980F25">
      <w:pPr>
        <w:pStyle w:val="9"/>
        <w:keepNext w:val="0"/>
        <w:keepLines w:val="0"/>
        <w:pageBreakBefore w:val="0"/>
        <w:numPr>
          <w:ilvl w:val="0"/>
          <w:numId w:val="5"/>
        </w:numPr>
        <w:kinsoku/>
        <w:wordWrap/>
        <w:topLinePunct w:val="0"/>
        <w:autoSpaceDE/>
        <w:autoSpaceDN/>
        <w:bidi w:val="0"/>
        <w:adjustRightInd/>
        <w:snapToGrid/>
        <w:spacing w:after="0" w:line="360" w:lineRule="auto"/>
        <w:ind w:left="0" w:leftChars="0" w:firstLine="619" w:firstLineChars="0"/>
        <w:textAlignment w:val="auto"/>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协议有效时间</w:t>
      </w:r>
    </w:p>
    <w:p w14:paraId="10146DAD">
      <w:pPr>
        <w:pStyle w:val="9"/>
        <w:keepNext w:val="0"/>
        <w:keepLines w:val="0"/>
        <w:pageBreakBefore w:val="0"/>
        <w:kinsoku/>
        <w:wordWrap/>
        <w:autoSpaceDE/>
        <w:autoSpaceDN/>
        <w:bidi w:val="0"/>
        <w:adjustRightInd/>
        <w:snapToGrid/>
        <w:spacing w:after="0"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本协议自签订之日起至服务合同期满前有效。</w:t>
      </w:r>
    </w:p>
    <w:p w14:paraId="3BE66421">
      <w:pPr>
        <w:pStyle w:val="9"/>
        <w:keepNext w:val="0"/>
        <w:keepLines w:val="0"/>
        <w:pageBreakBefore w:val="0"/>
        <w:kinsoku/>
        <w:wordWrap/>
        <w:autoSpaceDE/>
        <w:autoSpaceDN/>
        <w:bidi w:val="0"/>
        <w:adjustRightInd/>
        <w:snapToGrid/>
        <w:spacing w:after="0" w:line="360" w:lineRule="auto"/>
        <w:ind w:firstLine="422" w:firstLineChars="200"/>
        <w:textAlignment w:val="auto"/>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第十二条</w:t>
      </w:r>
    </w:p>
    <w:p w14:paraId="7B643DF7">
      <w:pPr>
        <w:pStyle w:val="9"/>
        <w:keepNext w:val="0"/>
        <w:keepLines w:val="0"/>
        <w:pageBreakBefore w:val="0"/>
        <w:kinsoku/>
        <w:wordWrap/>
        <w:autoSpaceDE/>
        <w:autoSpaceDN/>
        <w:bidi w:val="0"/>
        <w:adjustRightInd/>
        <w:snapToGrid/>
        <w:spacing w:after="0"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其它未尽事宜由甲乙双方协商解决。</w:t>
      </w:r>
    </w:p>
    <w:p w14:paraId="1918E254">
      <w:pPr>
        <w:pStyle w:val="9"/>
        <w:keepNext w:val="0"/>
        <w:keepLines w:val="0"/>
        <w:pageBreakBefore w:val="0"/>
        <w:kinsoku/>
        <w:wordWrap/>
        <w:autoSpaceDE/>
        <w:autoSpaceDN/>
        <w:bidi w:val="0"/>
        <w:adjustRightInd/>
        <w:snapToGrid/>
        <w:spacing w:after="0" w:line="360" w:lineRule="auto"/>
        <w:ind w:firstLine="422" w:firstLineChars="200"/>
        <w:textAlignment w:val="auto"/>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第十三条</w:t>
      </w:r>
    </w:p>
    <w:p w14:paraId="051A9338">
      <w:pPr>
        <w:pStyle w:val="9"/>
        <w:keepNext w:val="0"/>
        <w:keepLines w:val="0"/>
        <w:pageBreakBefore w:val="0"/>
        <w:kinsoku/>
        <w:wordWrap/>
        <w:autoSpaceDE/>
        <w:autoSpaceDN/>
        <w:bidi w:val="0"/>
        <w:adjustRightInd/>
        <w:snapToGrid/>
        <w:spacing w:after="0" w:line="360" w:lineRule="auto"/>
        <w:ind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本协议履行过程中的纠纷解决方式参照服务合同约定。</w:t>
      </w:r>
    </w:p>
    <w:p w14:paraId="78D76F90">
      <w:pPr>
        <w:pStyle w:val="9"/>
        <w:keepNext w:val="0"/>
        <w:keepLines w:val="0"/>
        <w:pageBreakBefore w:val="0"/>
        <w:kinsoku/>
        <w:wordWrap/>
        <w:autoSpaceDE/>
        <w:autoSpaceDN/>
        <w:bidi w:val="0"/>
        <w:adjustRightInd/>
        <w:snapToGrid/>
        <w:spacing w:after="0" w:line="360" w:lineRule="auto"/>
        <w:ind w:firstLine="422" w:firstLineChars="200"/>
        <w:textAlignment w:val="auto"/>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第十四条</w:t>
      </w:r>
    </w:p>
    <w:p w14:paraId="2C155F5F">
      <w:pPr>
        <w:spacing w:line="40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highlight w:val="none"/>
        </w:rPr>
        <w:t>本合同一式</w:t>
      </w:r>
      <w:r>
        <w:rPr>
          <w:rFonts w:hint="eastAsia" w:ascii="仿宋" w:hAnsi="仿宋" w:eastAsia="仿宋" w:cs="仿宋"/>
          <w:bCs/>
          <w:color w:val="auto"/>
          <w:highlight w:val="none"/>
          <w:u w:val="single"/>
          <w:lang w:val="en-US" w:eastAsia="zh-CN"/>
        </w:rPr>
        <w:t xml:space="preserve"> </w:t>
      </w:r>
      <w:r>
        <w:rPr>
          <w:rFonts w:hint="eastAsia" w:ascii="仿宋" w:hAnsi="仿宋" w:eastAsia="仿宋" w:cs="仿宋"/>
          <w:b/>
          <w:bCs/>
          <w:color w:val="auto"/>
          <w:szCs w:val="21"/>
          <w:highlight w:val="none"/>
          <w:u w:val="single"/>
          <w:lang w:val="en-US" w:eastAsia="zh-CN"/>
        </w:rPr>
        <w:t xml:space="preserve">陆 </w:t>
      </w:r>
      <w:r>
        <w:rPr>
          <w:rFonts w:hint="eastAsia" w:ascii="仿宋" w:hAnsi="仿宋" w:eastAsia="仿宋" w:cs="仿宋"/>
          <w:bCs/>
          <w:color w:val="auto"/>
          <w:highlight w:val="none"/>
        </w:rPr>
        <w:t>份，均具有同等法律效力，发包人执</w:t>
      </w:r>
      <w:r>
        <w:rPr>
          <w:rFonts w:hint="eastAsia" w:ascii="仿宋" w:hAnsi="仿宋" w:eastAsia="仿宋" w:cs="仿宋"/>
          <w:bCs/>
          <w:color w:val="auto"/>
          <w:szCs w:val="21"/>
          <w:highlight w:val="none"/>
          <w:u w:val="single"/>
        </w:rPr>
        <w:t xml:space="preserve"> </w:t>
      </w:r>
      <w:r>
        <w:rPr>
          <w:rFonts w:hint="eastAsia" w:ascii="仿宋" w:hAnsi="仿宋" w:eastAsia="仿宋" w:cs="仿宋"/>
          <w:b/>
          <w:bCs/>
          <w:color w:val="auto"/>
          <w:szCs w:val="21"/>
          <w:highlight w:val="none"/>
          <w:u w:val="single"/>
          <w:lang w:val="en-US" w:eastAsia="zh-CN"/>
        </w:rPr>
        <w:t>肆</w:t>
      </w:r>
      <w:r>
        <w:rPr>
          <w:rFonts w:hint="eastAsia" w:ascii="仿宋" w:hAnsi="仿宋" w:eastAsia="仿宋" w:cs="仿宋"/>
          <w:b/>
          <w:bCs/>
          <w:color w:val="auto"/>
          <w:szCs w:val="21"/>
          <w:highlight w:val="none"/>
          <w:u w:val="single"/>
        </w:rPr>
        <w:t xml:space="preserve"> </w:t>
      </w:r>
      <w:r>
        <w:rPr>
          <w:rFonts w:hint="eastAsia" w:ascii="仿宋" w:hAnsi="仿宋" w:eastAsia="仿宋" w:cs="仿宋"/>
          <w:bCs/>
          <w:color w:val="auto"/>
          <w:highlight w:val="none"/>
        </w:rPr>
        <w:t>份，承包人执</w:t>
      </w:r>
      <w:r>
        <w:rPr>
          <w:rFonts w:hint="eastAsia" w:ascii="仿宋" w:hAnsi="仿宋" w:eastAsia="仿宋" w:cs="仿宋"/>
          <w:bCs/>
          <w:color w:val="auto"/>
          <w:highlight w:val="none"/>
          <w:lang w:val="en-US" w:eastAsia="zh-CN"/>
        </w:rPr>
        <w:t xml:space="preserve"> </w:t>
      </w:r>
      <w:r>
        <w:rPr>
          <w:rFonts w:hint="eastAsia" w:ascii="仿宋" w:hAnsi="仿宋" w:eastAsia="仿宋" w:cs="仿宋"/>
          <w:b/>
          <w:color w:val="auto"/>
          <w:szCs w:val="21"/>
          <w:highlight w:val="none"/>
          <w:u w:val="single"/>
          <w:lang w:val="en-US" w:eastAsia="zh-CN"/>
        </w:rPr>
        <w:t xml:space="preserve">贰 </w:t>
      </w:r>
      <w:r>
        <w:rPr>
          <w:rFonts w:hint="eastAsia" w:ascii="仿宋" w:hAnsi="仿宋" w:eastAsia="仿宋" w:cs="仿宋"/>
          <w:bCs/>
          <w:color w:val="auto"/>
          <w:szCs w:val="21"/>
          <w:highlight w:val="none"/>
        </w:rPr>
        <w:t>份。</w:t>
      </w:r>
    </w:p>
    <w:p w14:paraId="4788613F">
      <w:pPr>
        <w:spacing w:line="400" w:lineRule="exact"/>
        <w:ind w:firstLine="420" w:firstLineChars="200"/>
        <w:rPr>
          <w:rFonts w:hint="eastAsia" w:ascii="仿宋" w:hAnsi="仿宋" w:eastAsia="仿宋" w:cs="仿宋"/>
          <w:bCs/>
          <w:color w:val="auto"/>
          <w:szCs w:val="21"/>
          <w:highlight w:val="none"/>
        </w:rPr>
      </w:pPr>
    </w:p>
    <w:tbl>
      <w:tblPr>
        <w:tblStyle w:val="18"/>
        <w:tblW w:w="9349" w:type="dxa"/>
        <w:tblInd w:w="-270" w:type="dxa"/>
        <w:tblLayout w:type="fixed"/>
        <w:tblCellMar>
          <w:top w:w="0" w:type="dxa"/>
          <w:left w:w="108" w:type="dxa"/>
          <w:bottom w:w="0" w:type="dxa"/>
          <w:right w:w="108" w:type="dxa"/>
        </w:tblCellMar>
      </w:tblPr>
      <w:tblGrid>
        <w:gridCol w:w="4597"/>
        <w:gridCol w:w="4752"/>
      </w:tblGrid>
      <w:tr w14:paraId="63E97FFB">
        <w:tblPrEx>
          <w:tblCellMar>
            <w:top w:w="0" w:type="dxa"/>
            <w:left w:w="108" w:type="dxa"/>
            <w:bottom w:w="0" w:type="dxa"/>
            <w:right w:w="108" w:type="dxa"/>
          </w:tblCellMar>
        </w:tblPrEx>
        <w:trPr>
          <w:trHeight w:val="719" w:hRule="atLeast"/>
        </w:trPr>
        <w:tc>
          <w:tcPr>
            <w:tcW w:w="4597" w:type="dxa"/>
            <w:noWrap w:val="0"/>
            <w:vAlign w:val="center"/>
          </w:tcPr>
          <w:p w14:paraId="55741B06">
            <w:pPr>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甲方</w:t>
            </w:r>
            <w:r>
              <w:rPr>
                <w:rFonts w:hint="eastAsia" w:ascii="仿宋" w:hAnsi="仿宋" w:eastAsia="仿宋" w:cs="仿宋"/>
                <w:bCs/>
                <w:color w:val="auto"/>
                <w:szCs w:val="21"/>
                <w:highlight w:val="none"/>
              </w:rPr>
              <w:t>：（盖章）</w:t>
            </w:r>
          </w:p>
        </w:tc>
        <w:tc>
          <w:tcPr>
            <w:tcW w:w="4752" w:type="dxa"/>
            <w:noWrap w:val="0"/>
            <w:vAlign w:val="center"/>
          </w:tcPr>
          <w:p w14:paraId="0BBF56E3">
            <w:pPr>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乙方</w:t>
            </w:r>
            <w:r>
              <w:rPr>
                <w:rFonts w:hint="eastAsia" w:ascii="仿宋" w:hAnsi="仿宋" w:eastAsia="仿宋" w:cs="仿宋"/>
                <w:bCs/>
                <w:color w:val="auto"/>
                <w:szCs w:val="21"/>
                <w:highlight w:val="none"/>
              </w:rPr>
              <w:t>：（盖章）</w:t>
            </w:r>
          </w:p>
        </w:tc>
      </w:tr>
      <w:tr w14:paraId="1EA983C5">
        <w:tblPrEx>
          <w:tblCellMar>
            <w:top w:w="0" w:type="dxa"/>
            <w:left w:w="108" w:type="dxa"/>
            <w:bottom w:w="0" w:type="dxa"/>
            <w:right w:w="108" w:type="dxa"/>
          </w:tblCellMar>
        </w:tblPrEx>
        <w:trPr>
          <w:trHeight w:val="719" w:hRule="atLeast"/>
        </w:trPr>
        <w:tc>
          <w:tcPr>
            <w:tcW w:w="4597" w:type="dxa"/>
            <w:noWrap w:val="0"/>
            <w:vAlign w:val="center"/>
          </w:tcPr>
          <w:p w14:paraId="3664128D">
            <w:pPr>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法定代表人或授权代表人（签字或盖章）：</w:t>
            </w:r>
          </w:p>
        </w:tc>
        <w:tc>
          <w:tcPr>
            <w:tcW w:w="4752" w:type="dxa"/>
            <w:noWrap w:val="0"/>
            <w:vAlign w:val="center"/>
          </w:tcPr>
          <w:p w14:paraId="70CF5633">
            <w:pPr>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法定代表人或授权代表人（签字或盖章）：</w:t>
            </w:r>
          </w:p>
        </w:tc>
      </w:tr>
      <w:tr w14:paraId="0897DDCC">
        <w:tblPrEx>
          <w:tblCellMar>
            <w:top w:w="0" w:type="dxa"/>
            <w:left w:w="108" w:type="dxa"/>
            <w:bottom w:w="0" w:type="dxa"/>
            <w:right w:w="108" w:type="dxa"/>
          </w:tblCellMar>
        </w:tblPrEx>
        <w:trPr>
          <w:trHeight w:val="719" w:hRule="atLeast"/>
        </w:trPr>
        <w:tc>
          <w:tcPr>
            <w:tcW w:w="4597" w:type="dxa"/>
            <w:noWrap w:val="0"/>
            <w:vAlign w:val="center"/>
          </w:tcPr>
          <w:p w14:paraId="62516874">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统一社会信用代码：</w:t>
            </w:r>
          </w:p>
        </w:tc>
        <w:tc>
          <w:tcPr>
            <w:tcW w:w="4752" w:type="dxa"/>
            <w:noWrap w:val="0"/>
            <w:vAlign w:val="center"/>
          </w:tcPr>
          <w:p w14:paraId="292AC75D">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统一社会信用代码：</w:t>
            </w:r>
          </w:p>
        </w:tc>
      </w:tr>
      <w:tr w14:paraId="776A7BF9">
        <w:tblPrEx>
          <w:tblCellMar>
            <w:top w:w="0" w:type="dxa"/>
            <w:left w:w="108" w:type="dxa"/>
            <w:bottom w:w="0" w:type="dxa"/>
            <w:right w:w="108" w:type="dxa"/>
          </w:tblCellMar>
        </w:tblPrEx>
        <w:trPr>
          <w:trHeight w:val="719" w:hRule="atLeast"/>
        </w:trPr>
        <w:tc>
          <w:tcPr>
            <w:tcW w:w="4597" w:type="dxa"/>
            <w:noWrap w:val="0"/>
            <w:vAlign w:val="center"/>
          </w:tcPr>
          <w:p w14:paraId="1BE49C76">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地址</w:t>
            </w:r>
            <w:r>
              <w:rPr>
                <w:rFonts w:hint="eastAsia" w:ascii="仿宋" w:hAnsi="仿宋" w:eastAsia="仿宋" w:cs="仿宋"/>
                <w:bCs/>
                <w:color w:val="auto"/>
                <w:szCs w:val="21"/>
                <w:highlight w:val="none"/>
              </w:rPr>
              <w:t>：</w:t>
            </w:r>
          </w:p>
        </w:tc>
        <w:tc>
          <w:tcPr>
            <w:tcW w:w="4752" w:type="dxa"/>
            <w:noWrap w:val="0"/>
            <w:vAlign w:val="center"/>
          </w:tcPr>
          <w:p w14:paraId="0BF3193A">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地址</w:t>
            </w:r>
            <w:r>
              <w:rPr>
                <w:rFonts w:hint="eastAsia" w:ascii="仿宋" w:hAnsi="仿宋" w:eastAsia="仿宋" w:cs="仿宋"/>
                <w:bCs/>
                <w:color w:val="auto"/>
                <w:szCs w:val="21"/>
                <w:highlight w:val="none"/>
              </w:rPr>
              <w:t>：</w:t>
            </w:r>
          </w:p>
        </w:tc>
      </w:tr>
      <w:tr w14:paraId="42AFB6A7">
        <w:tblPrEx>
          <w:tblCellMar>
            <w:top w:w="0" w:type="dxa"/>
            <w:left w:w="108" w:type="dxa"/>
            <w:bottom w:w="0" w:type="dxa"/>
            <w:right w:w="108" w:type="dxa"/>
          </w:tblCellMar>
        </w:tblPrEx>
        <w:trPr>
          <w:trHeight w:val="719" w:hRule="atLeast"/>
        </w:trPr>
        <w:tc>
          <w:tcPr>
            <w:tcW w:w="4597" w:type="dxa"/>
            <w:noWrap w:val="0"/>
            <w:vAlign w:val="center"/>
          </w:tcPr>
          <w:p w14:paraId="1FD6E4BC">
            <w:pPr>
              <w:spacing w:line="400" w:lineRule="exact"/>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rPr>
              <w:t>邮政编码：</w:t>
            </w:r>
          </w:p>
        </w:tc>
        <w:tc>
          <w:tcPr>
            <w:tcW w:w="4752" w:type="dxa"/>
            <w:noWrap w:val="0"/>
            <w:vAlign w:val="center"/>
          </w:tcPr>
          <w:p w14:paraId="556C7AD6">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邮政编码：</w:t>
            </w:r>
          </w:p>
        </w:tc>
      </w:tr>
      <w:tr w14:paraId="28509B3D">
        <w:tblPrEx>
          <w:tblCellMar>
            <w:top w:w="0" w:type="dxa"/>
            <w:left w:w="108" w:type="dxa"/>
            <w:bottom w:w="0" w:type="dxa"/>
            <w:right w:w="108" w:type="dxa"/>
          </w:tblCellMar>
        </w:tblPrEx>
        <w:trPr>
          <w:trHeight w:val="719" w:hRule="atLeast"/>
        </w:trPr>
        <w:tc>
          <w:tcPr>
            <w:tcW w:w="4597" w:type="dxa"/>
            <w:noWrap w:val="0"/>
            <w:vAlign w:val="center"/>
          </w:tcPr>
          <w:p w14:paraId="3C9BC749">
            <w:pPr>
              <w:spacing w:line="400" w:lineRule="exact"/>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rPr>
              <w:t>电话：</w:t>
            </w:r>
          </w:p>
        </w:tc>
        <w:tc>
          <w:tcPr>
            <w:tcW w:w="4752" w:type="dxa"/>
            <w:noWrap w:val="0"/>
            <w:vAlign w:val="center"/>
          </w:tcPr>
          <w:p w14:paraId="49ACE9CC">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电话：</w:t>
            </w:r>
          </w:p>
        </w:tc>
      </w:tr>
      <w:tr w14:paraId="7F49AD74">
        <w:tblPrEx>
          <w:tblCellMar>
            <w:top w:w="0" w:type="dxa"/>
            <w:left w:w="108" w:type="dxa"/>
            <w:bottom w:w="0" w:type="dxa"/>
            <w:right w:w="108" w:type="dxa"/>
          </w:tblCellMar>
        </w:tblPrEx>
        <w:trPr>
          <w:trHeight w:val="719" w:hRule="atLeast"/>
        </w:trPr>
        <w:tc>
          <w:tcPr>
            <w:tcW w:w="4597" w:type="dxa"/>
            <w:noWrap w:val="0"/>
            <w:vAlign w:val="center"/>
          </w:tcPr>
          <w:p w14:paraId="747CC51A">
            <w:pPr>
              <w:spacing w:line="400" w:lineRule="exact"/>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rPr>
              <w:t>传真：</w:t>
            </w:r>
            <w:r>
              <w:rPr>
                <w:rFonts w:hint="eastAsia" w:ascii="仿宋" w:hAnsi="仿宋" w:eastAsia="仿宋" w:cs="仿宋"/>
                <w:bCs/>
                <w:color w:val="auto"/>
                <w:szCs w:val="21"/>
                <w:highlight w:val="none"/>
                <w:lang w:val="en-US" w:eastAsia="zh-CN"/>
              </w:rPr>
              <w:t>/</w:t>
            </w:r>
          </w:p>
        </w:tc>
        <w:tc>
          <w:tcPr>
            <w:tcW w:w="4752" w:type="dxa"/>
            <w:noWrap w:val="0"/>
            <w:vAlign w:val="center"/>
          </w:tcPr>
          <w:p w14:paraId="3B94E829">
            <w:pPr>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传真： /</w:t>
            </w:r>
          </w:p>
        </w:tc>
      </w:tr>
      <w:tr w14:paraId="20CD768E">
        <w:tblPrEx>
          <w:tblCellMar>
            <w:top w:w="0" w:type="dxa"/>
            <w:left w:w="108" w:type="dxa"/>
            <w:bottom w:w="0" w:type="dxa"/>
            <w:right w:w="108" w:type="dxa"/>
          </w:tblCellMar>
        </w:tblPrEx>
        <w:trPr>
          <w:trHeight w:val="719" w:hRule="atLeast"/>
        </w:trPr>
        <w:tc>
          <w:tcPr>
            <w:tcW w:w="4597" w:type="dxa"/>
            <w:noWrap w:val="0"/>
            <w:vAlign w:val="center"/>
          </w:tcPr>
          <w:p w14:paraId="7A0475BF">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开户银行：</w:t>
            </w:r>
          </w:p>
        </w:tc>
        <w:tc>
          <w:tcPr>
            <w:tcW w:w="4752" w:type="dxa"/>
            <w:noWrap w:val="0"/>
            <w:vAlign w:val="center"/>
          </w:tcPr>
          <w:p w14:paraId="228EAD5F">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开户银行：</w:t>
            </w:r>
          </w:p>
        </w:tc>
      </w:tr>
      <w:tr w14:paraId="5169BA58">
        <w:tblPrEx>
          <w:tblCellMar>
            <w:top w:w="0" w:type="dxa"/>
            <w:left w:w="108" w:type="dxa"/>
            <w:bottom w:w="0" w:type="dxa"/>
            <w:right w:w="108" w:type="dxa"/>
          </w:tblCellMar>
        </w:tblPrEx>
        <w:trPr>
          <w:trHeight w:val="719" w:hRule="atLeast"/>
        </w:trPr>
        <w:tc>
          <w:tcPr>
            <w:tcW w:w="4597" w:type="dxa"/>
            <w:noWrap w:val="0"/>
            <w:vAlign w:val="center"/>
          </w:tcPr>
          <w:p w14:paraId="5A132D1C">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银行账号</w:t>
            </w:r>
            <w:r>
              <w:rPr>
                <w:rFonts w:hint="eastAsia" w:ascii="仿宋" w:hAnsi="仿宋" w:eastAsia="仿宋" w:cs="仿宋"/>
                <w:bCs/>
                <w:color w:val="auto"/>
                <w:szCs w:val="21"/>
                <w:highlight w:val="none"/>
                <w:lang w:val="en-US" w:eastAsia="zh-CN"/>
              </w:rPr>
              <w:t>：</w:t>
            </w:r>
          </w:p>
        </w:tc>
        <w:tc>
          <w:tcPr>
            <w:tcW w:w="4752" w:type="dxa"/>
            <w:noWrap w:val="0"/>
            <w:vAlign w:val="center"/>
          </w:tcPr>
          <w:p w14:paraId="550FBC22">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银行账号：</w:t>
            </w:r>
          </w:p>
        </w:tc>
      </w:tr>
    </w:tbl>
    <w:p w14:paraId="47215B4B"/>
    <w:p w14:paraId="0E369343"/>
    <w:p w14:paraId="49E8531F"/>
    <w:p w14:paraId="1372CF8E"/>
    <w:p w14:paraId="51D27047"/>
    <w:p w14:paraId="4DEAE422"/>
    <w:p w14:paraId="6AB861E2"/>
    <w:p w14:paraId="39574DD3"/>
    <w:p w14:paraId="76C948FC"/>
    <w:p w14:paraId="64A5B008"/>
    <w:p w14:paraId="43464D71"/>
    <w:p w14:paraId="19D257C0"/>
    <w:p w14:paraId="021B6E6E"/>
    <w:p w14:paraId="333DAAD9"/>
    <w:p w14:paraId="6077466C"/>
    <w:p w14:paraId="185599BC"/>
    <w:p w14:paraId="1E8ADDE0"/>
    <w:p w14:paraId="4C14B097"/>
    <w:p w14:paraId="6584DB34"/>
    <w:p w14:paraId="590DF73A"/>
    <w:p w14:paraId="4DE22697"/>
    <w:p w14:paraId="53BB2287"/>
    <w:p w14:paraId="46CCA582"/>
    <w:p w14:paraId="335EF5D0"/>
    <w:p w14:paraId="0F14CBF8">
      <w:pPr>
        <w:keepNext w:val="0"/>
        <w:keepLines w:val="0"/>
        <w:pageBreakBefore w:val="0"/>
        <w:widowControl w:val="0"/>
        <w:numPr>
          <w:ilvl w:val="-1"/>
          <w:numId w:val="0"/>
        </w:numPr>
        <w:kinsoku/>
        <w:wordWrap/>
        <w:overflowPunct/>
        <w:topLinePunct w:val="0"/>
        <w:autoSpaceDE/>
        <w:autoSpaceDN/>
        <w:bidi w:val="0"/>
        <w:adjustRightInd/>
        <w:snapToGrid/>
        <w:spacing w:line="700" w:lineRule="exact"/>
        <w:ind w:firstLine="0" w:firstLineChars="0"/>
        <w:jc w:val="center"/>
        <w:textAlignment w:val="auto"/>
        <w:rPr>
          <w:rFonts w:hint="eastAsia" w:ascii="Times New Roman" w:hAnsi="Times New Roman" w:eastAsia="方正仿宋_GBK" w:cs="Times New Roman"/>
          <w:color w:val="auto"/>
          <w:sz w:val="32"/>
          <w:szCs w:val="32"/>
          <w:highlight w:val="none"/>
          <w:lang w:val="en-US" w:eastAsia="zh-CN"/>
        </w:rPr>
      </w:pPr>
      <w:r>
        <w:rPr>
          <w:rFonts w:hint="eastAsia" w:ascii="仿宋" w:hAnsi="仿宋" w:eastAsia="仿宋" w:cs="仿宋"/>
          <w:b/>
          <w:bCs w:val="0"/>
          <w:color w:val="auto"/>
          <w:sz w:val="30"/>
          <w:szCs w:val="30"/>
          <w:highlight w:val="none"/>
          <w:lang w:eastAsia="zh-CN"/>
        </w:rPr>
        <w:t>医院</w:t>
      </w:r>
      <w:r>
        <w:rPr>
          <w:rFonts w:hint="eastAsia" w:ascii="仿宋" w:hAnsi="仿宋" w:eastAsia="仿宋" w:cs="仿宋"/>
          <w:b/>
          <w:bCs w:val="0"/>
          <w:color w:val="auto"/>
          <w:sz w:val="30"/>
          <w:szCs w:val="30"/>
          <w:highlight w:val="none"/>
        </w:rPr>
        <w:t>廉洁</w:t>
      </w:r>
      <w:r>
        <w:rPr>
          <w:rFonts w:hint="eastAsia" w:ascii="仿宋" w:hAnsi="仿宋" w:eastAsia="仿宋" w:cs="仿宋"/>
          <w:b/>
          <w:bCs w:val="0"/>
          <w:color w:val="auto"/>
          <w:sz w:val="30"/>
          <w:szCs w:val="30"/>
          <w:highlight w:val="none"/>
          <w:lang w:eastAsia="zh-CN"/>
        </w:rPr>
        <w:t>购销承诺书</w:t>
      </w:r>
    </w:p>
    <w:p w14:paraId="25EFFD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为了</w:t>
      </w:r>
      <w:r>
        <w:rPr>
          <w:rFonts w:hint="eastAsia" w:ascii="仿宋" w:hAnsi="仿宋" w:eastAsia="仿宋" w:cs="仿宋"/>
          <w:color w:val="auto"/>
          <w:sz w:val="21"/>
          <w:szCs w:val="21"/>
          <w:highlight w:val="none"/>
          <w:lang w:eastAsia="zh-CN"/>
        </w:rPr>
        <w:t>规范购销行为，</w:t>
      </w:r>
      <w:r>
        <w:rPr>
          <w:rFonts w:hint="eastAsia" w:ascii="仿宋" w:hAnsi="仿宋" w:eastAsia="仿宋" w:cs="仿宋"/>
          <w:color w:val="auto"/>
          <w:sz w:val="21"/>
          <w:szCs w:val="21"/>
          <w:highlight w:val="none"/>
          <w:lang w:val="en-US" w:eastAsia="zh-CN"/>
        </w:rPr>
        <w:t>维护公平交易秩序，</w:t>
      </w:r>
      <w:r>
        <w:rPr>
          <w:rFonts w:hint="eastAsia" w:ascii="仿宋" w:hAnsi="仿宋" w:eastAsia="仿宋" w:cs="仿宋"/>
          <w:color w:val="auto"/>
          <w:sz w:val="21"/>
          <w:szCs w:val="21"/>
          <w:highlight w:val="none"/>
          <w:lang w:eastAsia="zh-CN"/>
        </w:rPr>
        <w:t>从源头上遏制购销领域的不正之风，营造公平、透明、廉洁的合作环境，</w:t>
      </w:r>
      <w:r>
        <w:rPr>
          <w:rFonts w:hint="eastAsia" w:ascii="仿宋" w:hAnsi="仿宋" w:eastAsia="仿宋" w:cs="仿宋"/>
          <w:color w:val="auto"/>
          <w:sz w:val="21"/>
          <w:szCs w:val="21"/>
          <w:highlight w:val="none"/>
          <w:lang w:val="en-US" w:eastAsia="zh-CN"/>
        </w:rPr>
        <w:t>本单位在</w:t>
      </w:r>
      <w:r>
        <w:rPr>
          <w:rFonts w:hint="eastAsia" w:ascii="仿宋" w:hAnsi="仿宋" w:eastAsia="仿宋" w:cs="仿宋"/>
          <w:color w:val="auto"/>
          <w:sz w:val="21"/>
          <w:szCs w:val="21"/>
          <w:highlight w:val="none"/>
          <w:lang w:eastAsia="zh-CN"/>
        </w:rPr>
        <w:t>药品、医疗器械、设备、耗材、物资、服务、工程等</w:t>
      </w:r>
      <w:r>
        <w:rPr>
          <w:rFonts w:hint="eastAsia" w:ascii="仿宋" w:hAnsi="仿宋" w:eastAsia="仿宋" w:cs="仿宋"/>
          <w:color w:val="auto"/>
          <w:sz w:val="21"/>
          <w:szCs w:val="21"/>
          <w:highlight w:val="none"/>
          <w:lang w:val="en-US" w:eastAsia="zh-CN"/>
        </w:rPr>
        <w:t>购销活动中郑重承诺如下：</w:t>
      </w:r>
    </w:p>
    <w:p w14:paraId="28E042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第一条 严格遵守法律法规。</w:t>
      </w:r>
    </w:p>
    <w:p w14:paraId="42D380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（一）严格遵守</w:t>
      </w:r>
      <w:r>
        <w:rPr>
          <w:rFonts w:hint="eastAsia" w:ascii="仿宋" w:hAnsi="仿宋" w:eastAsia="仿宋" w:cs="仿宋"/>
          <w:color w:val="auto"/>
          <w:sz w:val="21"/>
          <w:szCs w:val="21"/>
          <w:highlight w:val="none"/>
          <w:lang w:eastAsia="zh-CN"/>
        </w:rPr>
        <w:t>《中华人民共和国药品管理法》《医疗器械监督管理条例》《中华人民共和国反不正当竞争法》《中华人民共和国刑法》</w:t>
      </w:r>
      <w:r>
        <w:rPr>
          <w:rFonts w:hint="eastAsia" w:ascii="仿宋" w:hAnsi="仿宋" w:eastAsia="仿宋" w:cs="仿宋"/>
          <w:color w:val="auto"/>
          <w:sz w:val="21"/>
          <w:szCs w:val="21"/>
          <w:highlight w:val="none"/>
          <w:lang w:val="en-US" w:eastAsia="zh-CN"/>
        </w:rPr>
        <w:t>及</w:t>
      </w:r>
      <w:r>
        <w:rPr>
          <w:rFonts w:hint="eastAsia" w:ascii="仿宋" w:hAnsi="仿宋" w:eastAsia="仿宋" w:cs="仿宋"/>
          <w:color w:val="auto"/>
          <w:sz w:val="21"/>
          <w:szCs w:val="21"/>
          <w:highlight w:val="none"/>
          <w:lang w:eastAsia="zh-CN"/>
        </w:rPr>
        <w:t>《国家卫生健康委关于印发医疗机构工作人员廉洁从业九项准则的通知》等相关法律法规</w:t>
      </w:r>
    </w:p>
    <w:p w14:paraId="15358A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二</w:t>
      </w:r>
      <w:r>
        <w:rPr>
          <w:rFonts w:hint="eastAsia" w:ascii="仿宋" w:hAnsi="仿宋" w:eastAsia="仿宋" w:cs="仿宋"/>
          <w:color w:val="auto"/>
          <w:sz w:val="21"/>
          <w:szCs w:val="21"/>
          <w:highlight w:val="none"/>
          <w:lang w:eastAsia="zh-CN"/>
        </w:rPr>
        <w:t>）恪守公平、公正、公开、</w:t>
      </w:r>
      <w:r>
        <w:rPr>
          <w:rFonts w:hint="eastAsia" w:ascii="仿宋" w:hAnsi="仿宋" w:eastAsia="仿宋" w:cs="仿宋"/>
          <w:color w:val="auto"/>
          <w:sz w:val="21"/>
          <w:szCs w:val="21"/>
          <w:highlight w:val="none"/>
          <w:lang w:val="en-US" w:eastAsia="zh-CN"/>
        </w:rPr>
        <w:t xml:space="preserve">诚信的原则，严禁任何形式的利益输送、商业贿赂或暗箱操作。 </w:t>
      </w:r>
    </w:p>
    <w:p w14:paraId="5797E3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第二条 杜绝商业贿赂行为。</w:t>
      </w:r>
    </w:p>
    <w:p w14:paraId="56EC51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（一）不以任何名义向医院工作人员赠送财物、报销费用、安排旅游或高消费活动。</w:t>
      </w:r>
    </w:p>
    <w:p w14:paraId="1BE3DE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（二）不通过中介机构或个人进行利益输送，不利用医院工作人员亲属或其他关系谋取私利。</w:t>
      </w:r>
    </w:p>
    <w:p w14:paraId="103488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（三）如发现医院工作人员有索贿、暗示等行为，我方将坚决拒绝并向医院纪检监察部门举报。</w:t>
      </w:r>
    </w:p>
    <w:p w14:paraId="462D25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第三条 合法合规营销。</w:t>
      </w:r>
    </w:p>
    <w:p w14:paraId="72D0EB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销售人员进入医院</w:t>
      </w:r>
      <w:r>
        <w:rPr>
          <w:rFonts w:hint="eastAsia" w:ascii="仿宋" w:hAnsi="仿宋" w:eastAsia="仿宋" w:cs="仿宋"/>
          <w:color w:val="auto"/>
          <w:sz w:val="21"/>
          <w:szCs w:val="21"/>
          <w:highlight w:val="none"/>
          <w:lang w:val="en-US" w:eastAsia="zh-CN"/>
        </w:rPr>
        <w:t>前，</w:t>
      </w:r>
      <w:r>
        <w:rPr>
          <w:rFonts w:hint="eastAsia" w:ascii="仿宋" w:hAnsi="仿宋" w:eastAsia="仿宋" w:cs="仿宋"/>
          <w:color w:val="auto"/>
          <w:sz w:val="21"/>
          <w:szCs w:val="21"/>
          <w:highlight w:val="none"/>
          <w:lang w:eastAsia="zh-CN"/>
        </w:rPr>
        <w:t>必须提前预约</w:t>
      </w:r>
      <w:r>
        <w:rPr>
          <w:rFonts w:hint="eastAsia" w:ascii="仿宋" w:hAnsi="仿宋" w:eastAsia="仿宋" w:cs="仿宋"/>
          <w:color w:val="auto"/>
          <w:sz w:val="21"/>
          <w:szCs w:val="21"/>
          <w:highlight w:val="none"/>
          <w:lang w:val="en-US" w:eastAsia="zh-CN"/>
        </w:rPr>
        <w:t>并进行</w:t>
      </w:r>
      <w:r>
        <w:rPr>
          <w:rFonts w:hint="eastAsia" w:ascii="仿宋" w:hAnsi="仿宋" w:eastAsia="仿宋" w:cs="仿宋"/>
          <w:color w:val="auto"/>
          <w:sz w:val="21"/>
          <w:szCs w:val="21"/>
          <w:highlight w:val="none"/>
          <w:lang w:eastAsia="zh-CN"/>
        </w:rPr>
        <w:t>登记备案，不得擅自进入门诊、病房、办公区</w:t>
      </w:r>
      <w:r>
        <w:rPr>
          <w:rFonts w:hint="eastAsia" w:ascii="仿宋" w:hAnsi="仿宋" w:eastAsia="仿宋" w:cs="仿宋"/>
          <w:color w:val="auto"/>
          <w:sz w:val="21"/>
          <w:szCs w:val="21"/>
          <w:highlight w:val="none"/>
          <w:lang w:val="en-US" w:eastAsia="zh-CN"/>
        </w:rPr>
        <w:t>开展</w:t>
      </w:r>
      <w:r>
        <w:rPr>
          <w:rFonts w:hint="eastAsia" w:ascii="仿宋" w:hAnsi="仿宋" w:eastAsia="仿宋" w:cs="仿宋"/>
          <w:color w:val="auto"/>
          <w:sz w:val="21"/>
          <w:szCs w:val="21"/>
          <w:highlight w:val="none"/>
          <w:lang w:eastAsia="zh-CN"/>
        </w:rPr>
        <w:t>推销</w:t>
      </w:r>
      <w:r>
        <w:rPr>
          <w:rFonts w:hint="eastAsia" w:ascii="仿宋" w:hAnsi="仿宋" w:eastAsia="仿宋" w:cs="仿宋"/>
          <w:color w:val="auto"/>
          <w:sz w:val="21"/>
          <w:szCs w:val="21"/>
          <w:highlight w:val="none"/>
          <w:lang w:val="en-US" w:eastAsia="zh-CN"/>
        </w:rPr>
        <w:t>活动，干扰正常医疗秩序</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禁止</w:t>
      </w:r>
      <w:r>
        <w:rPr>
          <w:rFonts w:hint="eastAsia" w:ascii="仿宋" w:hAnsi="仿宋" w:eastAsia="仿宋" w:cs="仿宋"/>
          <w:color w:val="auto"/>
          <w:sz w:val="21"/>
          <w:szCs w:val="21"/>
          <w:highlight w:val="none"/>
          <w:lang w:eastAsia="zh-CN"/>
        </w:rPr>
        <w:t>统计医院药品</w:t>
      </w:r>
      <w:r>
        <w:rPr>
          <w:rFonts w:hint="eastAsia" w:ascii="仿宋" w:hAnsi="仿宋" w:eastAsia="仿宋" w:cs="仿宋"/>
          <w:color w:val="auto"/>
          <w:sz w:val="21"/>
          <w:szCs w:val="21"/>
          <w:highlight w:val="none"/>
          <w:lang w:val="en-US" w:eastAsia="zh-CN"/>
        </w:rPr>
        <w:t>或</w:t>
      </w:r>
      <w:r>
        <w:rPr>
          <w:rFonts w:hint="eastAsia" w:ascii="仿宋" w:hAnsi="仿宋" w:eastAsia="仿宋" w:cs="仿宋"/>
          <w:color w:val="auto"/>
          <w:sz w:val="21"/>
          <w:szCs w:val="21"/>
          <w:highlight w:val="none"/>
          <w:lang w:eastAsia="zh-CN"/>
        </w:rPr>
        <w:t>耗材使用数据，不得以“统方”</w:t>
      </w:r>
      <w:r>
        <w:rPr>
          <w:rFonts w:hint="eastAsia" w:ascii="仿宋" w:hAnsi="仿宋" w:eastAsia="仿宋" w:cs="仿宋"/>
          <w:color w:val="auto"/>
          <w:sz w:val="21"/>
          <w:szCs w:val="21"/>
          <w:highlight w:val="none"/>
          <w:lang w:val="en-US" w:eastAsia="zh-CN"/>
        </w:rPr>
        <w:t>等</w:t>
      </w:r>
      <w:r>
        <w:rPr>
          <w:rFonts w:hint="eastAsia" w:ascii="仿宋" w:hAnsi="仿宋" w:eastAsia="仿宋" w:cs="仿宋"/>
          <w:color w:val="auto"/>
          <w:sz w:val="21"/>
          <w:szCs w:val="21"/>
          <w:highlight w:val="none"/>
          <w:lang w:eastAsia="zh-CN"/>
        </w:rPr>
        <w:t>方式变相激励医务人员。</w:t>
      </w:r>
    </w:p>
    <w:p w14:paraId="24C492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第四条 诚信公平交易。</w:t>
      </w:r>
    </w:p>
    <w:p w14:paraId="3E6B7342">
      <w:pPr>
        <w:pStyle w:val="1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20" w:firstLineChars="200"/>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（一）保证所供产品资质齐全、质量合格、价格合理，不虚报价格、不降低质量标准，不提供虚假证明文件。</w:t>
      </w:r>
    </w:p>
    <w:p w14:paraId="7A70F623">
      <w:pPr>
        <w:pStyle w:val="1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20" w:firstLineChars="200"/>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（二）在投标、议价、履约过程中坚持公平竞争，不围标、串标，不通过不正当手段谋取交易机会。</w:t>
      </w:r>
    </w:p>
    <w:p w14:paraId="658539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第五条 规范学术合作。</w:t>
      </w:r>
    </w:p>
    <w:p w14:paraId="4E3BB0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一</w:t>
      </w:r>
      <w:r>
        <w:rPr>
          <w:rFonts w:hint="eastAsia" w:ascii="仿宋" w:hAnsi="仿宋" w:eastAsia="仿宋" w:cs="仿宋"/>
          <w:color w:val="auto"/>
          <w:sz w:val="21"/>
          <w:szCs w:val="21"/>
          <w:highlight w:val="none"/>
          <w:lang w:eastAsia="zh-CN"/>
        </w:rPr>
        <w:t>）不得私自邀请医院职工参加医药、设备、耗材、物资、服务、工程</w:t>
      </w:r>
      <w:r>
        <w:rPr>
          <w:rFonts w:hint="eastAsia" w:ascii="仿宋" w:hAnsi="仿宋" w:eastAsia="仿宋" w:cs="仿宋"/>
          <w:color w:val="auto"/>
          <w:sz w:val="21"/>
          <w:szCs w:val="21"/>
          <w:highlight w:val="none"/>
          <w:lang w:val="en-US" w:eastAsia="zh-CN"/>
        </w:rPr>
        <w:t>相关</w:t>
      </w:r>
      <w:r>
        <w:rPr>
          <w:rFonts w:hint="eastAsia" w:ascii="仿宋" w:hAnsi="仿宋" w:eastAsia="仿宋" w:cs="仿宋"/>
          <w:color w:val="auto"/>
          <w:sz w:val="21"/>
          <w:szCs w:val="21"/>
          <w:highlight w:val="none"/>
          <w:lang w:eastAsia="zh-CN"/>
        </w:rPr>
        <w:t>的宣传、学术讲座、会议、外出学习和参观等活动。</w:t>
      </w:r>
      <w:r>
        <w:rPr>
          <w:rFonts w:hint="eastAsia" w:ascii="仿宋" w:hAnsi="仿宋" w:eastAsia="仿宋" w:cs="仿宋"/>
          <w:color w:val="auto"/>
          <w:sz w:val="21"/>
          <w:szCs w:val="21"/>
          <w:highlight w:val="none"/>
          <w:lang w:val="en-US" w:eastAsia="zh-CN"/>
        </w:rPr>
        <w:t xml:space="preserve">  </w:t>
      </w:r>
    </w:p>
    <w:p w14:paraId="730B5D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（二）开展</w:t>
      </w:r>
      <w:r>
        <w:rPr>
          <w:rFonts w:hint="eastAsia" w:ascii="仿宋" w:hAnsi="仿宋" w:eastAsia="仿宋" w:cs="仿宋"/>
          <w:color w:val="auto"/>
          <w:sz w:val="21"/>
          <w:szCs w:val="21"/>
          <w:highlight w:val="none"/>
          <w:lang w:eastAsia="zh-CN"/>
        </w:rPr>
        <w:t>学术赞助、科研合作等活动需经医院正规流程审批，不假借学术名义提供不正当利益。</w:t>
      </w:r>
    </w:p>
    <w:p w14:paraId="2103C6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第六条 严格信息保密。</w:t>
      </w:r>
    </w:p>
    <w:p w14:paraId="3D9BB3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不非法获取、泄露医院采购信息、临床数据等敏感内容，不干预医院正常决策流程。</w:t>
      </w:r>
    </w:p>
    <w:p w14:paraId="0AFD6E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第七条 主动接受监督。</w:t>
      </w:r>
    </w:p>
    <w:p w14:paraId="5E6722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主动接受纪检监察、审计、社会公众及媒体</w:t>
      </w:r>
      <w:r>
        <w:rPr>
          <w:rFonts w:hint="eastAsia" w:ascii="仿宋" w:hAnsi="仿宋" w:eastAsia="仿宋" w:cs="仿宋"/>
          <w:color w:val="auto"/>
          <w:sz w:val="21"/>
          <w:szCs w:val="21"/>
          <w:highlight w:val="none"/>
          <w:lang w:val="en-US" w:eastAsia="zh-CN"/>
        </w:rPr>
        <w:t>的监督，如实提供相关材料。</w:t>
      </w:r>
    </w:p>
    <w:p w14:paraId="60EA14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第八条 承担违约责任。</w:t>
      </w:r>
    </w:p>
    <w:p w14:paraId="10B9E5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如违反上述承诺，本单位自愿承担以下责任：</w:t>
      </w:r>
    </w:p>
    <w:p w14:paraId="2F04F2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一</w:t>
      </w:r>
      <w:r>
        <w:rPr>
          <w:rFonts w:hint="eastAsia" w:ascii="仿宋" w:hAnsi="仿宋" w:eastAsia="仿宋" w:cs="仿宋"/>
          <w:color w:val="auto"/>
          <w:sz w:val="21"/>
          <w:szCs w:val="21"/>
          <w:highlight w:val="none"/>
          <w:lang w:eastAsia="zh-CN"/>
        </w:rPr>
        <w:t>）立即终止合作，接受医院列入“黑名单”并上报卫健部门。</w:t>
      </w:r>
    </w:p>
    <w:p w14:paraId="2E1EFB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二</w:t>
      </w:r>
      <w:r>
        <w:rPr>
          <w:rFonts w:hint="eastAsia" w:ascii="仿宋" w:hAnsi="仿宋" w:eastAsia="仿宋" w:cs="仿宋"/>
          <w:color w:val="auto"/>
          <w:sz w:val="21"/>
          <w:szCs w:val="21"/>
          <w:highlight w:val="none"/>
          <w:lang w:eastAsia="zh-CN"/>
        </w:rPr>
        <w:t>）退还全部不当得利，赔偿由此造成的损失；</w:t>
      </w:r>
    </w:p>
    <w:p w14:paraId="602F67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三</w:t>
      </w:r>
      <w:r>
        <w:rPr>
          <w:rFonts w:hint="eastAsia" w:ascii="仿宋" w:hAnsi="仿宋" w:eastAsia="仿宋" w:cs="仿宋"/>
          <w:color w:val="auto"/>
          <w:sz w:val="21"/>
          <w:szCs w:val="21"/>
          <w:highlight w:val="none"/>
          <w:lang w:eastAsia="zh-CN"/>
        </w:rPr>
        <w:t>）涉嫌犯罪的，移交司法机关处理。</w:t>
      </w:r>
    </w:p>
    <w:p w14:paraId="30F0EB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eastAsia="zh-CN"/>
        </w:rPr>
      </w:pPr>
    </w:p>
    <w:p w14:paraId="793E6484">
      <w:pPr>
        <w:pStyle w:val="16"/>
        <w:keepNext w:val="0"/>
        <w:keepLines w:val="0"/>
        <w:widowControl/>
        <w:suppressLineNumbers w:val="0"/>
        <w:spacing w:before="0" w:beforeAutospacing="0" w:after="0" w:afterAutospacing="0" w:line="360" w:lineRule="auto"/>
        <w:ind w:left="0" w:leftChars="0" w:firstLine="0" w:firstLineChars="0"/>
        <w:rPr>
          <w:rFonts w:hint="eastAsia" w:ascii="仿宋" w:hAnsi="仿宋" w:eastAsia="仿宋" w:cs="仿宋"/>
          <w:bCs/>
          <w:color w:val="auto"/>
          <w:szCs w:val="21"/>
          <w:highlight w:val="none"/>
          <w:u w:val="single"/>
        </w:rPr>
      </w:pPr>
      <w:r>
        <w:rPr>
          <w:rFonts w:hint="eastAsia" w:ascii="仿宋" w:hAnsi="仿宋" w:eastAsia="仿宋" w:cs="仿宋"/>
          <w:color w:val="auto"/>
          <w:kern w:val="2"/>
          <w:sz w:val="21"/>
          <w:szCs w:val="21"/>
          <w:highlight w:val="none"/>
          <w:lang w:val="en-US" w:eastAsia="zh-CN" w:bidi="ar-SA"/>
        </w:rPr>
        <w:t>承诺方（供应商）：​​</w:t>
      </w:r>
      <w:r>
        <w:rPr>
          <w:rFonts w:hint="eastAsia" w:ascii="仿宋" w:hAnsi="仿宋" w:eastAsia="仿宋" w:cs="仿宋"/>
          <w:color w:val="auto"/>
          <w:kern w:val="2"/>
          <w:sz w:val="21"/>
          <w:szCs w:val="21"/>
          <w:highlight w:val="none"/>
          <w:lang w:val="en-US" w:eastAsia="zh-CN" w:bidi="ar-SA"/>
        </w:rPr>
        <w:br w:type="textWrapping"/>
      </w:r>
      <w:r>
        <w:rPr>
          <w:rFonts w:hint="eastAsia" w:ascii="仿宋" w:hAnsi="仿宋" w:eastAsia="仿宋" w:cs="仿宋"/>
          <w:color w:val="auto"/>
          <w:kern w:val="2"/>
          <w:sz w:val="21"/>
          <w:szCs w:val="21"/>
          <w:highlight w:val="none"/>
          <w:lang w:val="en-US" w:eastAsia="zh-CN" w:bidi="ar-SA"/>
        </w:rPr>
        <w:t>公司名称（盖章）：</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p>
    <w:p w14:paraId="6BB25576">
      <w:pPr>
        <w:pStyle w:val="16"/>
        <w:keepNext w:val="0"/>
        <w:keepLines w:val="0"/>
        <w:widowControl/>
        <w:suppressLineNumbers w:val="0"/>
        <w:spacing w:before="0" w:beforeAutospacing="0" w:after="0" w:afterAutospacing="0" w:line="360" w:lineRule="auto"/>
        <w:ind w:left="0" w:leftChars="0" w:firstLine="0"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法定代表人或授权代表（签字）：______________________</w:t>
      </w:r>
      <w:r>
        <w:rPr>
          <w:rFonts w:hint="eastAsia" w:ascii="仿宋" w:hAnsi="仿宋" w:eastAsia="仿宋" w:cs="仿宋"/>
          <w:color w:val="auto"/>
          <w:kern w:val="2"/>
          <w:sz w:val="21"/>
          <w:szCs w:val="21"/>
          <w:highlight w:val="none"/>
          <w:lang w:val="en-US" w:eastAsia="zh-CN" w:bidi="ar-SA"/>
        </w:rPr>
        <w:br w:type="textWrapping"/>
      </w:r>
      <w:r>
        <w:rPr>
          <w:rFonts w:hint="eastAsia" w:ascii="仿宋" w:hAnsi="仿宋" w:eastAsia="仿宋" w:cs="仿宋"/>
          <w:color w:val="auto"/>
          <w:kern w:val="2"/>
          <w:sz w:val="21"/>
          <w:szCs w:val="21"/>
          <w:highlight w:val="none"/>
          <w:lang w:val="en-US" w:eastAsia="zh-CN" w:bidi="ar-SA"/>
        </w:rPr>
        <w:t>联系电话：______________________________</w:t>
      </w:r>
      <w:r>
        <w:rPr>
          <w:rFonts w:hint="eastAsia" w:ascii="仿宋" w:hAnsi="仿宋" w:eastAsia="仿宋" w:cs="仿宋"/>
          <w:color w:val="auto"/>
          <w:kern w:val="2"/>
          <w:sz w:val="21"/>
          <w:szCs w:val="21"/>
          <w:highlight w:val="none"/>
          <w:lang w:val="en-US" w:eastAsia="zh-CN" w:bidi="ar-SA"/>
        </w:rPr>
        <w:br w:type="textWrapping"/>
      </w:r>
      <w:r>
        <w:rPr>
          <w:rFonts w:hint="eastAsia" w:ascii="仿宋" w:hAnsi="仿宋" w:eastAsia="仿宋" w:cs="仿宋"/>
          <w:color w:val="auto"/>
          <w:kern w:val="2"/>
          <w:sz w:val="21"/>
          <w:szCs w:val="21"/>
          <w:highlight w:val="none"/>
          <w:lang w:val="en-US" w:eastAsia="zh-CN" w:bidi="ar-SA"/>
        </w:rPr>
        <w:t>日期：________年______月______日</w:t>
      </w:r>
    </w:p>
    <w:p w14:paraId="78A0AB4D">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0" w:firstLineChars="0"/>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监督举报渠道：​​</w:t>
      </w:r>
      <w:r>
        <w:rPr>
          <w:rFonts w:hint="eastAsia" w:ascii="仿宋" w:hAnsi="仿宋" w:eastAsia="仿宋" w:cs="仿宋"/>
          <w:color w:val="auto"/>
          <w:kern w:val="2"/>
          <w:sz w:val="21"/>
          <w:szCs w:val="21"/>
          <w:highlight w:val="none"/>
          <w:lang w:val="en-US" w:eastAsia="zh-CN" w:bidi="ar-SA"/>
        </w:rPr>
        <w:br w:type="textWrapping"/>
      </w:r>
      <w:r>
        <w:rPr>
          <w:rFonts w:hint="eastAsia" w:ascii="仿宋" w:hAnsi="仿宋" w:eastAsia="仿宋" w:cs="仿宋"/>
          <w:color w:val="auto"/>
          <w:kern w:val="2"/>
          <w:sz w:val="21"/>
          <w:szCs w:val="21"/>
          <w:highlight w:val="none"/>
          <w:lang w:val="en-US" w:eastAsia="zh-CN" w:bidi="ar-SA"/>
        </w:rPr>
        <w:t>医院纪检监察室电话：028-84939552</w:t>
      </w:r>
    </w:p>
    <w:p w14:paraId="23ECDA30">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邮箱：yyjjjcs2020@126.com</w:t>
      </w:r>
    </w:p>
    <w:p w14:paraId="3BBEF115">
      <w:pPr>
        <w:rPr>
          <w:rFonts w:hint="eastAsia" w:ascii="仿宋" w:hAnsi="仿宋" w:eastAsia="仿宋" w:cs="仿宋"/>
          <w:b/>
          <w:color w:val="auto"/>
          <w:highlight w:val="none"/>
        </w:rPr>
      </w:pPr>
      <w:r>
        <w:rPr>
          <w:rFonts w:hint="eastAsia" w:ascii="仿宋" w:hAnsi="仿宋" w:eastAsia="仿宋" w:cs="仿宋"/>
          <w:b/>
          <w:color w:val="auto"/>
          <w:highlight w:val="none"/>
        </w:rPr>
        <w:br w:type="page"/>
      </w:r>
    </w:p>
    <w:p w14:paraId="5999B81A">
      <w:pPr>
        <w:keepNext w:val="0"/>
        <w:keepLines w:val="0"/>
        <w:pageBreakBefore w:val="0"/>
        <w:widowControl w:val="0"/>
        <w:kinsoku/>
        <w:wordWrap/>
        <w:overflowPunct/>
        <w:topLinePunct w:val="0"/>
        <w:autoSpaceDE/>
        <w:autoSpaceDN/>
        <w:bidi w:val="0"/>
        <w:adjustRightInd/>
        <w:snapToGrid/>
        <w:spacing w:line="700" w:lineRule="exact"/>
        <w:ind w:firstLine="0" w:firstLineChars="0"/>
        <w:jc w:val="center"/>
        <w:textAlignment w:val="auto"/>
        <w:rPr>
          <w:rFonts w:hint="default" w:ascii="Times New Roman" w:hAnsi="Times New Roman" w:eastAsia="方正仿宋_GBK" w:cs="Times New Roman"/>
          <w:b/>
          <w:bCs w:val="0"/>
          <w:color w:val="auto"/>
          <w:sz w:val="32"/>
          <w:szCs w:val="32"/>
          <w:highlight w:val="none"/>
        </w:rPr>
      </w:pPr>
      <w:r>
        <w:rPr>
          <w:rFonts w:hint="eastAsia" w:ascii="仿宋" w:hAnsi="仿宋" w:eastAsia="仿宋" w:cs="仿宋"/>
          <w:b/>
          <w:bCs w:val="0"/>
          <w:color w:val="auto"/>
          <w:sz w:val="30"/>
          <w:szCs w:val="30"/>
          <w:highlight w:val="none"/>
          <w:lang w:eastAsia="zh-CN"/>
        </w:rPr>
        <w:t>医院</w:t>
      </w:r>
      <w:r>
        <w:rPr>
          <w:rFonts w:hint="eastAsia" w:ascii="仿宋" w:hAnsi="仿宋" w:eastAsia="仿宋" w:cs="仿宋"/>
          <w:b/>
          <w:bCs w:val="0"/>
          <w:color w:val="auto"/>
          <w:sz w:val="30"/>
          <w:szCs w:val="30"/>
          <w:highlight w:val="none"/>
        </w:rPr>
        <w:t>廉洁购销合同</w:t>
      </w:r>
    </w:p>
    <w:p w14:paraId="0233A24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甲方</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购方</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eastAsia="zh-CN"/>
        </w:rPr>
        <w:t>金堂县第一人民医院</w:t>
      </w:r>
    </w:p>
    <w:p w14:paraId="4F70BBD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乙方</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销方</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w:t>
      </w:r>
    </w:p>
    <w:p w14:paraId="2D060E2C">
      <w:pPr>
        <w:keepNext w:val="0"/>
        <w:keepLines w:val="0"/>
        <w:widowControl/>
        <w:suppressLineNumbers w:val="0"/>
        <w:spacing w:line="360" w:lineRule="auto"/>
        <w:ind w:firstLine="420" w:firstLineChars="200"/>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鉴于甲</w:t>
      </w:r>
      <w:r>
        <w:rPr>
          <w:rFonts w:hint="eastAsia" w:ascii="仿宋" w:hAnsi="仿宋" w:eastAsia="仿宋" w:cs="仿宋"/>
          <w:color w:val="auto"/>
          <w:sz w:val="21"/>
          <w:szCs w:val="21"/>
          <w:highlight w:val="none"/>
          <w:lang w:val="en-US" w:eastAsia="zh-CN"/>
        </w:rPr>
        <w:t>乙双方就</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 w:val="21"/>
          <w:szCs w:val="21"/>
          <w:highlight w:val="none"/>
          <w:lang w:eastAsia="zh-CN"/>
        </w:rPr>
        <w:t>的购销合作，为规范商业行为，防止商业贿赂，</w:t>
      </w:r>
      <w:r>
        <w:rPr>
          <w:rFonts w:hint="eastAsia" w:ascii="仿宋" w:hAnsi="仿宋" w:eastAsia="仿宋" w:cs="仿宋"/>
          <w:color w:val="auto"/>
          <w:sz w:val="21"/>
          <w:szCs w:val="21"/>
          <w:highlight w:val="none"/>
          <w:lang w:val="en-US" w:eastAsia="zh-CN"/>
        </w:rPr>
        <w:t>根</w:t>
      </w:r>
      <w:r>
        <w:rPr>
          <w:rFonts w:hint="eastAsia" w:ascii="仿宋" w:hAnsi="仿宋" w:eastAsia="仿宋" w:cs="仿宋"/>
          <w:color w:val="auto"/>
          <w:sz w:val="21"/>
          <w:szCs w:val="21"/>
          <w:highlight w:val="none"/>
          <w:lang w:eastAsia="zh-CN"/>
        </w:rPr>
        <w:t>据《中华人民共和国民法典》《中华人民共和国反不正当竞争法》《国家卫生健康委关于印发医疗机构工作人员廉洁从业九项准则的通知》等法律法规，甲乙双方</w:t>
      </w:r>
      <w:r>
        <w:rPr>
          <w:rFonts w:hint="eastAsia" w:ascii="仿宋" w:hAnsi="仿宋" w:eastAsia="仿宋" w:cs="仿宋"/>
          <w:color w:val="auto"/>
          <w:sz w:val="21"/>
          <w:szCs w:val="21"/>
          <w:highlight w:val="none"/>
          <w:lang w:val="en-US" w:eastAsia="zh-CN"/>
        </w:rPr>
        <w:t>在平等、自愿、公平的基础上</w:t>
      </w:r>
      <w:r>
        <w:rPr>
          <w:rFonts w:hint="eastAsia" w:ascii="仿宋" w:hAnsi="仿宋" w:eastAsia="仿宋" w:cs="仿宋"/>
          <w:color w:val="auto"/>
          <w:sz w:val="21"/>
          <w:szCs w:val="21"/>
          <w:highlight w:val="none"/>
          <w:lang w:eastAsia="zh-CN"/>
        </w:rPr>
        <w:t>，签订本</w:t>
      </w:r>
      <w:r>
        <w:rPr>
          <w:rFonts w:hint="eastAsia" w:ascii="仿宋" w:hAnsi="仿宋" w:eastAsia="仿宋" w:cs="仿宋"/>
          <w:color w:val="auto"/>
          <w:sz w:val="21"/>
          <w:szCs w:val="21"/>
          <w:highlight w:val="none"/>
          <w:lang w:val="en-US" w:eastAsia="zh-CN"/>
        </w:rPr>
        <w:t>廉洁购销</w:t>
      </w:r>
      <w:r>
        <w:rPr>
          <w:rFonts w:hint="eastAsia" w:ascii="仿宋" w:hAnsi="仿宋" w:eastAsia="仿宋" w:cs="仿宋"/>
          <w:color w:val="auto"/>
          <w:sz w:val="21"/>
          <w:szCs w:val="21"/>
          <w:highlight w:val="none"/>
          <w:lang w:eastAsia="zh-CN"/>
        </w:rPr>
        <w:t>合同，</w:t>
      </w:r>
      <w:r>
        <w:rPr>
          <w:rFonts w:hint="eastAsia" w:ascii="仿宋" w:hAnsi="仿宋" w:eastAsia="仿宋" w:cs="仿宋"/>
          <w:color w:val="auto"/>
          <w:sz w:val="21"/>
          <w:szCs w:val="21"/>
          <w:highlight w:val="none"/>
          <w:lang w:val="en-US" w:eastAsia="zh-CN"/>
        </w:rPr>
        <w:t>并共同严格遵守</w:t>
      </w:r>
      <w:r>
        <w:rPr>
          <w:rFonts w:hint="eastAsia" w:ascii="仿宋" w:hAnsi="仿宋" w:eastAsia="仿宋" w:cs="仿宋"/>
          <w:color w:val="auto"/>
          <w:sz w:val="21"/>
          <w:szCs w:val="21"/>
          <w:highlight w:val="none"/>
          <w:lang w:eastAsia="zh-CN"/>
        </w:rPr>
        <w:t>。</w:t>
      </w:r>
    </w:p>
    <w:p w14:paraId="36F9BAD5">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遵纪守法，规范购销</w:t>
      </w:r>
    </w:p>
    <w:p w14:paraId="453803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甲、乙双方确认，所有购销活动均严格遵循国家法律法规、行业规范</w:t>
      </w:r>
      <w:r>
        <w:rPr>
          <w:rFonts w:hint="eastAsia" w:ascii="仿宋" w:hAnsi="仿宋" w:eastAsia="仿宋" w:cs="仿宋"/>
          <w:color w:val="auto"/>
          <w:sz w:val="21"/>
          <w:szCs w:val="21"/>
          <w:highlight w:val="none"/>
          <w:lang w:val="en-US" w:eastAsia="zh-CN"/>
        </w:rPr>
        <w:t xml:space="preserve">以及医院的规章制度。乙方确保其所提供的产品或服务具备齐全的资质，质量合格且来源合法。甲方保证采购程序合规、过程透明，验收严格。 </w:t>
      </w:r>
    </w:p>
    <w:p w14:paraId="21F224B0">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甲方廉洁责任与义务</w:t>
      </w:r>
    </w:p>
    <w:p w14:paraId="6D1E4E2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一</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严禁收受不正当利益</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甲方及其工作人员（</w:t>
      </w:r>
      <w:r>
        <w:rPr>
          <w:rFonts w:hint="eastAsia" w:ascii="仿宋" w:hAnsi="仿宋" w:eastAsia="仿宋" w:cs="仿宋"/>
          <w:color w:val="auto"/>
          <w:sz w:val="21"/>
          <w:szCs w:val="21"/>
          <w:highlight w:val="none"/>
          <w:lang w:eastAsia="zh-CN"/>
        </w:rPr>
        <w:t>包括</w:t>
      </w:r>
      <w:r>
        <w:rPr>
          <w:rFonts w:hint="eastAsia" w:ascii="仿宋" w:hAnsi="仿宋" w:eastAsia="仿宋" w:cs="仿宋"/>
          <w:color w:val="auto"/>
          <w:sz w:val="21"/>
          <w:szCs w:val="21"/>
          <w:highlight w:val="none"/>
        </w:rPr>
        <w:t>但不限于管理人员、采购人员、医务人员、库管人员、财务人员等，下同）不得以任何形式索要、暗示或接受乙方及其工作人员（</w:t>
      </w:r>
      <w:r>
        <w:rPr>
          <w:rFonts w:hint="eastAsia" w:ascii="仿宋" w:hAnsi="仿宋" w:eastAsia="仿宋" w:cs="仿宋"/>
          <w:color w:val="auto"/>
          <w:sz w:val="21"/>
          <w:szCs w:val="21"/>
          <w:highlight w:val="none"/>
          <w:lang w:eastAsia="zh-CN"/>
        </w:rPr>
        <w:t>包括</w:t>
      </w:r>
      <w:r>
        <w:rPr>
          <w:rFonts w:hint="eastAsia" w:ascii="仿宋" w:hAnsi="仿宋" w:eastAsia="仿宋" w:cs="仿宋"/>
          <w:color w:val="auto"/>
          <w:sz w:val="21"/>
          <w:szCs w:val="21"/>
          <w:highlight w:val="none"/>
        </w:rPr>
        <w:t>乙方销售代表、代理人员等，下同）</w:t>
      </w:r>
      <w:r>
        <w:rPr>
          <w:rFonts w:hint="eastAsia" w:ascii="仿宋" w:hAnsi="仿宋" w:eastAsia="仿宋" w:cs="仿宋"/>
          <w:color w:val="auto"/>
          <w:sz w:val="21"/>
          <w:szCs w:val="21"/>
          <w:highlight w:val="none"/>
          <w:lang w:eastAsia="zh-CN"/>
        </w:rPr>
        <w:t>以回扣、提成、捐赠、赞助等名义，向甲方人员输送</w:t>
      </w:r>
      <w:r>
        <w:rPr>
          <w:rFonts w:hint="eastAsia" w:ascii="仿宋" w:hAnsi="仿宋" w:eastAsia="仿宋" w:cs="仿宋"/>
          <w:color w:val="auto"/>
          <w:kern w:val="2"/>
          <w:sz w:val="21"/>
          <w:szCs w:val="21"/>
          <w:highlight w:val="none"/>
          <w:lang w:val="en-US" w:eastAsia="zh-CN" w:bidi="ar-SA"/>
        </w:rPr>
        <w:t>的</w:t>
      </w:r>
      <w:r>
        <w:rPr>
          <w:rFonts w:hint="eastAsia" w:ascii="仿宋" w:hAnsi="仿宋" w:eastAsia="仿宋" w:cs="仿宋"/>
          <w:color w:val="auto"/>
          <w:sz w:val="21"/>
          <w:szCs w:val="21"/>
          <w:highlight w:val="none"/>
          <w:lang w:eastAsia="zh-CN"/>
        </w:rPr>
        <w:t>各类利益。具体涵盖但不限于以下方面：现金、购物卡、奢侈品等财物；安排旅游、娱乐、高消费活动；进行虚假学术会议赞助、支付虚高讲课费。若此类行为一经发现，甲方有权立即终止合作、冻结货款、将相关方列入黑名单，并依法追究其责任。</w:t>
      </w:r>
      <w:r>
        <w:rPr>
          <w:rFonts w:hint="eastAsia" w:ascii="仿宋" w:hAnsi="仿宋" w:eastAsia="仿宋" w:cs="仿宋"/>
          <w:color w:val="auto"/>
          <w:kern w:val="2"/>
          <w:sz w:val="21"/>
          <w:szCs w:val="21"/>
          <w:highlight w:val="none"/>
          <w:lang w:val="en-US" w:eastAsia="zh-CN" w:bidi="ar-SA"/>
        </w:rPr>
        <w:t xml:space="preserve"> </w:t>
      </w:r>
    </w:p>
    <w:p w14:paraId="29CE37C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二</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禁止信息寻租</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甲方工作人员</w:t>
      </w:r>
      <w:r>
        <w:rPr>
          <w:rFonts w:hint="eastAsia" w:ascii="仿宋" w:hAnsi="仿宋" w:eastAsia="仿宋" w:cs="仿宋"/>
          <w:color w:val="auto"/>
          <w:sz w:val="21"/>
          <w:szCs w:val="21"/>
          <w:highlight w:val="none"/>
          <w:lang w:eastAsia="zh-CN"/>
        </w:rPr>
        <w:t>不得向乙方泄露采购预算、评标细则、竞争对手报价等涉密信息，不得为乙方提供不正当竞争优势。</w:t>
      </w:r>
      <w:r>
        <w:rPr>
          <w:rFonts w:hint="eastAsia" w:ascii="仿宋" w:hAnsi="仿宋" w:eastAsia="仿宋" w:cs="仿宋"/>
          <w:color w:val="auto"/>
          <w:sz w:val="21"/>
          <w:szCs w:val="21"/>
          <w:highlight w:val="none"/>
        </w:rPr>
        <w:t>不得利用职务便利，为乙方统计、提供未公开的、涉及甲方产品</w:t>
      </w:r>
      <w:r>
        <w:rPr>
          <w:rFonts w:hint="eastAsia" w:ascii="仿宋" w:hAnsi="仿宋" w:eastAsia="仿宋" w:cs="仿宋"/>
          <w:color w:val="auto"/>
          <w:sz w:val="21"/>
          <w:szCs w:val="21"/>
          <w:highlight w:val="none"/>
          <w:lang w:val="en-US" w:eastAsia="zh-CN"/>
        </w:rPr>
        <w:t>或</w:t>
      </w:r>
      <w:r>
        <w:rPr>
          <w:rFonts w:hint="eastAsia" w:ascii="仿宋" w:hAnsi="仿宋" w:eastAsia="仿宋" w:cs="仿宋"/>
          <w:color w:val="auto"/>
          <w:sz w:val="21"/>
          <w:szCs w:val="21"/>
          <w:highlight w:val="none"/>
        </w:rPr>
        <w:t>服务具体使用量、库存量、使用科室/医生偏好、采购计划等敏感信息</w:t>
      </w:r>
      <w:r>
        <w:rPr>
          <w:rFonts w:hint="eastAsia" w:ascii="仿宋" w:hAnsi="仿宋" w:eastAsia="仿宋" w:cs="仿宋"/>
          <w:color w:val="auto"/>
          <w:sz w:val="21"/>
          <w:szCs w:val="21"/>
          <w:highlight w:val="none"/>
          <w:lang w:eastAsia="zh-CN"/>
        </w:rPr>
        <w:t>，或为其获取此类信息提供便利。</w:t>
      </w:r>
    </w:p>
    <w:p w14:paraId="235E298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三</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抵制与报告义务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甲方工作人员如遇乙方及其工作人员给予本条款第</w:t>
      </w:r>
      <w:r>
        <w:rPr>
          <w:rFonts w:hint="eastAsia" w:ascii="仿宋" w:hAnsi="仿宋" w:eastAsia="仿宋" w:cs="仿宋"/>
          <w:color w:val="auto"/>
          <w:sz w:val="21"/>
          <w:szCs w:val="21"/>
          <w:highlight w:val="none"/>
          <w:lang w:val="en-US" w:eastAsia="zh-CN"/>
        </w:rPr>
        <w:t>一项</w:t>
      </w:r>
      <w:r>
        <w:rPr>
          <w:rFonts w:hint="eastAsia" w:ascii="仿宋" w:hAnsi="仿宋" w:eastAsia="仿宋" w:cs="仿宋"/>
          <w:color w:val="auto"/>
          <w:sz w:val="21"/>
          <w:szCs w:val="21"/>
          <w:highlight w:val="none"/>
        </w:rPr>
        <w:t>所列任何形式的不正当利益，必须坚决拒绝并立即退还；无法当场退还的，应在24小时内向</w:t>
      </w:r>
      <w:r>
        <w:rPr>
          <w:rFonts w:hint="eastAsia" w:ascii="仿宋" w:hAnsi="仿宋" w:eastAsia="仿宋" w:cs="仿宋"/>
          <w:color w:val="auto"/>
          <w:sz w:val="21"/>
          <w:szCs w:val="21"/>
          <w:highlight w:val="none"/>
          <w:lang w:val="en-US" w:eastAsia="zh-CN"/>
        </w:rPr>
        <w:t>医院</w:t>
      </w:r>
      <w:r>
        <w:rPr>
          <w:rFonts w:hint="eastAsia" w:ascii="仿宋" w:hAnsi="仿宋" w:eastAsia="仿宋" w:cs="仿宋"/>
          <w:color w:val="auto"/>
          <w:sz w:val="21"/>
          <w:szCs w:val="21"/>
          <w:highlight w:val="none"/>
        </w:rPr>
        <w:t>纪检监察部门</w:t>
      </w:r>
      <w:r>
        <w:rPr>
          <w:rFonts w:hint="eastAsia" w:ascii="仿宋" w:hAnsi="仿宋" w:eastAsia="仿宋" w:cs="仿宋"/>
          <w:color w:val="auto"/>
          <w:sz w:val="21"/>
          <w:szCs w:val="21"/>
          <w:highlight w:val="none"/>
          <w:lang w:val="en-US" w:eastAsia="zh-CN"/>
        </w:rPr>
        <w:t>报备</w:t>
      </w:r>
      <w:r>
        <w:rPr>
          <w:rFonts w:hint="eastAsia" w:ascii="仿宋" w:hAnsi="仿宋" w:eastAsia="仿宋" w:cs="仿宋"/>
          <w:color w:val="auto"/>
          <w:sz w:val="21"/>
          <w:szCs w:val="21"/>
          <w:highlight w:val="none"/>
        </w:rPr>
        <w:t>，同时说明情况。</w:t>
      </w:r>
    </w:p>
    <w:p w14:paraId="77B6D1F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四</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甲方应当严格执行医药产品购销合同验收、入库制度</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对采购产品及发票进行查验</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不得违反有关规定合同外采购、</w:t>
      </w:r>
      <w:r>
        <w:rPr>
          <w:rFonts w:hint="eastAsia" w:ascii="仿宋" w:hAnsi="仿宋" w:eastAsia="仿宋" w:cs="仿宋"/>
          <w:color w:val="auto"/>
          <w:sz w:val="21"/>
          <w:szCs w:val="21"/>
          <w:highlight w:val="none"/>
          <w:lang w:eastAsia="zh-CN"/>
        </w:rPr>
        <w:t>违规</w:t>
      </w:r>
      <w:r>
        <w:rPr>
          <w:rFonts w:hint="eastAsia" w:ascii="仿宋" w:hAnsi="仿宋" w:eastAsia="仿宋" w:cs="仿宋"/>
          <w:color w:val="auto"/>
          <w:sz w:val="21"/>
          <w:szCs w:val="21"/>
          <w:highlight w:val="none"/>
        </w:rPr>
        <w:t>采购或从非规定渠道采购。</w:t>
      </w:r>
    </w:p>
    <w:p w14:paraId="23BDECA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第三条 乙方廉洁责任与义务</w:t>
      </w:r>
    </w:p>
    <w:p w14:paraId="5BC96BC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一</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禁止行贿与不当影响</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乙方及其工作人员不得以任何形式直接或间接向甲方工作人员提供本协议第二条第一款所列的任何不正当利益，不得通过任何方式（包括但不限于宴请、娱乐活动、学术赞助附加条件等）影响、诱导甲方工作人员在采购决策、产品</w:t>
      </w:r>
      <w:r>
        <w:rPr>
          <w:rFonts w:hint="eastAsia" w:ascii="仿宋" w:hAnsi="仿宋" w:eastAsia="仿宋" w:cs="仿宋"/>
          <w:color w:val="auto"/>
          <w:sz w:val="21"/>
          <w:szCs w:val="21"/>
          <w:highlight w:val="none"/>
          <w:lang w:val="en-US" w:eastAsia="zh-CN"/>
        </w:rPr>
        <w:t>或</w:t>
      </w:r>
      <w:r>
        <w:rPr>
          <w:rFonts w:hint="eastAsia" w:ascii="仿宋" w:hAnsi="仿宋" w:eastAsia="仿宋" w:cs="仿宋"/>
          <w:color w:val="auto"/>
          <w:sz w:val="21"/>
          <w:szCs w:val="21"/>
          <w:highlight w:val="none"/>
        </w:rPr>
        <w:t>服务选择、使用、评价、付款等环节的公正性。</w:t>
      </w:r>
    </w:p>
    <w:p w14:paraId="4223C89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二</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规范学术活动</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乙方在组织或参与学术会议、培训、研讨等活动时，不得以任何名义或形式为甲方参会人员提供或支付与学术活动无关的旅游、观光、休闲娱乐活动费用；</w:t>
      </w:r>
      <w:r>
        <w:rPr>
          <w:rFonts w:hint="eastAsia" w:ascii="仿宋" w:hAnsi="仿宋" w:eastAsia="仿宋" w:cs="仿宋"/>
          <w:color w:val="auto"/>
          <w:sz w:val="21"/>
          <w:szCs w:val="21"/>
          <w:highlight w:val="none"/>
          <w:lang w:val="en-US" w:eastAsia="zh-CN"/>
        </w:rPr>
        <w:t>开展</w:t>
      </w:r>
      <w:r>
        <w:rPr>
          <w:rFonts w:hint="eastAsia" w:ascii="仿宋" w:hAnsi="仿宋" w:eastAsia="仿宋" w:cs="仿宋"/>
          <w:color w:val="auto"/>
          <w:sz w:val="21"/>
          <w:szCs w:val="21"/>
          <w:highlight w:val="none"/>
          <w:lang w:eastAsia="zh-CN"/>
        </w:rPr>
        <w:t>学术赞助、科研合作等活动需要</w:t>
      </w:r>
      <w:r>
        <w:rPr>
          <w:rFonts w:hint="eastAsia" w:ascii="仿宋" w:hAnsi="仿宋" w:eastAsia="仿宋" w:cs="仿宋"/>
          <w:color w:val="auto"/>
          <w:sz w:val="21"/>
          <w:szCs w:val="21"/>
          <w:highlight w:val="none"/>
          <w:lang w:val="en-US" w:eastAsia="zh-CN"/>
        </w:rPr>
        <w:t>甲方</w:t>
      </w:r>
      <w:r>
        <w:rPr>
          <w:rFonts w:hint="eastAsia" w:ascii="仿宋" w:hAnsi="仿宋" w:eastAsia="仿宋" w:cs="仿宋"/>
          <w:color w:val="auto"/>
          <w:sz w:val="21"/>
          <w:szCs w:val="21"/>
          <w:highlight w:val="none"/>
          <w:lang w:eastAsia="zh-CN"/>
        </w:rPr>
        <w:t>正规流程审批，不得假借学术名义提供不正当利益。</w:t>
      </w:r>
    </w:p>
    <w:p w14:paraId="4F672C5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三</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代表行为规范</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乙方指定</w:t>
      </w:r>
      <w:r>
        <w:rPr>
          <w:rFonts w:hint="eastAsia" w:ascii="仿宋" w:hAnsi="仿宋" w:eastAsia="仿宋" w:cs="仿宋"/>
          <w:color w:val="auto"/>
          <w:sz w:val="21"/>
          <w:szCs w:val="21"/>
          <w:highlight w:val="none"/>
          <w:lang w:val="en-US" w:eastAsia="zh-CN"/>
        </w:rPr>
        <w:tab/>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rPr>
        <w:t>（身份证号</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，联系电话：</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rPr>
        <w:t>，作为代表</w:t>
      </w:r>
      <w:r>
        <w:rPr>
          <w:rFonts w:hint="eastAsia" w:ascii="仿宋" w:hAnsi="仿宋" w:eastAsia="仿宋" w:cs="仿宋"/>
          <w:color w:val="auto"/>
          <w:sz w:val="21"/>
          <w:szCs w:val="21"/>
          <w:highlight w:val="none"/>
          <w:lang w:val="en-US" w:eastAsia="zh-CN"/>
        </w:rPr>
        <w:t>洽谈业务</w:t>
      </w:r>
      <w:r>
        <w:rPr>
          <w:rFonts w:hint="eastAsia" w:ascii="仿宋" w:hAnsi="仿宋" w:eastAsia="仿宋" w:cs="仿宋"/>
          <w:color w:val="auto"/>
          <w:sz w:val="21"/>
          <w:szCs w:val="21"/>
          <w:highlight w:val="none"/>
        </w:rPr>
        <w:t>。代表仅限在工作时间，到甲方明确指定的非临床区域联系商谈。</w:t>
      </w:r>
      <w:r>
        <w:rPr>
          <w:rFonts w:hint="eastAsia" w:ascii="仿宋" w:hAnsi="仿宋" w:eastAsia="仿宋" w:cs="仿宋"/>
          <w:color w:val="auto"/>
          <w:sz w:val="21"/>
          <w:szCs w:val="21"/>
          <w:highlight w:val="none"/>
          <w:lang w:val="en-US" w:eastAsia="zh-CN"/>
        </w:rPr>
        <w:t>不得</w:t>
      </w:r>
      <w:r>
        <w:rPr>
          <w:rFonts w:hint="eastAsia" w:ascii="仿宋" w:hAnsi="仿宋" w:eastAsia="仿宋" w:cs="仿宋"/>
          <w:color w:val="auto"/>
          <w:sz w:val="21"/>
          <w:szCs w:val="21"/>
          <w:highlight w:val="none"/>
        </w:rPr>
        <w:t>进入甲方住院病房、门诊诊室、医技科室、药房、库房等医疗业务区域进行产品推销或信息收集活动。不得借故到甲方相关领导、部门负责人及相关工作人员家中访谈</w:t>
      </w:r>
      <w:r>
        <w:rPr>
          <w:rFonts w:hint="eastAsia" w:ascii="仿宋" w:hAnsi="仿宋" w:eastAsia="仿宋" w:cs="仿宋"/>
          <w:color w:val="auto"/>
          <w:sz w:val="21"/>
          <w:szCs w:val="21"/>
          <w:highlight w:val="none"/>
          <w:lang w:val="en-US" w:eastAsia="zh-CN"/>
        </w:rPr>
        <w:t>或</w:t>
      </w:r>
      <w:r>
        <w:rPr>
          <w:rFonts w:hint="eastAsia" w:ascii="仿宋" w:hAnsi="仿宋" w:eastAsia="仿宋" w:cs="仿宋"/>
          <w:color w:val="auto"/>
          <w:sz w:val="21"/>
          <w:szCs w:val="21"/>
          <w:highlight w:val="none"/>
        </w:rPr>
        <w:t xml:space="preserve">提供任何好处。 </w:t>
      </w:r>
    </w:p>
    <w:p w14:paraId="4104E5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五</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乙方对其销售代表的行为承担完全责任。如违反本合同</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一经发现</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甲方有权终止购销合同</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并向</w:t>
      </w:r>
      <w:r>
        <w:rPr>
          <w:rFonts w:hint="eastAsia" w:ascii="仿宋" w:hAnsi="仿宋" w:eastAsia="仿宋" w:cs="仿宋"/>
          <w:color w:val="auto"/>
          <w:sz w:val="21"/>
          <w:szCs w:val="21"/>
          <w:highlight w:val="none"/>
          <w:lang w:val="en-US" w:eastAsia="zh-CN"/>
        </w:rPr>
        <w:t>行政主管部门</w:t>
      </w:r>
      <w:r>
        <w:rPr>
          <w:rFonts w:hint="eastAsia" w:ascii="仿宋" w:hAnsi="仿宋" w:eastAsia="仿宋" w:cs="仿宋"/>
          <w:color w:val="auto"/>
          <w:sz w:val="21"/>
          <w:szCs w:val="21"/>
          <w:highlight w:val="none"/>
        </w:rPr>
        <w:t>报告。如乙方被列入商业贿赂不良记录</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则严格按照相关规定处理。</w:t>
      </w:r>
    </w:p>
    <w:p w14:paraId="58424D8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第四条 </w:t>
      </w:r>
      <w:r>
        <w:rPr>
          <w:rFonts w:hint="eastAsia" w:ascii="仿宋" w:hAnsi="仿宋" w:eastAsia="仿宋" w:cs="仿宋"/>
          <w:color w:val="auto"/>
          <w:sz w:val="21"/>
          <w:szCs w:val="21"/>
          <w:highlight w:val="none"/>
        </w:rPr>
        <w:t>违约认定与处理</w:t>
      </w:r>
    </w:p>
    <w:p w14:paraId="596F63D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一</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证据与调查</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任何一方发现对方存在或可能存在违反本合同行为，有权向对方纪检监察部门（甲方）或合规部门（乙方）及甲方上级主管部门举报。双方有义务配合相关调查，提供必要信息和证据。甲方纪检监察部门有权根据工作需要，调取查阅乙方相关业务凭证。</w:t>
      </w:r>
    </w:p>
    <w:p w14:paraId="710721F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二</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乙方违约处理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一经查实乙方或其工作人员存在违反本合同第二条、第三条规定的行为</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甲方有权立即单方面终止与本合同相关的《购销合同》，停止支付未付款项（如有），并拒绝接收乙方后续供货</w:t>
      </w:r>
      <w:r>
        <w:rPr>
          <w:rFonts w:hint="eastAsia" w:ascii="仿宋" w:hAnsi="仿宋" w:eastAsia="仿宋" w:cs="仿宋"/>
          <w:color w:val="auto"/>
          <w:sz w:val="21"/>
          <w:szCs w:val="21"/>
          <w:highlight w:val="none"/>
          <w:lang w:val="en-US" w:eastAsia="zh-CN"/>
        </w:rPr>
        <w:t>或</w:t>
      </w:r>
      <w:r>
        <w:rPr>
          <w:rFonts w:hint="eastAsia" w:ascii="仿宋" w:hAnsi="仿宋" w:eastAsia="仿宋" w:cs="仿宋"/>
          <w:color w:val="auto"/>
          <w:sz w:val="21"/>
          <w:szCs w:val="21"/>
          <w:highlight w:val="none"/>
        </w:rPr>
        <w:t xml:space="preserve">服务。 </w:t>
      </w:r>
    </w:p>
    <w:p w14:paraId="795B771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三</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乙方行为涉嫌违法犯罪的，甲方将依法移送司法机关处理。乙方需承担因其违约行为给甲方造成的一切损失（包括直接经济损失、商誉损失、调查费用等）。</w:t>
      </w:r>
    </w:p>
    <w:p w14:paraId="6A2377F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（四）</w:t>
      </w:r>
      <w:r>
        <w:rPr>
          <w:rFonts w:hint="eastAsia" w:ascii="仿宋" w:hAnsi="仿宋" w:eastAsia="仿宋" w:cs="仿宋"/>
          <w:color w:val="auto"/>
          <w:sz w:val="21"/>
          <w:szCs w:val="21"/>
          <w:highlight w:val="none"/>
        </w:rPr>
        <w:t>甲方工作人员违约处理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甲方工作人员违反本合同第二条规定的，由甲方依据《中国共产党纪律处分条例》《中华人民共和国公职人员政务处分法》《医疗机构工作人员廉洁从业九项准则》等规定及甲方内部规章制度予以严肃处理；涉嫌违法犯罪的，依法移送司法机关。乙方有义务配合甲方调查。</w:t>
      </w:r>
    </w:p>
    <w:p w14:paraId="1B7ADE1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第五条 其他条款</w:t>
      </w:r>
    </w:p>
    <w:p w14:paraId="33E3C5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一</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本合同作为</w:t>
      </w:r>
      <w:r>
        <w:rPr>
          <w:rFonts w:hint="eastAsia" w:ascii="仿宋" w:hAnsi="仿宋" w:eastAsia="仿宋" w:cs="仿宋"/>
          <w:color w:val="auto"/>
          <w:sz w:val="21"/>
          <w:szCs w:val="21"/>
          <w:highlight w:val="none"/>
          <w:lang w:val="en-US" w:eastAsia="zh-CN"/>
        </w:rPr>
        <w:t>主</w:t>
      </w:r>
      <w:r>
        <w:rPr>
          <w:rFonts w:hint="eastAsia" w:ascii="仿宋" w:hAnsi="仿宋" w:eastAsia="仿宋" w:cs="仿宋"/>
          <w:color w:val="auto"/>
          <w:sz w:val="21"/>
          <w:szCs w:val="21"/>
          <w:highlight w:val="none"/>
        </w:rPr>
        <w:t>合同的</w:t>
      </w:r>
      <w:r>
        <w:rPr>
          <w:rFonts w:hint="eastAsia" w:ascii="仿宋" w:hAnsi="仿宋" w:eastAsia="仿宋" w:cs="仿宋"/>
          <w:color w:val="auto"/>
          <w:sz w:val="21"/>
          <w:szCs w:val="21"/>
          <w:highlight w:val="none"/>
          <w:lang w:val="en-US" w:eastAsia="zh-CN"/>
        </w:rPr>
        <w:t>附件</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与</w:t>
      </w:r>
      <w:r>
        <w:rPr>
          <w:rFonts w:hint="eastAsia" w:ascii="仿宋" w:hAnsi="仿宋" w:eastAsia="仿宋" w:cs="仿宋"/>
          <w:color w:val="auto"/>
          <w:sz w:val="21"/>
          <w:szCs w:val="21"/>
          <w:highlight w:val="none"/>
          <w:lang w:val="en-US" w:eastAsia="zh-CN"/>
        </w:rPr>
        <w:t>主合同</w:t>
      </w:r>
      <w:r>
        <w:rPr>
          <w:rFonts w:hint="eastAsia" w:ascii="仿宋" w:hAnsi="仿宋" w:eastAsia="仿宋" w:cs="仿宋"/>
          <w:color w:val="auto"/>
          <w:sz w:val="21"/>
          <w:szCs w:val="21"/>
          <w:highlight w:val="none"/>
        </w:rPr>
        <w:t>具有同等法律效力。</w:t>
      </w:r>
    </w:p>
    <w:p w14:paraId="5B1B19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二）未尽事宜，双方应协商解决；若协商不成，则提交甲方所在地人民法院诉讼解决。</w:t>
      </w:r>
    </w:p>
    <w:p w14:paraId="68A1FA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三）本合同自签订之日起生效。</w:t>
      </w:r>
    </w:p>
    <w:tbl>
      <w:tblPr>
        <w:tblStyle w:val="18"/>
        <w:tblW w:w="9349" w:type="dxa"/>
        <w:tblInd w:w="-270" w:type="dxa"/>
        <w:tblLayout w:type="fixed"/>
        <w:tblCellMar>
          <w:top w:w="0" w:type="dxa"/>
          <w:left w:w="108" w:type="dxa"/>
          <w:bottom w:w="0" w:type="dxa"/>
          <w:right w:w="108" w:type="dxa"/>
        </w:tblCellMar>
      </w:tblPr>
      <w:tblGrid>
        <w:gridCol w:w="4597"/>
        <w:gridCol w:w="4752"/>
      </w:tblGrid>
      <w:tr w14:paraId="72E5555F">
        <w:tblPrEx>
          <w:tblCellMar>
            <w:top w:w="0" w:type="dxa"/>
            <w:left w:w="108" w:type="dxa"/>
            <w:bottom w:w="0" w:type="dxa"/>
            <w:right w:w="108" w:type="dxa"/>
          </w:tblCellMar>
        </w:tblPrEx>
        <w:trPr>
          <w:trHeight w:val="719" w:hRule="atLeast"/>
        </w:trPr>
        <w:tc>
          <w:tcPr>
            <w:tcW w:w="4597" w:type="dxa"/>
            <w:noWrap w:val="0"/>
            <w:vAlign w:val="center"/>
          </w:tcPr>
          <w:p w14:paraId="337D3603">
            <w:pPr>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甲方</w:t>
            </w:r>
            <w:r>
              <w:rPr>
                <w:rFonts w:hint="eastAsia" w:ascii="仿宋" w:hAnsi="仿宋" w:eastAsia="仿宋" w:cs="仿宋"/>
                <w:bCs/>
                <w:color w:val="auto"/>
                <w:szCs w:val="21"/>
                <w:highlight w:val="none"/>
              </w:rPr>
              <w:t>：</w:t>
            </w:r>
            <w:r>
              <w:rPr>
                <w:rFonts w:hint="eastAsia" w:ascii="仿宋" w:hAnsi="仿宋" w:eastAsia="仿宋" w:cs="仿宋"/>
                <w:bCs/>
                <w:color w:val="auto"/>
                <w:szCs w:val="21"/>
                <w:highlight w:val="none"/>
                <w:lang w:val="en-US" w:eastAsia="zh-CN"/>
              </w:rPr>
              <w:t>金堂县第一人民医院</w:t>
            </w:r>
            <w:r>
              <w:rPr>
                <w:rFonts w:hint="eastAsia" w:ascii="仿宋" w:hAnsi="仿宋" w:eastAsia="仿宋" w:cs="仿宋"/>
                <w:bCs/>
                <w:color w:val="auto"/>
                <w:szCs w:val="21"/>
                <w:highlight w:val="none"/>
              </w:rPr>
              <w:t>（盖章）</w:t>
            </w:r>
          </w:p>
        </w:tc>
        <w:tc>
          <w:tcPr>
            <w:tcW w:w="4752" w:type="dxa"/>
            <w:noWrap w:val="0"/>
            <w:vAlign w:val="center"/>
          </w:tcPr>
          <w:p w14:paraId="64283B8B">
            <w:pPr>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乙方</w:t>
            </w:r>
            <w:r>
              <w:rPr>
                <w:rFonts w:hint="eastAsia" w:ascii="仿宋" w:hAnsi="仿宋" w:eastAsia="仿宋" w:cs="仿宋"/>
                <w:bCs/>
                <w:color w:val="auto"/>
                <w:szCs w:val="21"/>
                <w:highlight w:val="none"/>
              </w:rPr>
              <w:t>：（盖章）</w:t>
            </w:r>
          </w:p>
        </w:tc>
      </w:tr>
      <w:tr w14:paraId="7671FCB7">
        <w:tblPrEx>
          <w:tblCellMar>
            <w:top w:w="0" w:type="dxa"/>
            <w:left w:w="108" w:type="dxa"/>
            <w:bottom w:w="0" w:type="dxa"/>
            <w:right w:w="108" w:type="dxa"/>
          </w:tblCellMar>
        </w:tblPrEx>
        <w:trPr>
          <w:trHeight w:val="719" w:hRule="atLeast"/>
        </w:trPr>
        <w:tc>
          <w:tcPr>
            <w:tcW w:w="4597" w:type="dxa"/>
            <w:noWrap w:val="0"/>
            <w:vAlign w:val="center"/>
          </w:tcPr>
          <w:p w14:paraId="7E03CB0D">
            <w:pPr>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法定代表人或授权代表人（签字或盖章）：</w:t>
            </w:r>
          </w:p>
        </w:tc>
        <w:tc>
          <w:tcPr>
            <w:tcW w:w="4752" w:type="dxa"/>
            <w:noWrap w:val="0"/>
            <w:vAlign w:val="center"/>
          </w:tcPr>
          <w:p w14:paraId="74A78A14">
            <w:pPr>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法定代表人或授权代表人（签字或盖章）：</w:t>
            </w:r>
          </w:p>
        </w:tc>
      </w:tr>
      <w:tr w14:paraId="66B1E586">
        <w:tblPrEx>
          <w:tblCellMar>
            <w:top w:w="0" w:type="dxa"/>
            <w:left w:w="108" w:type="dxa"/>
            <w:bottom w:w="0" w:type="dxa"/>
            <w:right w:w="108" w:type="dxa"/>
          </w:tblCellMar>
        </w:tblPrEx>
        <w:trPr>
          <w:trHeight w:val="719" w:hRule="atLeast"/>
        </w:trPr>
        <w:tc>
          <w:tcPr>
            <w:tcW w:w="4597" w:type="dxa"/>
            <w:noWrap w:val="0"/>
            <w:vAlign w:val="center"/>
          </w:tcPr>
          <w:p w14:paraId="11E8A7A6">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统一社会信用代码：</w:t>
            </w:r>
          </w:p>
        </w:tc>
        <w:tc>
          <w:tcPr>
            <w:tcW w:w="4752" w:type="dxa"/>
            <w:noWrap w:val="0"/>
            <w:vAlign w:val="center"/>
          </w:tcPr>
          <w:p w14:paraId="7D352038">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统一社会信用代码：</w:t>
            </w:r>
          </w:p>
        </w:tc>
      </w:tr>
      <w:tr w14:paraId="01CBBC9B">
        <w:tblPrEx>
          <w:tblCellMar>
            <w:top w:w="0" w:type="dxa"/>
            <w:left w:w="108" w:type="dxa"/>
            <w:bottom w:w="0" w:type="dxa"/>
            <w:right w:w="108" w:type="dxa"/>
          </w:tblCellMar>
        </w:tblPrEx>
        <w:trPr>
          <w:trHeight w:val="719" w:hRule="atLeast"/>
        </w:trPr>
        <w:tc>
          <w:tcPr>
            <w:tcW w:w="4597" w:type="dxa"/>
            <w:noWrap w:val="0"/>
            <w:vAlign w:val="center"/>
          </w:tcPr>
          <w:p w14:paraId="638B8D2E">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地址</w:t>
            </w:r>
            <w:r>
              <w:rPr>
                <w:rFonts w:hint="eastAsia" w:ascii="仿宋" w:hAnsi="仿宋" w:eastAsia="仿宋" w:cs="仿宋"/>
                <w:bCs/>
                <w:color w:val="auto"/>
                <w:szCs w:val="21"/>
                <w:highlight w:val="none"/>
              </w:rPr>
              <w:t>：</w:t>
            </w:r>
          </w:p>
        </w:tc>
        <w:tc>
          <w:tcPr>
            <w:tcW w:w="4752" w:type="dxa"/>
            <w:noWrap w:val="0"/>
            <w:vAlign w:val="center"/>
          </w:tcPr>
          <w:p w14:paraId="010DD480">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地址</w:t>
            </w:r>
            <w:r>
              <w:rPr>
                <w:rFonts w:hint="eastAsia" w:ascii="仿宋" w:hAnsi="仿宋" w:eastAsia="仿宋" w:cs="仿宋"/>
                <w:bCs/>
                <w:color w:val="auto"/>
                <w:szCs w:val="21"/>
                <w:highlight w:val="none"/>
              </w:rPr>
              <w:t>：</w:t>
            </w:r>
          </w:p>
        </w:tc>
      </w:tr>
      <w:tr w14:paraId="642606EF">
        <w:tblPrEx>
          <w:tblCellMar>
            <w:top w:w="0" w:type="dxa"/>
            <w:left w:w="108" w:type="dxa"/>
            <w:bottom w:w="0" w:type="dxa"/>
            <w:right w:w="108" w:type="dxa"/>
          </w:tblCellMar>
        </w:tblPrEx>
        <w:trPr>
          <w:trHeight w:val="719" w:hRule="atLeast"/>
        </w:trPr>
        <w:tc>
          <w:tcPr>
            <w:tcW w:w="4597" w:type="dxa"/>
            <w:noWrap w:val="0"/>
            <w:vAlign w:val="center"/>
          </w:tcPr>
          <w:p w14:paraId="5F30934D">
            <w:pPr>
              <w:spacing w:line="400" w:lineRule="exact"/>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rPr>
              <w:t>邮政编码：</w:t>
            </w:r>
          </w:p>
        </w:tc>
        <w:tc>
          <w:tcPr>
            <w:tcW w:w="4752" w:type="dxa"/>
            <w:noWrap w:val="0"/>
            <w:vAlign w:val="center"/>
          </w:tcPr>
          <w:p w14:paraId="23E25355">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邮政编码：</w:t>
            </w:r>
          </w:p>
        </w:tc>
      </w:tr>
      <w:tr w14:paraId="2CD94291">
        <w:tblPrEx>
          <w:tblCellMar>
            <w:top w:w="0" w:type="dxa"/>
            <w:left w:w="108" w:type="dxa"/>
            <w:bottom w:w="0" w:type="dxa"/>
            <w:right w:w="108" w:type="dxa"/>
          </w:tblCellMar>
        </w:tblPrEx>
        <w:trPr>
          <w:trHeight w:val="719" w:hRule="atLeast"/>
        </w:trPr>
        <w:tc>
          <w:tcPr>
            <w:tcW w:w="4597" w:type="dxa"/>
            <w:noWrap w:val="0"/>
            <w:vAlign w:val="center"/>
          </w:tcPr>
          <w:p w14:paraId="3513E820">
            <w:pPr>
              <w:spacing w:line="400" w:lineRule="exact"/>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rPr>
              <w:t>电话：</w:t>
            </w:r>
          </w:p>
        </w:tc>
        <w:tc>
          <w:tcPr>
            <w:tcW w:w="4752" w:type="dxa"/>
            <w:noWrap w:val="0"/>
            <w:vAlign w:val="center"/>
          </w:tcPr>
          <w:p w14:paraId="2B3B288F">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电话：</w:t>
            </w:r>
          </w:p>
        </w:tc>
      </w:tr>
      <w:tr w14:paraId="447F382A">
        <w:tblPrEx>
          <w:tblCellMar>
            <w:top w:w="0" w:type="dxa"/>
            <w:left w:w="108" w:type="dxa"/>
            <w:bottom w:w="0" w:type="dxa"/>
            <w:right w:w="108" w:type="dxa"/>
          </w:tblCellMar>
        </w:tblPrEx>
        <w:trPr>
          <w:trHeight w:val="719" w:hRule="atLeast"/>
        </w:trPr>
        <w:tc>
          <w:tcPr>
            <w:tcW w:w="4597" w:type="dxa"/>
            <w:noWrap w:val="0"/>
            <w:vAlign w:val="center"/>
          </w:tcPr>
          <w:p w14:paraId="039C4B7E">
            <w:pPr>
              <w:spacing w:line="400" w:lineRule="exact"/>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rPr>
              <w:t>传真：</w:t>
            </w:r>
            <w:r>
              <w:rPr>
                <w:rFonts w:hint="eastAsia" w:ascii="仿宋" w:hAnsi="仿宋" w:eastAsia="仿宋" w:cs="仿宋"/>
                <w:bCs/>
                <w:color w:val="auto"/>
                <w:szCs w:val="21"/>
                <w:highlight w:val="none"/>
                <w:lang w:val="en-US" w:eastAsia="zh-CN"/>
              </w:rPr>
              <w:t>/</w:t>
            </w:r>
          </w:p>
        </w:tc>
        <w:tc>
          <w:tcPr>
            <w:tcW w:w="4752" w:type="dxa"/>
            <w:noWrap w:val="0"/>
            <w:vAlign w:val="center"/>
          </w:tcPr>
          <w:p w14:paraId="24EAD8D9">
            <w:pPr>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传真： /</w:t>
            </w:r>
          </w:p>
        </w:tc>
      </w:tr>
      <w:tr w14:paraId="68EBBA9A">
        <w:tblPrEx>
          <w:tblCellMar>
            <w:top w:w="0" w:type="dxa"/>
            <w:left w:w="108" w:type="dxa"/>
            <w:bottom w:w="0" w:type="dxa"/>
            <w:right w:w="108" w:type="dxa"/>
          </w:tblCellMar>
        </w:tblPrEx>
        <w:trPr>
          <w:trHeight w:val="719" w:hRule="atLeast"/>
        </w:trPr>
        <w:tc>
          <w:tcPr>
            <w:tcW w:w="4597" w:type="dxa"/>
            <w:noWrap w:val="0"/>
            <w:vAlign w:val="center"/>
          </w:tcPr>
          <w:p w14:paraId="5198C880">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开户银行：</w:t>
            </w:r>
          </w:p>
        </w:tc>
        <w:tc>
          <w:tcPr>
            <w:tcW w:w="4752" w:type="dxa"/>
            <w:noWrap w:val="0"/>
            <w:vAlign w:val="center"/>
          </w:tcPr>
          <w:p w14:paraId="6196A587">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开户银行：</w:t>
            </w:r>
          </w:p>
        </w:tc>
      </w:tr>
      <w:tr w14:paraId="33D54747">
        <w:tblPrEx>
          <w:tblCellMar>
            <w:top w:w="0" w:type="dxa"/>
            <w:left w:w="108" w:type="dxa"/>
            <w:bottom w:w="0" w:type="dxa"/>
            <w:right w:w="108" w:type="dxa"/>
          </w:tblCellMar>
        </w:tblPrEx>
        <w:trPr>
          <w:trHeight w:val="719" w:hRule="atLeast"/>
        </w:trPr>
        <w:tc>
          <w:tcPr>
            <w:tcW w:w="4597" w:type="dxa"/>
            <w:noWrap w:val="0"/>
            <w:vAlign w:val="center"/>
          </w:tcPr>
          <w:p w14:paraId="4FA1ECC7">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银行账号</w:t>
            </w:r>
            <w:r>
              <w:rPr>
                <w:rFonts w:hint="eastAsia" w:ascii="仿宋" w:hAnsi="仿宋" w:eastAsia="仿宋" w:cs="仿宋"/>
                <w:bCs/>
                <w:color w:val="auto"/>
                <w:szCs w:val="21"/>
                <w:highlight w:val="none"/>
                <w:lang w:val="en-US" w:eastAsia="zh-CN"/>
              </w:rPr>
              <w:t>：</w:t>
            </w:r>
          </w:p>
        </w:tc>
        <w:tc>
          <w:tcPr>
            <w:tcW w:w="4752" w:type="dxa"/>
            <w:noWrap w:val="0"/>
            <w:vAlign w:val="center"/>
          </w:tcPr>
          <w:p w14:paraId="130F6605">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银行账号：</w:t>
            </w:r>
          </w:p>
        </w:tc>
      </w:tr>
    </w:tbl>
    <w:p w14:paraId="183FED5C">
      <w:pPr>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br w:type="page"/>
      </w:r>
    </w:p>
    <w:p w14:paraId="03C303C3">
      <w:pPr>
        <w:pStyle w:val="32"/>
        <w:spacing w:before="0" w:beforeLines="0" w:after="0" w:afterLines="0" w:line="360" w:lineRule="auto"/>
        <w:ind w:firstLine="0"/>
        <w:jc w:val="center"/>
        <w:rPr>
          <w:rFonts w:hint="eastAsia" w:ascii="仿宋" w:hAnsi="仿宋" w:eastAsia="仿宋" w:cs="仿宋"/>
          <w:color w:val="auto"/>
          <w:highlight w:val="none"/>
        </w:rPr>
      </w:pPr>
      <w:r>
        <w:rPr>
          <w:rFonts w:hint="eastAsia" w:ascii="仿宋" w:hAnsi="仿宋" w:eastAsia="仿宋" w:cs="仿宋"/>
          <w:color w:val="auto"/>
          <w:sz w:val="30"/>
          <w:szCs w:val="30"/>
          <w:highlight w:val="none"/>
        </w:rPr>
        <w:t>工程施工安全文明施工责任书</w:t>
      </w:r>
    </w:p>
    <w:p w14:paraId="6D63C441">
      <w:pPr>
        <w:spacing w:beforeLines="0" w:afterLines="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为了加强本工程建设项目的安全、文明施工管理，创建文明施工工地，防止人员伤亡、火灾、治安、及重大经济损失事故的发生，经各方协商签订本协议书。</w:t>
      </w:r>
    </w:p>
    <w:p w14:paraId="3ECF4CD5">
      <w:pPr>
        <w:numPr>
          <w:ilvl w:val="0"/>
          <w:numId w:val="17"/>
        </w:numPr>
        <w:spacing w:beforeLines="0" w:afterLines="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措施费用甲方按照《四川省建设工程安全文明施工费计价管理办法》（川建发[2017]5号）及相关补充文件的规定计取（施工期间有最新相关规定的，从其规定）进行支付和结算。</w:t>
      </w:r>
    </w:p>
    <w:p w14:paraId="6B89CA7D">
      <w:pPr>
        <w:spacing w:beforeLines="0" w:afterLines="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第二条 甲、乙双方严格按照经省人大批准的《成都市建筑施工现场监督管理规定》和市、县政府关于安全、文明施工的要求，明确各自的职责，加强对施工现场的管理。</w:t>
      </w:r>
    </w:p>
    <w:p w14:paraId="1E425CC2">
      <w:pPr>
        <w:spacing w:beforeLines="0" w:afterLines="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第三条 甲方委托监理单位负责对本工程安全、文明施工进行全过程的监督、检查。乙方应服从管理和监督，做好现场安全、文明施工的各项工作。</w:t>
      </w:r>
    </w:p>
    <w:p w14:paraId="4244973F">
      <w:pPr>
        <w:spacing w:beforeLines="0" w:afterLines="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第四条 乙方进场前，必须在甲方监督下购买民工意外伤害保险，并将相关依据报甲方备案。</w:t>
      </w:r>
    </w:p>
    <w:p w14:paraId="15C2F10F">
      <w:pPr>
        <w:spacing w:beforeLines="0" w:afterLines="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第五条 乙方应主动做好以下工作：</w:t>
      </w:r>
    </w:p>
    <w:p w14:paraId="37BE1237">
      <w:pPr>
        <w:spacing w:beforeLines="0" w:afterLines="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施工现场办公及生活临设、大门和围墙等重要设施须按甲方要求设置，现场布局合理整洁，无杂、积水、异味，并保证安全、美观；安全文明施工标志、标牌应设置在明显位置；各种材料应堆放整齐，施工垃圾须定点堆放，及时清运，严禁在施工现场以外堆放材料、垃圾。</w:t>
      </w:r>
    </w:p>
    <w:p w14:paraId="4DD640CC">
      <w:pPr>
        <w:spacing w:beforeLines="0" w:afterLines="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施工现场布局及工序安排应考虑噪声、照明控制，严格按照成都市有关规定执行，避免扰民；施工现场必须设置专用厕所，并有专人管理，严禁随意大小便；生活、生产废水及施工降水未处理合格，不得排入城市下水管道；不得破坏工地周围树木、绿地；土方外运过程，严格按程序操作，不得在工地外道路上遗洒，同时应严格出场车辆的轮胎清洗，避免尘土带到城市道路上。</w:t>
      </w:r>
    </w:p>
    <w:p w14:paraId="1D595E89">
      <w:pPr>
        <w:spacing w:beforeLines="0" w:afterLines="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3、外地施工人员必须办理相关证件，禁止非施工单位人员在工地留宿，施工现场禁止聚众打牌、饮酒闹事、传阅淫秽物品；禁止打架斗殴。</w:t>
      </w:r>
    </w:p>
    <w:p w14:paraId="08D7831E">
      <w:pPr>
        <w:spacing w:beforeLines="0" w:afterLines="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4、施工车辆进出工地时注意工地交通安全，必须缓速行驶；设置明显警示标志。</w:t>
      </w:r>
    </w:p>
    <w:p w14:paraId="25CDE2AD">
      <w:pPr>
        <w:spacing w:beforeLines="0" w:afterLines="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施工现场临时用电包括施工用电和生活用电必须符合《施工现场临时用电安全技术规范》，变压器和配电箱应设置围栏并有明显的安全警示标志，严禁非专业人员接拆电线，防止发生触电事故，严禁使用电炉子等妨碍现场安全的用电设备。</w:t>
      </w:r>
    </w:p>
    <w:p w14:paraId="340CEEF9">
      <w:pPr>
        <w:spacing w:beforeLines="0" w:afterLines="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6、现场消火栓及其他消防器材配备安全、位置合理，应有明显的警示标志，严禁挪用，保证消防道路畅通；施工现场严禁吸烟，易燃易爆物品及施工动火必须有专人负责管理。</w:t>
      </w:r>
    </w:p>
    <w:p w14:paraId="34B703A7">
      <w:pPr>
        <w:spacing w:beforeLines="0" w:afterLines="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7、现场施工人员须统一佩带胸卡，严禁闲杂人员进入施工现场；严禁工人酒后上岗。</w:t>
      </w:r>
    </w:p>
    <w:p w14:paraId="2B8CABE6">
      <w:pPr>
        <w:spacing w:beforeLines="0" w:afterLines="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8、各种施工机械的合格证、检测证及安全防护装置齐全，杜绝发生土方坍塌等一切施工安全事故。</w:t>
      </w:r>
    </w:p>
    <w:p w14:paraId="36DA0F14">
      <w:pPr>
        <w:spacing w:beforeLines="0" w:afterLines="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9、工人食堂必须干净整洁，无蝇无鼠，认真执行食品卫生安全的有关规定，严防工人食物中毒；施工人员宿舍要求卫生整洁，严禁随意拉扯电线，冬季取暖可统一安装空调。</w:t>
      </w:r>
    </w:p>
    <w:p w14:paraId="6D8071E6">
      <w:pPr>
        <w:spacing w:beforeLines="0" w:afterLines="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10、施工单位现场应有专门负责安全、文明施工的管理人员，定期检查，发现问题及时整改；同时每天应派安全、文明施工值日佩带明显袖套在工地巡视，对甲方以及安居办、监理部门提出的其他有关安全、文明施工等方面要求必须积极配合，认真履行。</w:t>
      </w:r>
    </w:p>
    <w:p w14:paraId="3DD98FB5">
      <w:pPr>
        <w:spacing w:beforeLines="0" w:afterLines="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11、乙方应按照《成都市建设工程施工现场扬尘在线视频监测管理办法》安装建设工程施工现场扬尘在线视频监测系统，并对工地施工现场扬尘在线视频监测进行管理，确保扬尘在线视频监测系统正常运行。</w:t>
      </w:r>
    </w:p>
    <w:p w14:paraId="309BBFE6">
      <w:pPr>
        <w:spacing w:beforeLines="0" w:afterLines="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第六条 安全文明施工措施费的使用按施工合同执行；凡发生事故造成人员伤亡、财产损失，全部费用及法律责任均由乙方自行负责，市、区主管部门针对该项目因文明施工措施不力受到批评和处罚一律均由乙方负责。</w:t>
      </w:r>
    </w:p>
    <w:p w14:paraId="026B7E2B">
      <w:pPr>
        <w:spacing w:beforeLines="0" w:afterLines="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第七条 违约责任：</w:t>
      </w:r>
    </w:p>
    <w:p w14:paraId="1F385B23">
      <w:pPr>
        <w:spacing w:beforeLines="0" w:afterLines="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在施工过程中，如果因文明施工问题受上级主管部门处罚一次则扣除本工程甲方付给乙方文明施工费的5%；如果因文明施工问题，上级主管部门要求停工整顿一次则扣除本工程甲方付给乙方文明施工费的50%。</w:t>
      </w:r>
    </w:p>
    <w:p w14:paraId="35C91EEA">
      <w:pPr>
        <w:spacing w:beforeLines="0" w:afterLines="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乙方在施工过程中，如果因安全施工造成特大事故的则扣除本工程甲方付给乙方安全施工费的100%；如果因安全施工造成重大事故的则扣除本工程甲方付给乙方安全施工费的50%；如果因安全施工造成一般事故的则扣除本工程甲方付给乙方安全施工费的5%。</w:t>
      </w:r>
    </w:p>
    <w:p w14:paraId="6AC4D562">
      <w:pPr>
        <w:spacing w:beforeLines="0" w:afterLines="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以上处罚决定以市、县安监站的处罚为依据。</w:t>
      </w:r>
    </w:p>
    <w:p w14:paraId="0EEB1A76">
      <w:pPr>
        <w:spacing w:beforeLines="0" w:afterLines="0"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本协议自双方签字盖章后生效。</w:t>
      </w:r>
    </w:p>
    <w:tbl>
      <w:tblPr>
        <w:tblStyle w:val="18"/>
        <w:tblW w:w="9675" w:type="dxa"/>
        <w:tblInd w:w="-433" w:type="dxa"/>
        <w:tblLayout w:type="fixed"/>
        <w:tblCellMar>
          <w:top w:w="0" w:type="dxa"/>
          <w:left w:w="108" w:type="dxa"/>
          <w:bottom w:w="0" w:type="dxa"/>
          <w:right w:w="108" w:type="dxa"/>
        </w:tblCellMar>
      </w:tblPr>
      <w:tblGrid>
        <w:gridCol w:w="4760"/>
        <w:gridCol w:w="4915"/>
      </w:tblGrid>
      <w:tr w14:paraId="6AA6DAE9">
        <w:tblPrEx>
          <w:tblCellMar>
            <w:top w:w="0" w:type="dxa"/>
            <w:left w:w="108" w:type="dxa"/>
            <w:bottom w:w="0" w:type="dxa"/>
            <w:right w:w="108" w:type="dxa"/>
          </w:tblCellMar>
        </w:tblPrEx>
        <w:trPr>
          <w:trHeight w:val="719" w:hRule="atLeast"/>
        </w:trPr>
        <w:tc>
          <w:tcPr>
            <w:tcW w:w="4760" w:type="dxa"/>
            <w:noWrap w:val="0"/>
            <w:vAlign w:val="center"/>
          </w:tcPr>
          <w:p w14:paraId="426C890F">
            <w:pPr>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甲方</w:t>
            </w:r>
            <w:r>
              <w:rPr>
                <w:rFonts w:hint="eastAsia" w:ascii="仿宋" w:hAnsi="仿宋" w:eastAsia="仿宋" w:cs="仿宋"/>
                <w:bCs/>
                <w:color w:val="auto"/>
                <w:szCs w:val="21"/>
                <w:highlight w:val="none"/>
              </w:rPr>
              <w:t>：</w:t>
            </w:r>
            <w:r>
              <w:rPr>
                <w:rFonts w:hint="eastAsia" w:ascii="仿宋" w:hAnsi="仿宋" w:eastAsia="仿宋" w:cs="仿宋"/>
                <w:bCs/>
                <w:color w:val="auto"/>
                <w:szCs w:val="21"/>
                <w:highlight w:val="none"/>
                <w:lang w:val="en-US" w:eastAsia="zh-CN"/>
              </w:rPr>
              <w:t>金堂县第一人民医院</w:t>
            </w:r>
            <w:r>
              <w:rPr>
                <w:rFonts w:hint="eastAsia" w:ascii="仿宋" w:hAnsi="仿宋" w:eastAsia="仿宋" w:cs="仿宋"/>
                <w:bCs/>
                <w:color w:val="auto"/>
                <w:szCs w:val="21"/>
                <w:highlight w:val="none"/>
              </w:rPr>
              <w:t>（盖章）</w:t>
            </w:r>
          </w:p>
        </w:tc>
        <w:tc>
          <w:tcPr>
            <w:tcW w:w="4915" w:type="dxa"/>
            <w:noWrap w:val="0"/>
            <w:vAlign w:val="center"/>
          </w:tcPr>
          <w:p w14:paraId="11AC4C50">
            <w:pPr>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乙方</w:t>
            </w:r>
            <w:r>
              <w:rPr>
                <w:rFonts w:hint="eastAsia" w:ascii="仿宋" w:hAnsi="仿宋" w:eastAsia="仿宋" w:cs="仿宋"/>
                <w:bCs/>
                <w:color w:val="auto"/>
                <w:szCs w:val="21"/>
                <w:highlight w:val="none"/>
              </w:rPr>
              <w:t>：（盖章）</w:t>
            </w:r>
          </w:p>
        </w:tc>
      </w:tr>
      <w:tr w14:paraId="7DC64DE0">
        <w:tblPrEx>
          <w:tblCellMar>
            <w:top w:w="0" w:type="dxa"/>
            <w:left w:w="108" w:type="dxa"/>
            <w:bottom w:w="0" w:type="dxa"/>
            <w:right w:w="108" w:type="dxa"/>
          </w:tblCellMar>
        </w:tblPrEx>
        <w:trPr>
          <w:trHeight w:val="719" w:hRule="atLeast"/>
        </w:trPr>
        <w:tc>
          <w:tcPr>
            <w:tcW w:w="4760" w:type="dxa"/>
            <w:noWrap w:val="0"/>
            <w:vAlign w:val="center"/>
          </w:tcPr>
          <w:p w14:paraId="768FC8D0">
            <w:pPr>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法定代表人或授权代表人（签字或盖章）：</w:t>
            </w:r>
          </w:p>
        </w:tc>
        <w:tc>
          <w:tcPr>
            <w:tcW w:w="4915" w:type="dxa"/>
            <w:noWrap w:val="0"/>
            <w:vAlign w:val="center"/>
          </w:tcPr>
          <w:p w14:paraId="6E5B7FFD">
            <w:pPr>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法定代表人或授权代表人（签字或盖章）：</w:t>
            </w:r>
          </w:p>
        </w:tc>
      </w:tr>
      <w:tr w14:paraId="5F6BE160">
        <w:tblPrEx>
          <w:tblCellMar>
            <w:top w:w="0" w:type="dxa"/>
            <w:left w:w="108" w:type="dxa"/>
            <w:bottom w:w="0" w:type="dxa"/>
            <w:right w:w="108" w:type="dxa"/>
          </w:tblCellMar>
        </w:tblPrEx>
        <w:trPr>
          <w:trHeight w:val="719" w:hRule="atLeast"/>
        </w:trPr>
        <w:tc>
          <w:tcPr>
            <w:tcW w:w="4760" w:type="dxa"/>
            <w:noWrap w:val="0"/>
            <w:vAlign w:val="center"/>
          </w:tcPr>
          <w:p w14:paraId="0B694CAA">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统一社会信用代码：</w:t>
            </w:r>
          </w:p>
        </w:tc>
        <w:tc>
          <w:tcPr>
            <w:tcW w:w="4915" w:type="dxa"/>
            <w:noWrap w:val="0"/>
            <w:vAlign w:val="center"/>
          </w:tcPr>
          <w:p w14:paraId="119D9359">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统一社会信用代码：</w:t>
            </w:r>
          </w:p>
        </w:tc>
      </w:tr>
      <w:tr w14:paraId="76EBFE1E">
        <w:tblPrEx>
          <w:tblCellMar>
            <w:top w:w="0" w:type="dxa"/>
            <w:left w:w="108" w:type="dxa"/>
            <w:bottom w:w="0" w:type="dxa"/>
            <w:right w:w="108" w:type="dxa"/>
          </w:tblCellMar>
        </w:tblPrEx>
        <w:trPr>
          <w:trHeight w:val="719" w:hRule="atLeast"/>
        </w:trPr>
        <w:tc>
          <w:tcPr>
            <w:tcW w:w="4760" w:type="dxa"/>
            <w:noWrap w:val="0"/>
            <w:vAlign w:val="center"/>
          </w:tcPr>
          <w:p w14:paraId="47ACE288">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地址</w:t>
            </w:r>
            <w:r>
              <w:rPr>
                <w:rFonts w:hint="eastAsia" w:ascii="仿宋" w:hAnsi="仿宋" w:eastAsia="仿宋" w:cs="仿宋"/>
                <w:bCs/>
                <w:color w:val="auto"/>
                <w:szCs w:val="21"/>
                <w:highlight w:val="none"/>
              </w:rPr>
              <w:t>：</w:t>
            </w:r>
          </w:p>
        </w:tc>
        <w:tc>
          <w:tcPr>
            <w:tcW w:w="4915" w:type="dxa"/>
            <w:noWrap w:val="0"/>
            <w:vAlign w:val="center"/>
          </w:tcPr>
          <w:p w14:paraId="14904BB2">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地址</w:t>
            </w:r>
            <w:r>
              <w:rPr>
                <w:rFonts w:hint="eastAsia" w:ascii="仿宋" w:hAnsi="仿宋" w:eastAsia="仿宋" w:cs="仿宋"/>
                <w:bCs/>
                <w:color w:val="auto"/>
                <w:szCs w:val="21"/>
                <w:highlight w:val="none"/>
              </w:rPr>
              <w:t>：</w:t>
            </w:r>
          </w:p>
        </w:tc>
      </w:tr>
      <w:tr w14:paraId="12A38F93">
        <w:tblPrEx>
          <w:tblCellMar>
            <w:top w:w="0" w:type="dxa"/>
            <w:left w:w="108" w:type="dxa"/>
            <w:bottom w:w="0" w:type="dxa"/>
            <w:right w:w="108" w:type="dxa"/>
          </w:tblCellMar>
        </w:tblPrEx>
        <w:trPr>
          <w:trHeight w:val="719" w:hRule="atLeast"/>
        </w:trPr>
        <w:tc>
          <w:tcPr>
            <w:tcW w:w="4760" w:type="dxa"/>
            <w:noWrap w:val="0"/>
            <w:vAlign w:val="center"/>
          </w:tcPr>
          <w:p w14:paraId="48026782">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邮政编码：</w:t>
            </w:r>
          </w:p>
        </w:tc>
        <w:tc>
          <w:tcPr>
            <w:tcW w:w="4915" w:type="dxa"/>
            <w:noWrap w:val="0"/>
            <w:vAlign w:val="center"/>
          </w:tcPr>
          <w:p w14:paraId="6900626E">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邮政编码：</w:t>
            </w:r>
          </w:p>
        </w:tc>
      </w:tr>
      <w:tr w14:paraId="0E5B6FF7">
        <w:tblPrEx>
          <w:tblCellMar>
            <w:top w:w="0" w:type="dxa"/>
            <w:left w:w="108" w:type="dxa"/>
            <w:bottom w:w="0" w:type="dxa"/>
            <w:right w:w="108" w:type="dxa"/>
          </w:tblCellMar>
        </w:tblPrEx>
        <w:trPr>
          <w:trHeight w:val="719" w:hRule="atLeast"/>
        </w:trPr>
        <w:tc>
          <w:tcPr>
            <w:tcW w:w="4760" w:type="dxa"/>
            <w:noWrap w:val="0"/>
            <w:vAlign w:val="center"/>
          </w:tcPr>
          <w:p w14:paraId="609A3A3A">
            <w:pPr>
              <w:spacing w:line="400" w:lineRule="exact"/>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rPr>
              <w:t>电话：</w:t>
            </w:r>
          </w:p>
        </w:tc>
        <w:tc>
          <w:tcPr>
            <w:tcW w:w="4915" w:type="dxa"/>
            <w:noWrap w:val="0"/>
            <w:vAlign w:val="center"/>
          </w:tcPr>
          <w:p w14:paraId="20FDF102">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电话：</w:t>
            </w:r>
          </w:p>
        </w:tc>
      </w:tr>
      <w:tr w14:paraId="56548CDE">
        <w:tblPrEx>
          <w:tblCellMar>
            <w:top w:w="0" w:type="dxa"/>
            <w:left w:w="108" w:type="dxa"/>
            <w:bottom w:w="0" w:type="dxa"/>
            <w:right w:w="108" w:type="dxa"/>
          </w:tblCellMar>
        </w:tblPrEx>
        <w:trPr>
          <w:trHeight w:val="719" w:hRule="atLeast"/>
        </w:trPr>
        <w:tc>
          <w:tcPr>
            <w:tcW w:w="4760" w:type="dxa"/>
            <w:noWrap w:val="0"/>
            <w:vAlign w:val="center"/>
          </w:tcPr>
          <w:p w14:paraId="05DBF602">
            <w:pPr>
              <w:spacing w:line="400" w:lineRule="exact"/>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rPr>
              <w:t>传真：</w:t>
            </w:r>
            <w:r>
              <w:rPr>
                <w:rFonts w:hint="eastAsia" w:ascii="仿宋" w:hAnsi="仿宋" w:eastAsia="仿宋" w:cs="仿宋"/>
                <w:bCs/>
                <w:color w:val="auto"/>
                <w:szCs w:val="21"/>
                <w:highlight w:val="none"/>
                <w:lang w:val="en-US" w:eastAsia="zh-CN"/>
              </w:rPr>
              <w:t>/</w:t>
            </w:r>
          </w:p>
        </w:tc>
        <w:tc>
          <w:tcPr>
            <w:tcW w:w="4915" w:type="dxa"/>
            <w:noWrap w:val="0"/>
            <w:vAlign w:val="center"/>
          </w:tcPr>
          <w:p w14:paraId="65DA6D34">
            <w:pPr>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传真： /</w:t>
            </w:r>
          </w:p>
        </w:tc>
      </w:tr>
      <w:tr w14:paraId="4007D109">
        <w:tblPrEx>
          <w:tblCellMar>
            <w:top w:w="0" w:type="dxa"/>
            <w:left w:w="108" w:type="dxa"/>
            <w:bottom w:w="0" w:type="dxa"/>
            <w:right w:w="108" w:type="dxa"/>
          </w:tblCellMar>
        </w:tblPrEx>
        <w:trPr>
          <w:trHeight w:val="719" w:hRule="atLeast"/>
        </w:trPr>
        <w:tc>
          <w:tcPr>
            <w:tcW w:w="4760" w:type="dxa"/>
            <w:noWrap w:val="0"/>
            <w:vAlign w:val="center"/>
          </w:tcPr>
          <w:p w14:paraId="19493E39">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开户银行：</w:t>
            </w:r>
          </w:p>
        </w:tc>
        <w:tc>
          <w:tcPr>
            <w:tcW w:w="4915" w:type="dxa"/>
            <w:noWrap w:val="0"/>
            <w:vAlign w:val="center"/>
          </w:tcPr>
          <w:p w14:paraId="6D4DFD9A">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开户银行：</w:t>
            </w:r>
          </w:p>
        </w:tc>
      </w:tr>
      <w:tr w14:paraId="435CA47D">
        <w:tblPrEx>
          <w:tblCellMar>
            <w:top w:w="0" w:type="dxa"/>
            <w:left w:w="108" w:type="dxa"/>
            <w:bottom w:w="0" w:type="dxa"/>
            <w:right w:w="108" w:type="dxa"/>
          </w:tblCellMar>
        </w:tblPrEx>
        <w:trPr>
          <w:trHeight w:val="719" w:hRule="atLeast"/>
        </w:trPr>
        <w:tc>
          <w:tcPr>
            <w:tcW w:w="4760" w:type="dxa"/>
            <w:noWrap w:val="0"/>
            <w:vAlign w:val="center"/>
          </w:tcPr>
          <w:p w14:paraId="5EE217AC">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银行账号</w:t>
            </w:r>
            <w:r>
              <w:rPr>
                <w:rFonts w:hint="eastAsia" w:ascii="仿宋" w:hAnsi="仿宋" w:eastAsia="仿宋" w:cs="仿宋"/>
                <w:bCs/>
                <w:color w:val="auto"/>
                <w:szCs w:val="21"/>
                <w:highlight w:val="none"/>
                <w:lang w:val="en-US" w:eastAsia="zh-CN"/>
              </w:rPr>
              <w:t>：</w:t>
            </w:r>
          </w:p>
        </w:tc>
        <w:tc>
          <w:tcPr>
            <w:tcW w:w="4915" w:type="dxa"/>
            <w:noWrap w:val="0"/>
            <w:vAlign w:val="center"/>
          </w:tcPr>
          <w:p w14:paraId="67F12D68">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银行账号：</w:t>
            </w:r>
          </w:p>
        </w:tc>
      </w:tr>
    </w:tbl>
    <w:p w14:paraId="14F0C644"/>
    <w:p w14:paraId="3EC6E858">
      <w:pPr>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br w:type="page"/>
      </w:r>
    </w:p>
    <w:p w14:paraId="76B0F7C9">
      <w:pPr>
        <w:tabs>
          <w:tab w:val="left" w:pos="630"/>
        </w:tabs>
        <w:wordWrap/>
        <w:spacing w:line="420" w:lineRule="exact"/>
        <w:ind w:firstLine="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兑付民工工资及材料等费用承诺书</w:t>
      </w:r>
    </w:p>
    <w:p w14:paraId="534516E0">
      <w:pPr>
        <w:wordWrap w:val="0"/>
        <w:spacing w:line="42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致：</w:t>
      </w:r>
      <w:r>
        <w:rPr>
          <w:rFonts w:hint="eastAsia" w:ascii="仿宋" w:hAnsi="仿宋" w:eastAsia="仿宋" w:cs="仿宋"/>
          <w:bCs/>
          <w:color w:val="auto"/>
          <w:szCs w:val="21"/>
          <w:highlight w:val="none"/>
          <w:u w:val="single"/>
          <w:lang w:val="en-US" w:eastAsia="zh-CN"/>
        </w:rPr>
        <w:t>金堂县第一人民医院</w:t>
      </w:r>
      <w:r>
        <w:rPr>
          <w:rFonts w:hint="eastAsia" w:ascii="仿宋" w:hAnsi="仿宋" w:eastAsia="仿宋" w:cs="仿宋"/>
          <w:color w:val="auto"/>
          <w:szCs w:val="21"/>
          <w:highlight w:val="none"/>
        </w:rPr>
        <w:t>：</w:t>
      </w:r>
    </w:p>
    <w:p w14:paraId="5E2768D9">
      <w:pPr>
        <w:wordWrap w:val="0"/>
        <w:spacing w:line="42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我公司承诺：保证足够的流动资金用于本工程，及时足额支付入场人员工资、材料、机械等费用，现对贵公司做出不可撤销承诺如下：</w:t>
      </w:r>
    </w:p>
    <w:p w14:paraId="3F12FF3E">
      <w:pPr>
        <w:wordWrap w:val="0"/>
        <w:spacing w:line="42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我公司保证做到按照《保障农民工工资支付条例》（中华人民共和国国务院令第724号）及国家现行法律法规要求规定按月足额支付劳务公司劳务款和农民工工资，绝不拖欠，如果发生违反规定拖欠或克扣农民工工资行为，造成农民工上访或公共事件，我公司愿意接受人力资源社会保障、住建、公安等部门依照有关规定做出的处理或处罚决定并按照贵公司既往财务记录承担贵公司因人员聚集、无法办公造成的经济损失。</w:t>
      </w:r>
    </w:p>
    <w:p w14:paraId="582F8F0C">
      <w:pPr>
        <w:wordWrap w:val="0"/>
        <w:spacing w:line="42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2.贵公司与我公司或我公司与分包单位、劳务班组等因工程数量、质量、造价等产生争议的，我公司不得因争议而扣罚农民工工资。</w:t>
      </w:r>
    </w:p>
    <w:p w14:paraId="3859B9EB">
      <w:pPr>
        <w:wordWrap w:val="0"/>
        <w:spacing w:line="42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3.若发生拖欠入场人员（含民工）工资事件，经贵司通知后</w:t>
      </w:r>
      <w:r>
        <w:rPr>
          <w:rFonts w:hint="eastAsia" w:ascii="仿宋" w:hAnsi="仿宋" w:eastAsia="仿宋" w:cs="仿宋"/>
          <w:color w:val="auto"/>
          <w:szCs w:val="21"/>
          <w:highlight w:val="none"/>
          <w:u w:val="single"/>
        </w:rPr>
        <w:t xml:space="preserve"> 2 </w:t>
      </w:r>
      <w:r>
        <w:rPr>
          <w:rFonts w:hint="eastAsia" w:ascii="仿宋" w:hAnsi="仿宋" w:eastAsia="仿宋" w:cs="仿宋"/>
          <w:color w:val="auto"/>
          <w:szCs w:val="21"/>
          <w:highlight w:val="none"/>
        </w:rPr>
        <w:t>小时内我公司人员未到场处理，则我公司认可贵公司在处置该等事件时现场不能理清实际欠付的人员、金额的困境是我公司造成的，我公司在此承诺对贵公司直接支付入场人员（含民工）的金额一概予以认可并在应付工程款范围内直接扣除，且不免除我公司开具发票的义务。</w:t>
      </w:r>
    </w:p>
    <w:p w14:paraId="053491B9">
      <w:pPr>
        <w:wordWrap w:val="0"/>
        <w:spacing w:line="42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4.若我公司未及时支付入场人员（含民工）工资、材料、机械费等，贵公司不负有任何责任，我公司同意除前述承若事项外还应承担以下违约责任：</w:t>
      </w:r>
    </w:p>
    <w:p w14:paraId="064AC337">
      <w:pPr>
        <w:wordWrap w:val="0"/>
        <w:spacing w:line="42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（1）若发生因我公司未及时支付入场人员（含民工）工资、材料、机械费等情况，由此造成相关人员到贵公司聚集或到相关主管部门集体上访的, 每发生上述情形一次，我公司同意最高承担10万元的违约金；</w:t>
      </w:r>
    </w:p>
    <w:p w14:paraId="7A2E059F">
      <w:pPr>
        <w:wordWrap w:val="0"/>
        <w:spacing w:line="420" w:lineRule="exact"/>
        <w:ind w:firstLine="480"/>
        <w:rPr>
          <w:rFonts w:hint="eastAsia" w:ascii="仿宋" w:hAnsi="仿宋" w:eastAsia="仿宋" w:cs="仿宋"/>
          <w:color w:val="auto"/>
          <w:highlight w:val="none"/>
        </w:rPr>
      </w:pPr>
      <w:r>
        <w:rPr>
          <w:rFonts w:hint="eastAsia" w:ascii="仿宋" w:hAnsi="仿宋" w:eastAsia="仿宋" w:cs="仿宋"/>
          <w:color w:val="auto"/>
          <w:szCs w:val="21"/>
          <w:highlight w:val="none"/>
        </w:rPr>
        <w:t>（2）若造成因人员聚集阻塞交通或停工超过15天且经贵公司书面函告要求采取措施限期复工仍未复工等情形，每发生上述情形一次，我公司同意最高承担30万元的违约金；情节严重以致影响施工进程或造成严重社会影响的，贵公司有权提前解除或终止合同，并追究我公司的违约责任。</w:t>
      </w:r>
    </w:p>
    <w:p w14:paraId="1D135B8E">
      <w:pPr>
        <w:spacing w:line="420" w:lineRule="exact"/>
        <w:rPr>
          <w:rFonts w:hint="eastAsia" w:ascii="仿宋" w:hAnsi="仿宋" w:eastAsia="仿宋" w:cs="仿宋"/>
          <w:color w:val="auto"/>
          <w:szCs w:val="21"/>
          <w:highlight w:val="none"/>
        </w:rPr>
      </w:pPr>
    </w:p>
    <w:p w14:paraId="51828520">
      <w:pPr>
        <w:spacing w:line="42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公司名称</w:t>
      </w:r>
      <w:r>
        <w:rPr>
          <w:rFonts w:hint="eastAsia" w:ascii="仿宋" w:hAnsi="仿宋" w:eastAsia="仿宋" w:cs="仿宋"/>
          <w:color w:val="auto"/>
          <w:szCs w:val="21"/>
          <w:highlight w:val="none"/>
        </w:rPr>
        <w:t>：</w:t>
      </w:r>
      <w:r>
        <w:rPr>
          <w:rFonts w:hint="eastAsia" w:ascii="仿宋" w:hAnsi="仿宋" w:eastAsia="仿宋" w:cs="仿宋"/>
          <w:bCs/>
          <w:color w:val="auto"/>
          <w:szCs w:val="21"/>
          <w:highlight w:val="none"/>
          <w:lang w:val="en-US" w:eastAsia="zh-CN"/>
        </w:rPr>
        <w:t xml:space="preserve">            </w:t>
      </w:r>
      <w:r>
        <w:rPr>
          <w:rFonts w:hint="eastAsia" w:ascii="仿宋" w:hAnsi="仿宋" w:eastAsia="仿宋" w:cs="仿宋"/>
          <w:color w:val="auto"/>
          <w:szCs w:val="21"/>
          <w:highlight w:val="none"/>
        </w:rPr>
        <w:t>（盖单位章）</w:t>
      </w:r>
    </w:p>
    <w:p w14:paraId="6518AF99">
      <w:pPr>
        <w:wordWrap w:val="0"/>
        <w:spacing w:line="420" w:lineRule="exact"/>
        <w:ind w:right="0"/>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法定代表人或其委托</w:t>
      </w:r>
      <w:r>
        <w:rPr>
          <w:rFonts w:hint="eastAsia" w:ascii="仿宋" w:hAnsi="仿宋" w:eastAsia="仿宋" w:cs="仿宋"/>
          <w:color w:val="auto"/>
          <w:szCs w:val="21"/>
          <w:highlight w:val="none"/>
          <w:lang w:val="en-US" w:eastAsia="zh-CN"/>
        </w:rPr>
        <w:t>代表</w:t>
      </w:r>
      <w:r>
        <w:rPr>
          <w:rFonts w:hint="eastAsia" w:ascii="仿宋" w:hAnsi="仿宋" w:eastAsia="仿宋" w:cs="仿宋"/>
          <w:color w:val="auto"/>
          <w:szCs w:val="21"/>
          <w:highlight w:val="none"/>
        </w:rPr>
        <w:t>：（签字或盖章）</w:t>
      </w:r>
    </w:p>
    <w:p w14:paraId="1538ED24">
      <w:pPr>
        <w:spacing w:line="420" w:lineRule="exact"/>
        <w:ind w:right="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地    址：</w:t>
      </w:r>
      <w:r>
        <w:rPr>
          <w:rFonts w:hint="eastAsia" w:ascii="仿宋" w:hAnsi="仿宋" w:eastAsia="仿宋" w:cs="仿宋"/>
          <w:color w:val="auto"/>
          <w:szCs w:val="21"/>
          <w:highlight w:val="none"/>
          <w:u w:val="single"/>
        </w:rPr>
        <w:t xml:space="preserve">   </w:t>
      </w:r>
    </w:p>
    <w:p w14:paraId="6210F3E3">
      <w:pPr>
        <w:spacing w:line="420" w:lineRule="exact"/>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邮政编码：</w:t>
      </w:r>
      <w:r>
        <w:rPr>
          <w:rFonts w:hint="eastAsia" w:ascii="仿宋" w:hAnsi="仿宋" w:eastAsia="仿宋" w:cs="仿宋"/>
          <w:color w:val="auto"/>
          <w:szCs w:val="21"/>
          <w:highlight w:val="none"/>
          <w:u w:val="single"/>
        </w:rPr>
        <w:t xml:space="preserve">   </w:t>
      </w:r>
    </w:p>
    <w:p w14:paraId="7A992D40">
      <w:pPr>
        <w:spacing w:line="420" w:lineRule="exact"/>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电    话：</w:t>
      </w:r>
      <w:r>
        <w:rPr>
          <w:rFonts w:hint="eastAsia" w:ascii="仿宋" w:hAnsi="仿宋" w:eastAsia="仿宋" w:cs="仿宋"/>
          <w:color w:val="auto"/>
          <w:szCs w:val="21"/>
          <w:highlight w:val="none"/>
          <w:u w:val="single"/>
        </w:rPr>
        <w:t xml:space="preserve">  </w:t>
      </w:r>
    </w:p>
    <w:p w14:paraId="55EC019E">
      <w:pPr>
        <w:spacing w:line="42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传    真：/</w:t>
      </w:r>
    </w:p>
    <w:p w14:paraId="440B828D">
      <w:pPr>
        <w:spacing w:line="420" w:lineRule="exact"/>
        <w:jc w:val="both"/>
        <w:rPr>
          <w:rFonts w:hint="eastAsia" w:ascii="仿宋" w:hAnsi="仿宋" w:eastAsia="仿宋" w:cs="仿宋"/>
          <w:color w:val="auto"/>
          <w:highlight w:val="none"/>
        </w:rPr>
      </w:pPr>
      <w:r>
        <w:rPr>
          <w:rFonts w:hint="eastAsia" w:ascii="仿宋" w:hAnsi="仿宋" w:eastAsia="仿宋" w:cs="仿宋"/>
          <w:color w:val="auto"/>
          <w:szCs w:val="21"/>
          <w:highlight w:val="none"/>
        </w:rPr>
        <w:t>年    月    日</w:t>
      </w:r>
    </w:p>
    <w:p w14:paraId="2A6A3214"/>
    <w:p w14:paraId="032D579C">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textAlignment w:val="auto"/>
        <w:rPr>
          <w:rFonts w:hint="default" w:ascii="Times New Roman" w:hAnsi="Times New Roman" w:eastAsia="方正仿宋_GBK" w:cs="Times New Roman"/>
          <w:color w:val="auto"/>
          <w:sz w:val="32"/>
          <w:szCs w:val="32"/>
          <w:highlight w:val="none"/>
        </w:rPr>
      </w:pPr>
    </w:p>
    <w:p w14:paraId="023C5E25">
      <w:pPr>
        <w:pStyle w:val="33"/>
        <w:adjustRightInd/>
        <w:snapToGrid/>
        <w:spacing w:before="0" w:after="0" w:line="360" w:lineRule="auto"/>
        <w:ind w:left="0" w:right="0"/>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绿化工程管养协议书（绿化部分）</w:t>
      </w:r>
    </w:p>
    <w:p w14:paraId="45796D21">
      <w:pPr>
        <w:spacing w:line="360" w:lineRule="auto"/>
        <w:ind w:firstLine="420" w:firstLineChars="200"/>
        <w:jc w:val="left"/>
        <w:rPr>
          <w:rFonts w:hint="eastAsia" w:ascii="仿宋" w:hAnsi="仿宋" w:eastAsia="仿宋" w:cs="仿宋"/>
          <w:color w:val="auto"/>
          <w:highlight w:val="none"/>
        </w:rPr>
      </w:pPr>
      <w:r>
        <w:rPr>
          <w:rFonts w:hint="eastAsia" w:ascii="仿宋" w:hAnsi="仿宋" w:eastAsia="仿宋" w:cs="仿宋"/>
          <w:bCs/>
          <w:color w:val="auto"/>
          <w:highlight w:val="none"/>
        </w:rPr>
        <w:t>发包</w:t>
      </w:r>
      <w:r>
        <w:rPr>
          <w:rFonts w:hint="eastAsia" w:ascii="仿宋" w:hAnsi="仿宋" w:eastAsia="仿宋" w:cs="仿宋"/>
          <w:color w:val="auto"/>
          <w:highlight w:val="none"/>
        </w:rPr>
        <w:t>人、承包人根据《中华人民共和国建筑法》、《建设工程质量管理条例》，经协商一致，对（</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highlight w:val="none"/>
        </w:rPr>
        <w:t>）签订本协议。</w:t>
      </w:r>
    </w:p>
    <w:p w14:paraId="6810A296">
      <w:pPr>
        <w:snapToGrid/>
        <w:spacing w:line="360" w:lineRule="auto"/>
        <w:ind w:firstLine="474" w:firstLineChars="225"/>
        <w:jc w:val="left"/>
        <w:rPr>
          <w:rFonts w:hint="eastAsia" w:ascii="仿宋" w:hAnsi="仿宋" w:eastAsia="仿宋" w:cs="仿宋"/>
          <w:b/>
          <w:bCs/>
          <w:color w:val="auto"/>
          <w:highlight w:val="none"/>
        </w:rPr>
      </w:pPr>
      <w:r>
        <w:rPr>
          <w:rFonts w:hint="eastAsia" w:ascii="仿宋" w:hAnsi="仿宋" w:eastAsia="仿宋" w:cs="仿宋"/>
          <w:b/>
          <w:bCs/>
          <w:color w:val="auto"/>
          <w:highlight w:val="none"/>
        </w:rPr>
        <w:t>一.绿化工程养护时间、范围和内容</w:t>
      </w:r>
    </w:p>
    <w:p w14:paraId="740CE4AC">
      <w:pPr>
        <w:pStyle w:val="33"/>
        <w:adjustRightInd/>
        <w:snapToGrid/>
        <w:spacing w:before="0" w:after="0" w:line="360" w:lineRule="auto"/>
        <w:ind w:left="0" w:firstLine="539" w:firstLineChars="257"/>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本工程绿化部分养护期为该部分工程管护移交之日止，养护范围及内容为承包人实施的该项目所有绿化工程。</w:t>
      </w:r>
    </w:p>
    <w:p w14:paraId="4CABE2AF">
      <w:pPr>
        <w:pStyle w:val="33"/>
        <w:adjustRightInd/>
        <w:snapToGrid/>
        <w:spacing w:before="0" w:after="0" w:line="360" w:lineRule="auto"/>
        <w:ind w:left="0" w:firstLine="539" w:firstLineChars="257"/>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其他具体养护时间及范围的约定：_</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_</w:t>
      </w:r>
      <w:r>
        <w:rPr>
          <w:rFonts w:hint="eastAsia" w:ascii="仿宋" w:hAnsi="仿宋" w:eastAsia="仿宋" w:cs="仿宋"/>
          <w:b/>
          <w:color w:val="auto"/>
          <w:sz w:val="21"/>
          <w:szCs w:val="21"/>
          <w:highlight w:val="none"/>
        </w:rPr>
        <w:t>。</w:t>
      </w:r>
    </w:p>
    <w:p w14:paraId="4E926529">
      <w:pPr>
        <w:snapToGrid/>
        <w:spacing w:line="360" w:lineRule="auto"/>
        <w:ind w:firstLine="474" w:firstLineChars="225"/>
        <w:jc w:val="left"/>
        <w:rPr>
          <w:rFonts w:hint="eastAsia" w:ascii="仿宋" w:hAnsi="仿宋" w:eastAsia="仿宋" w:cs="仿宋"/>
          <w:b/>
          <w:bCs/>
          <w:color w:val="auto"/>
          <w:highlight w:val="none"/>
        </w:rPr>
      </w:pPr>
      <w:r>
        <w:rPr>
          <w:rFonts w:hint="eastAsia" w:ascii="仿宋" w:hAnsi="仿宋" w:eastAsia="仿宋" w:cs="仿宋"/>
          <w:b/>
          <w:bCs/>
          <w:color w:val="auto"/>
          <w:highlight w:val="none"/>
        </w:rPr>
        <w:t>二.绿化养护标准</w:t>
      </w:r>
    </w:p>
    <w:p w14:paraId="5FE221DE">
      <w:pPr>
        <w:pStyle w:val="33"/>
        <w:adjustRightInd/>
        <w:snapToGrid/>
        <w:spacing w:before="0" w:after="0" w:line="360" w:lineRule="auto"/>
        <w:ind w:left="0" w:firstLine="539" w:firstLineChars="257"/>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详见本合同附件《绿化工程管养标准》。</w:t>
      </w:r>
    </w:p>
    <w:p w14:paraId="449495EE">
      <w:pPr>
        <w:snapToGrid/>
        <w:spacing w:line="360" w:lineRule="auto"/>
        <w:ind w:firstLine="474" w:firstLineChars="225"/>
        <w:jc w:val="left"/>
        <w:rPr>
          <w:rFonts w:hint="eastAsia" w:ascii="仿宋" w:hAnsi="仿宋" w:eastAsia="仿宋" w:cs="仿宋"/>
          <w:b/>
          <w:bCs/>
          <w:color w:val="auto"/>
          <w:highlight w:val="none"/>
        </w:rPr>
      </w:pPr>
      <w:r>
        <w:rPr>
          <w:rFonts w:hint="eastAsia" w:ascii="仿宋" w:hAnsi="仿宋" w:eastAsia="仿宋" w:cs="仿宋"/>
          <w:b/>
          <w:bCs/>
          <w:color w:val="auto"/>
          <w:highlight w:val="none"/>
        </w:rPr>
        <w:t>三.绿化养护责任</w:t>
      </w:r>
    </w:p>
    <w:p w14:paraId="3D74B7DE">
      <w:pPr>
        <w:pStyle w:val="33"/>
        <w:adjustRightInd/>
        <w:snapToGrid/>
        <w:spacing w:before="0" w:after="0" w:line="360" w:lineRule="auto"/>
        <w:ind w:left="0" w:firstLine="539" w:firstLineChars="257"/>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植物栽植完毕后，承包人应及时按照国家和地方相关部门的规章制度以及本合同约定标准进行养护，每月养护工作报告经过监理工程师确认后提供给发包人作为结算养护费的依据之一；承包人不按约定进行养护的的，发包人可以委托他人进行养护，发生的费用从养护费内扣除。</w:t>
      </w:r>
    </w:p>
    <w:p w14:paraId="6786162A">
      <w:pPr>
        <w:numPr>
          <w:ilvl w:val="0"/>
          <w:numId w:val="18"/>
        </w:numPr>
        <w:spacing w:line="360" w:lineRule="auto"/>
        <w:ind w:firstLine="474" w:firstLineChars="225"/>
        <w:rPr>
          <w:rFonts w:hint="eastAsia" w:ascii="仿宋" w:hAnsi="仿宋" w:eastAsia="仿宋" w:cs="仿宋"/>
          <w:b/>
          <w:bCs/>
          <w:color w:val="auto"/>
          <w:highlight w:val="none"/>
        </w:rPr>
      </w:pPr>
      <w:r>
        <w:rPr>
          <w:rFonts w:hint="eastAsia" w:ascii="仿宋" w:hAnsi="仿宋" w:eastAsia="仿宋" w:cs="仿宋"/>
          <w:b/>
          <w:bCs/>
          <w:color w:val="auto"/>
          <w:highlight w:val="none"/>
        </w:rPr>
        <w:t>本协议有效期限至养护期满。</w:t>
      </w:r>
    </w:p>
    <w:p w14:paraId="08060F3D">
      <w:pPr>
        <w:numPr>
          <w:ilvl w:val="0"/>
          <w:numId w:val="0"/>
        </w:numPr>
        <w:spacing w:line="360" w:lineRule="auto"/>
        <w:ind w:firstLine="420" w:firstLineChars="200"/>
        <w:rPr>
          <w:rFonts w:hint="default" w:ascii="仿宋" w:hAnsi="仿宋" w:eastAsia="仿宋" w:cs="仿宋"/>
          <w:b/>
          <w:bCs/>
          <w:color w:val="auto"/>
          <w:highlight w:val="none"/>
          <w:lang w:val="en-US" w:eastAsia="zh-CN"/>
        </w:rPr>
      </w:pPr>
      <w:r>
        <w:rPr>
          <w:rFonts w:hint="eastAsia" w:ascii="仿宋" w:hAnsi="仿宋" w:eastAsia="仿宋" w:cs="仿宋"/>
          <w:color w:val="auto"/>
          <w:sz w:val="21"/>
          <w:szCs w:val="21"/>
          <w:highlight w:val="none"/>
          <w:lang w:val="en-US" w:eastAsia="zh-CN"/>
        </w:rPr>
        <w:t>附件：</w:t>
      </w:r>
      <w:r>
        <w:rPr>
          <w:rFonts w:hint="eastAsia" w:ascii="仿宋" w:hAnsi="仿宋" w:eastAsia="仿宋" w:cs="仿宋"/>
          <w:color w:val="auto"/>
          <w:sz w:val="21"/>
          <w:szCs w:val="21"/>
          <w:highlight w:val="none"/>
        </w:rPr>
        <w:t>《绿化工程管养标准》</w:t>
      </w:r>
    </w:p>
    <w:tbl>
      <w:tblPr>
        <w:tblStyle w:val="18"/>
        <w:tblW w:w="9349" w:type="dxa"/>
        <w:jc w:val="center"/>
        <w:tblLayout w:type="fixed"/>
        <w:tblCellMar>
          <w:top w:w="0" w:type="dxa"/>
          <w:left w:w="108" w:type="dxa"/>
          <w:bottom w:w="0" w:type="dxa"/>
          <w:right w:w="108" w:type="dxa"/>
        </w:tblCellMar>
      </w:tblPr>
      <w:tblGrid>
        <w:gridCol w:w="4597"/>
        <w:gridCol w:w="4752"/>
      </w:tblGrid>
      <w:tr w14:paraId="473DD19A">
        <w:tblPrEx>
          <w:tblCellMar>
            <w:top w:w="0" w:type="dxa"/>
            <w:left w:w="108" w:type="dxa"/>
            <w:bottom w:w="0" w:type="dxa"/>
            <w:right w:w="108" w:type="dxa"/>
          </w:tblCellMar>
        </w:tblPrEx>
        <w:trPr>
          <w:trHeight w:val="719" w:hRule="atLeast"/>
          <w:jc w:val="center"/>
        </w:trPr>
        <w:tc>
          <w:tcPr>
            <w:tcW w:w="4597" w:type="dxa"/>
            <w:noWrap w:val="0"/>
            <w:vAlign w:val="center"/>
          </w:tcPr>
          <w:p w14:paraId="22B8406D">
            <w:pPr>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发包人：</w:t>
            </w:r>
            <w:r>
              <w:rPr>
                <w:rFonts w:hint="eastAsia" w:ascii="仿宋" w:hAnsi="仿宋" w:eastAsia="仿宋" w:cs="仿宋"/>
                <w:bCs/>
                <w:color w:val="auto"/>
                <w:szCs w:val="21"/>
                <w:highlight w:val="none"/>
                <w:lang w:val="en-US" w:eastAsia="zh-CN"/>
              </w:rPr>
              <w:t>金堂县第一人民医院</w:t>
            </w:r>
            <w:r>
              <w:rPr>
                <w:rFonts w:hint="eastAsia" w:ascii="仿宋" w:hAnsi="仿宋" w:eastAsia="仿宋" w:cs="仿宋"/>
                <w:bCs/>
                <w:color w:val="auto"/>
                <w:szCs w:val="21"/>
                <w:highlight w:val="none"/>
              </w:rPr>
              <w:t>（盖章）</w:t>
            </w:r>
          </w:p>
        </w:tc>
        <w:tc>
          <w:tcPr>
            <w:tcW w:w="4752" w:type="dxa"/>
            <w:noWrap w:val="0"/>
            <w:vAlign w:val="center"/>
          </w:tcPr>
          <w:p w14:paraId="4EEB8439">
            <w:pPr>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承包人：</w:t>
            </w:r>
            <w:r>
              <w:rPr>
                <w:rFonts w:hint="eastAsia" w:ascii="仿宋" w:hAnsi="仿宋" w:eastAsia="仿宋" w:cs="仿宋"/>
                <w:bCs/>
                <w:color w:val="auto"/>
                <w:szCs w:val="21"/>
                <w:highlight w:val="none"/>
                <w:lang w:val="en-US" w:eastAsia="zh-CN"/>
              </w:rPr>
              <w:t xml:space="preserve">        </w:t>
            </w:r>
            <w:r>
              <w:rPr>
                <w:rFonts w:hint="eastAsia" w:ascii="仿宋" w:hAnsi="仿宋" w:eastAsia="仿宋" w:cs="仿宋"/>
                <w:bCs/>
                <w:color w:val="auto"/>
                <w:szCs w:val="21"/>
                <w:highlight w:val="none"/>
              </w:rPr>
              <w:t>（盖章）</w:t>
            </w:r>
          </w:p>
        </w:tc>
      </w:tr>
      <w:tr w14:paraId="3189AB42">
        <w:tblPrEx>
          <w:tblCellMar>
            <w:top w:w="0" w:type="dxa"/>
            <w:left w:w="108" w:type="dxa"/>
            <w:bottom w:w="0" w:type="dxa"/>
            <w:right w:w="108" w:type="dxa"/>
          </w:tblCellMar>
        </w:tblPrEx>
        <w:trPr>
          <w:trHeight w:val="719" w:hRule="atLeast"/>
          <w:jc w:val="center"/>
        </w:trPr>
        <w:tc>
          <w:tcPr>
            <w:tcW w:w="4597" w:type="dxa"/>
            <w:noWrap w:val="0"/>
            <w:vAlign w:val="center"/>
          </w:tcPr>
          <w:p w14:paraId="5346A770">
            <w:pPr>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法定代表人或授权代表人（签字或盖章）：</w:t>
            </w:r>
          </w:p>
        </w:tc>
        <w:tc>
          <w:tcPr>
            <w:tcW w:w="4752" w:type="dxa"/>
            <w:noWrap w:val="0"/>
            <w:vAlign w:val="center"/>
          </w:tcPr>
          <w:p w14:paraId="6EE8240E">
            <w:pPr>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法定代表人或授权代表人（签字或盖章）：</w:t>
            </w:r>
          </w:p>
        </w:tc>
      </w:tr>
      <w:tr w14:paraId="753FA5BC">
        <w:tblPrEx>
          <w:tblCellMar>
            <w:top w:w="0" w:type="dxa"/>
            <w:left w:w="108" w:type="dxa"/>
            <w:bottom w:w="0" w:type="dxa"/>
            <w:right w:w="108" w:type="dxa"/>
          </w:tblCellMar>
        </w:tblPrEx>
        <w:trPr>
          <w:trHeight w:val="719" w:hRule="atLeast"/>
          <w:jc w:val="center"/>
        </w:trPr>
        <w:tc>
          <w:tcPr>
            <w:tcW w:w="4597" w:type="dxa"/>
            <w:noWrap w:val="0"/>
            <w:vAlign w:val="center"/>
          </w:tcPr>
          <w:p w14:paraId="5C997B66">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统一社会信用代码：12510121450807100M</w:t>
            </w:r>
          </w:p>
        </w:tc>
        <w:tc>
          <w:tcPr>
            <w:tcW w:w="4752" w:type="dxa"/>
            <w:noWrap w:val="0"/>
            <w:vAlign w:val="center"/>
          </w:tcPr>
          <w:p w14:paraId="1BF4D9D1">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统一社会信用代码：</w:t>
            </w:r>
          </w:p>
        </w:tc>
      </w:tr>
      <w:tr w14:paraId="24ED4FCC">
        <w:tblPrEx>
          <w:tblCellMar>
            <w:top w:w="0" w:type="dxa"/>
            <w:left w:w="108" w:type="dxa"/>
            <w:bottom w:w="0" w:type="dxa"/>
            <w:right w:w="108" w:type="dxa"/>
          </w:tblCellMar>
        </w:tblPrEx>
        <w:trPr>
          <w:trHeight w:val="719" w:hRule="atLeast"/>
          <w:jc w:val="center"/>
        </w:trPr>
        <w:tc>
          <w:tcPr>
            <w:tcW w:w="4597" w:type="dxa"/>
            <w:noWrap w:val="0"/>
            <w:vAlign w:val="center"/>
          </w:tcPr>
          <w:p w14:paraId="564A01BC">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地址</w:t>
            </w:r>
            <w:r>
              <w:rPr>
                <w:rFonts w:hint="eastAsia" w:ascii="仿宋" w:hAnsi="仿宋" w:eastAsia="仿宋" w:cs="仿宋"/>
                <w:bCs/>
                <w:color w:val="auto"/>
                <w:szCs w:val="21"/>
                <w:highlight w:val="none"/>
              </w:rPr>
              <w:t>：</w:t>
            </w:r>
            <w:r>
              <w:rPr>
                <w:rFonts w:hint="eastAsia" w:ascii="仿宋" w:hAnsi="仿宋" w:eastAsia="仿宋" w:cs="仿宋"/>
                <w:bCs/>
                <w:color w:val="auto"/>
                <w:szCs w:val="21"/>
                <w:highlight w:val="none"/>
                <w:lang w:val="en-US" w:eastAsia="zh-CN"/>
              </w:rPr>
              <w:t>成都市金堂县金广路886号</w:t>
            </w:r>
          </w:p>
        </w:tc>
        <w:tc>
          <w:tcPr>
            <w:tcW w:w="4752" w:type="dxa"/>
            <w:noWrap w:val="0"/>
            <w:vAlign w:val="center"/>
          </w:tcPr>
          <w:p w14:paraId="2832F275">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地址</w:t>
            </w:r>
            <w:r>
              <w:rPr>
                <w:rFonts w:hint="eastAsia" w:ascii="仿宋" w:hAnsi="仿宋" w:eastAsia="仿宋" w:cs="仿宋"/>
                <w:bCs/>
                <w:color w:val="auto"/>
                <w:szCs w:val="21"/>
                <w:highlight w:val="none"/>
              </w:rPr>
              <w:t>：</w:t>
            </w:r>
          </w:p>
        </w:tc>
      </w:tr>
      <w:tr w14:paraId="641C8CE5">
        <w:tblPrEx>
          <w:tblCellMar>
            <w:top w:w="0" w:type="dxa"/>
            <w:left w:w="108" w:type="dxa"/>
            <w:bottom w:w="0" w:type="dxa"/>
            <w:right w:w="108" w:type="dxa"/>
          </w:tblCellMar>
        </w:tblPrEx>
        <w:trPr>
          <w:trHeight w:val="719" w:hRule="atLeast"/>
          <w:jc w:val="center"/>
        </w:trPr>
        <w:tc>
          <w:tcPr>
            <w:tcW w:w="4597" w:type="dxa"/>
            <w:noWrap w:val="0"/>
            <w:vAlign w:val="center"/>
          </w:tcPr>
          <w:p w14:paraId="1E6BDF06">
            <w:pPr>
              <w:spacing w:line="400" w:lineRule="exact"/>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rPr>
              <w:t>邮政编码：</w:t>
            </w:r>
            <w:r>
              <w:rPr>
                <w:rFonts w:hint="eastAsia" w:ascii="仿宋" w:hAnsi="仿宋" w:eastAsia="仿宋" w:cs="仿宋"/>
                <w:bCs/>
                <w:color w:val="auto"/>
                <w:szCs w:val="21"/>
                <w:highlight w:val="none"/>
                <w:lang w:val="en-US" w:eastAsia="zh-CN"/>
              </w:rPr>
              <w:t>610400</w:t>
            </w:r>
          </w:p>
        </w:tc>
        <w:tc>
          <w:tcPr>
            <w:tcW w:w="4752" w:type="dxa"/>
            <w:noWrap w:val="0"/>
            <w:vAlign w:val="center"/>
          </w:tcPr>
          <w:p w14:paraId="65E82611">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邮政编码：</w:t>
            </w:r>
          </w:p>
        </w:tc>
      </w:tr>
      <w:tr w14:paraId="36E2BA49">
        <w:tblPrEx>
          <w:tblCellMar>
            <w:top w:w="0" w:type="dxa"/>
            <w:left w:w="108" w:type="dxa"/>
            <w:bottom w:w="0" w:type="dxa"/>
            <w:right w:w="108" w:type="dxa"/>
          </w:tblCellMar>
        </w:tblPrEx>
        <w:trPr>
          <w:trHeight w:val="719" w:hRule="atLeast"/>
          <w:jc w:val="center"/>
        </w:trPr>
        <w:tc>
          <w:tcPr>
            <w:tcW w:w="4597" w:type="dxa"/>
            <w:noWrap w:val="0"/>
            <w:vAlign w:val="center"/>
          </w:tcPr>
          <w:p w14:paraId="087C810D">
            <w:pPr>
              <w:spacing w:line="400" w:lineRule="exact"/>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rPr>
              <w:t>电话：</w:t>
            </w:r>
            <w:r>
              <w:rPr>
                <w:rFonts w:hint="eastAsia" w:ascii="仿宋" w:hAnsi="仿宋" w:eastAsia="仿宋" w:cs="仿宋"/>
                <w:bCs/>
                <w:color w:val="auto"/>
                <w:szCs w:val="21"/>
                <w:highlight w:val="none"/>
                <w:lang w:val="en-US" w:eastAsia="zh-CN"/>
              </w:rPr>
              <w:t>028-84932532</w:t>
            </w:r>
          </w:p>
        </w:tc>
        <w:tc>
          <w:tcPr>
            <w:tcW w:w="4752" w:type="dxa"/>
            <w:noWrap w:val="0"/>
            <w:vAlign w:val="center"/>
          </w:tcPr>
          <w:p w14:paraId="3DF81437">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电话：</w:t>
            </w:r>
          </w:p>
        </w:tc>
      </w:tr>
      <w:tr w14:paraId="6D2155F1">
        <w:tblPrEx>
          <w:tblCellMar>
            <w:top w:w="0" w:type="dxa"/>
            <w:left w:w="108" w:type="dxa"/>
            <w:bottom w:w="0" w:type="dxa"/>
            <w:right w:w="108" w:type="dxa"/>
          </w:tblCellMar>
        </w:tblPrEx>
        <w:trPr>
          <w:trHeight w:val="719" w:hRule="atLeast"/>
          <w:jc w:val="center"/>
        </w:trPr>
        <w:tc>
          <w:tcPr>
            <w:tcW w:w="4597" w:type="dxa"/>
            <w:noWrap w:val="0"/>
            <w:vAlign w:val="center"/>
          </w:tcPr>
          <w:p w14:paraId="679718C2">
            <w:pPr>
              <w:spacing w:line="400" w:lineRule="exact"/>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rPr>
              <w:t>传真：</w:t>
            </w:r>
            <w:r>
              <w:rPr>
                <w:rFonts w:hint="eastAsia" w:ascii="仿宋" w:hAnsi="仿宋" w:eastAsia="仿宋" w:cs="仿宋"/>
                <w:bCs/>
                <w:color w:val="auto"/>
                <w:szCs w:val="21"/>
                <w:highlight w:val="none"/>
                <w:lang w:val="en-US" w:eastAsia="zh-CN"/>
              </w:rPr>
              <w:t>/</w:t>
            </w:r>
          </w:p>
        </w:tc>
        <w:tc>
          <w:tcPr>
            <w:tcW w:w="4752" w:type="dxa"/>
            <w:noWrap w:val="0"/>
            <w:vAlign w:val="center"/>
          </w:tcPr>
          <w:p w14:paraId="7F6F992A">
            <w:pPr>
              <w:spacing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传真： /</w:t>
            </w:r>
          </w:p>
        </w:tc>
      </w:tr>
      <w:tr w14:paraId="10A999EF">
        <w:tblPrEx>
          <w:tblCellMar>
            <w:top w:w="0" w:type="dxa"/>
            <w:left w:w="108" w:type="dxa"/>
            <w:bottom w:w="0" w:type="dxa"/>
            <w:right w:w="108" w:type="dxa"/>
          </w:tblCellMar>
        </w:tblPrEx>
        <w:trPr>
          <w:trHeight w:val="719" w:hRule="atLeast"/>
          <w:jc w:val="center"/>
        </w:trPr>
        <w:tc>
          <w:tcPr>
            <w:tcW w:w="4597" w:type="dxa"/>
            <w:noWrap w:val="0"/>
            <w:vAlign w:val="center"/>
          </w:tcPr>
          <w:p w14:paraId="5F124FCD">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开户银行：</w:t>
            </w:r>
            <w:r>
              <w:rPr>
                <w:rFonts w:hint="eastAsia" w:ascii="仿宋" w:hAnsi="仿宋" w:eastAsia="仿宋" w:cs="仿宋"/>
                <w:bCs/>
                <w:color w:val="auto"/>
                <w:szCs w:val="21"/>
                <w:highlight w:val="none"/>
                <w:lang w:val="en-US" w:eastAsia="zh-CN"/>
              </w:rPr>
              <w:t>成都农商银行金堂支行</w:t>
            </w:r>
          </w:p>
        </w:tc>
        <w:tc>
          <w:tcPr>
            <w:tcW w:w="4752" w:type="dxa"/>
            <w:noWrap w:val="0"/>
            <w:vAlign w:val="center"/>
          </w:tcPr>
          <w:p w14:paraId="71287918">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开户银行：</w:t>
            </w:r>
          </w:p>
        </w:tc>
      </w:tr>
      <w:tr w14:paraId="69A14EC7">
        <w:tblPrEx>
          <w:tblCellMar>
            <w:top w:w="0" w:type="dxa"/>
            <w:left w:w="108" w:type="dxa"/>
            <w:bottom w:w="0" w:type="dxa"/>
            <w:right w:w="108" w:type="dxa"/>
          </w:tblCellMar>
        </w:tblPrEx>
        <w:trPr>
          <w:trHeight w:val="719" w:hRule="atLeast"/>
          <w:jc w:val="center"/>
        </w:trPr>
        <w:tc>
          <w:tcPr>
            <w:tcW w:w="4597" w:type="dxa"/>
            <w:noWrap w:val="0"/>
            <w:vAlign w:val="center"/>
          </w:tcPr>
          <w:p w14:paraId="02870A7A">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银行账号</w:t>
            </w:r>
            <w:r>
              <w:rPr>
                <w:rFonts w:hint="eastAsia" w:ascii="仿宋" w:hAnsi="仿宋" w:eastAsia="仿宋" w:cs="仿宋"/>
                <w:bCs/>
                <w:color w:val="auto"/>
                <w:szCs w:val="21"/>
                <w:highlight w:val="none"/>
                <w:lang w:val="en-US" w:eastAsia="zh-CN"/>
              </w:rPr>
              <w:t>：021800000120010009219</w:t>
            </w:r>
          </w:p>
        </w:tc>
        <w:tc>
          <w:tcPr>
            <w:tcW w:w="4752" w:type="dxa"/>
            <w:noWrap w:val="0"/>
            <w:vAlign w:val="center"/>
          </w:tcPr>
          <w:p w14:paraId="58CF62CF">
            <w:pPr>
              <w:spacing w:line="400" w:lineRule="exac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银行账号：</w:t>
            </w:r>
          </w:p>
        </w:tc>
      </w:tr>
    </w:tbl>
    <w:p w14:paraId="61008944">
      <w:pP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br w:type="page"/>
      </w:r>
    </w:p>
    <w:p w14:paraId="6C40E811">
      <w:pPr>
        <w:pStyle w:val="33"/>
        <w:adjustRightInd/>
        <w:snapToGrid/>
        <w:spacing w:before="0" w:after="0" w:line="360" w:lineRule="auto"/>
        <w:ind w:left="0" w:right="0"/>
        <w:jc w:val="left"/>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附件</w:t>
      </w:r>
    </w:p>
    <w:p w14:paraId="6FFCF5D9">
      <w:pPr>
        <w:pStyle w:val="33"/>
        <w:adjustRightInd/>
        <w:snapToGrid/>
        <w:spacing w:before="0" w:after="0" w:line="360" w:lineRule="auto"/>
        <w:ind w:left="0" w:right="0"/>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绿化工程管养标准</w:t>
      </w:r>
    </w:p>
    <w:p w14:paraId="7BCF6CDD">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浇水：</w:t>
      </w:r>
    </w:p>
    <w:p w14:paraId="0E6B6324">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1、浇水原则：根据不同植物生物学特性（树木、花、草）、大小、季节、土壤干湿程度确定。须做到及时、适量、浇足浇遍、不遗漏地块和植株。 </w:t>
      </w:r>
    </w:p>
    <w:p w14:paraId="37DD28B2">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2、浇水量：根据不同植物种类、气候、季节和土壤干湿度确定，深度达根部、土壤不干涸为宜。气候特别干旱时，除浇足水外，还应增加叶面喷水保湿，减少蒸腾。要求浇遍浇透。</w:t>
      </w:r>
    </w:p>
    <w:p w14:paraId="1607996B">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3、浇水次数：开春后植物进入生长期，须及时补充水分。生长期应每天浇水，休眠期每半月或一月应浇一次，花卉草坪应按生长要求适时浇水。各种植物年浇透水次数不得少于：乔木6次、灌木8次、色块灌木12次，花卉每天一次，草坪18次。</w:t>
      </w:r>
    </w:p>
    <w:p w14:paraId="1DA586D4">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4、浇水时间集中在春、夏、秋末。夏季高温季节应在早晨或傍晚进行，冬季宜午后进行。</w:t>
      </w:r>
    </w:p>
    <w:p w14:paraId="62B2EAD0">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5、无论是用水车喷洒或就近抽水灌溉，都必须随时满足浇水所用工具和机具运行良好，最好采用漫灌式浇水。土壤特别板结或泥沙过重水分难于渗透时，应先松土，草坪打孔后再浇。</w:t>
      </w:r>
    </w:p>
    <w:p w14:paraId="2F14BC1C">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6、雨季应注意防涝排洪，清除积水。</w:t>
      </w:r>
    </w:p>
    <w:p w14:paraId="3CB6CC50">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7、浇水时应注意安全事项。</w:t>
      </w:r>
    </w:p>
    <w:p w14:paraId="70729BD2">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施肥：</w:t>
      </w:r>
    </w:p>
    <w:p w14:paraId="7076324C">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1、施肥主要施基肥和追肥：植物休眠期内施基肥，以充分腐熟的有机肥最好。追肥可用复合有机肥或化肥，花灌木在开花后，要施一次以磷钾为主的追肥。</w:t>
      </w:r>
    </w:p>
    <w:p w14:paraId="559259A1">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2、施肥量：根据不同植物、生长状况、季节确定。应少量多次，以不造成肥害为度，同时满足植物对养分的需要。</w:t>
      </w:r>
    </w:p>
    <w:p w14:paraId="680B6969">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3、施肥次数：根据不同植物、生长状况、季节确定。基肥每年不少于一次，追肥每年不少于2次，特殊情况下如有特殊要求以及草坪或桦卉应增加施肥次数。</w:t>
      </w:r>
    </w:p>
    <w:p w14:paraId="79A14B03">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4、新栽植物或根系受伤植物，未愈合前不应施肥，草坪修剪一周后才能施肥。</w:t>
      </w:r>
    </w:p>
    <w:p w14:paraId="03164FC4">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5、施肥应均匀，基肥应充分腐熟埋入土中，化肥忌干施，应充分溶解后再施用，用量适当。</w:t>
      </w:r>
    </w:p>
    <w:p w14:paraId="65D9D4A7">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6、施肥应结合松土、浇水进行。</w:t>
      </w:r>
    </w:p>
    <w:p w14:paraId="4B6D2FFD">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病虫害防治：</w:t>
      </w:r>
    </w:p>
    <w:p w14:paraId="23E3A123">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1、植物病虫害防治是保证植物不受侵害，达到理想的生长效果，是养护管理的重要措施，必须及时有效地抓好该项工作。</w:t>
      </w:r>
    </w:p>
    <w:p w14:paraId="07E608E9">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2、病虫害防治必须贯彻“预防为主，综合防治”的植物保护方针，尽可能采用综合防治技术，把农药污染控制在最低限度。</w:t>
      </w:r>
    </w:p>
    <w:p w14:paraId="26D14E0D">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3、掌握植物病虫害发生、发展规律，以防为主，以治为辅，将病虫控制和消灭在危害前，要求勤观察发现，及时防治。</w:t>
      </w:r>
    </w:p>
    <w:p w14:paraId="657E8068">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4、正确掌握各种农药的药理作用，充分阅读农药使用说明书，注意农药的使用，对症下药，配制准确，使用方法正确。混合充分喷洒均匀，不造成药害。</w:t>
      </w:r>
    </w:p>
    <w:p w14:paraId="27F84DD4">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5、防治及时，不拖不等。</w:t>
      </w:r>
    </w:p>
    <w:p w14:paraId="37D46952">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6、农药应妥善保管，严格按操作规程使用，注意自身及他人安全。</w:t>
      </w:r>
    </w:p>
    <w:p w14:paraId="2B7D090F">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植物的修剪：</w:t>
      </w:r>
    </w:p>
    <w:p w14:paraId="510D9D97">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1、修剪应根据植物的种类、习性、设计意图、养护季节、景观效果进行，修剪后要求达到均衡树势、调节生长，花繁叶茂的目的。</w:t>
      </w:r>
    </w:p>
    <w:p w14:paraId="7076D6DB">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2、修剪包括剥芽、摘心摘芽、疏枝、短截、疏花疏果、整形、更冠等技术。根据绿化设计要求以及不同植物种类正确选择修剪的技术方法，宜多疏少截。</w:t>
      </w:r>
    </w:p>
    <w:p w14:paraId="4A5DF945">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3、修剪时间：落叶乔木在休眠期进行，常绿乔木在生长间隙期进行，灌木根据设计的景观造型要求及时进行。</w:t>
      </w:r>
    </w:p>
    <w:p w14:paraId="4F217E6F">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4、修剪次数：乔木不能少于一次/年，造型灌木不能少于4次/年，如三颗针；绿篱植物不能少于8次/年，色块灌木不能少于3—4次/年。</w:t>
      </w:r>
    </w:p>
    <w:p w14:paraId="3545FA27">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5、草坪修剪：混播草坪不能少于24次/年。</w:t>
      </w:r>
    </w:p>
    <w:p w14:paraId="66AA3BE6">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6、色块灌木：按要求高度修剪，平面平整，边角整齐，绿篱式灌木观赏的三方应整齐。</w:t>
      </w:r>
    </w:p>
    <w:p w14:paraId="71A268EA">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7、修剪须按技术操作规程和要求进行，同时须注意安全。</w:t>
      </w:r>
    </w:p>
    <w:p w14:paraId="4FDD1B53">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松土、除草：</w:t>
      </w:r>
    </w:p>
    <w:p w14:paraId="075320E1">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1、松土：生长季节进行，用钉钯或窄锄将土挖松，草坪应用打孔机松土，每年不能少于2次。</w:t>
      </w:r>
    </w:p>
    <w:p w14:paraId="3082BEFD">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2、除草：掌握“除早、除小、除了”原则，绿地中应随时保持无杂草，保证草坪的纯净度。除草应尽量连根除掉。必要时在正确掌握和了解化学除草剂药理时，也可使用化学除草。但应先试验后使用，以不造成药害为度。</w:t>
      </w:r>
    </w:p>
    <w:p w14:paraId="2459BA5B">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补栽：</w:t>
      </w:r>
    </w:p>
    <w:p w14:paraId="558FE0FB">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1、补栽应按设计要求，使用同品种，同规格的苗木。补栽的苗木与已成形的苗木乔木胸径相差不能超过0.5cm ，灌木高度相差不能超过5cm，色块灌木高度相差不得超过10cm。</w:t>
      </w:r>
    </w:p>
    <w:p w14:paraId="1CCBF3D4">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2、补栽须及时，不得拖延，原则上自行确定补栽时间，当工程管理部门通知补栽时不得超过二周时间。</w:t>
      </w:r>
    </w:p>
    <w:p w14:paraId="4E4C8EAB">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3、补栽的植物须精心管理，保证成活，尽快达到同种植物标准。</w:t>
      </w:r>
    </w:p>
    <w:p w14:paraId="7EA1C102">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支柱、扶正：</w:t>
      </w:r>
    </w:p>
    <w:p w14:paraId="2DC7948E">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1、为避免树木倾斜和倒伏，扶正和支柱非常重要。</w:t>
      </w:r>
    </w:p>
    <w:p w14:paraId="3E3C7995">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2、支柱所用材料及方式自定，原则上以树木不倾斜为准。</w:t>
      </w:r>
    </w:p>
    <w:p w14:paraId="6A172814">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3、扶正支柱须及时，及时发现、及时支柱。采用铁丝作捆扎材料，一定时期应检查捆扎材料对树干有无伤害，如有伤害应及时拆除捆扎材料，另想他法。</w:t>
      </w:r>
    </w:p>
    <w:p w14:paraId="715C01AF">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绿地清洁卫生：</w:t>
      </w:r>
    </w:p>
    <w:p w14:paraId="45BF15C2">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1、随时保持绿地清洁、美观。</w:t>
      </w:r>
    </w:p>
    <w:p w14:paraId="4DA3AECE">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2、及时清除死树、枯枝。</w:t>
      </w:r>
    </w:p>
    <w:p w14:paraId="43249DB3">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3、及时清除垃圾、砖头、瓦块等</w:t>
      </w:r>
    </w:p>
    <w:p w14:paraId="4781B9BB">
      <w:pPr>
        <w:spacing w:line="360" w:lineRule="auto"/>
        <w:ind w:firstLine="420"/>
        <w:jc w:val="left"/>
        <w:rPr>
          <w:rFonts w:hint="eastAsia" w:ascii="仿宋" w:hAnsi="仿宋" w:eastAsia="仿宋" w:cs="仿宋"/>
          <w:color w:val="auto"/>
          <w:highlight w:val="none"/>
        </w:rPr>
      </w:pPr>
      <w:r>
        <w:rPr>
          <w:rFonts w:hint="eastAsia" w:ascii="仿宋" w:hAnsi="仿宋" w:eastAsia="仿宋" w:cs="仿宋"/>
          <w:color w:val="auto"/>
          <w:highlight w:val="none"/>
        </w:rPr>
        <w:t>4、及时清运剪下的草坪草。</w:t>
      </w:r>
    </w:p>
    <w:p w14:paraId="2E14FAF2">
      <w:pPr>
        <w:autoSpaceDE w:val="0"/>
        <w:autoSpaceDN w:val="0"/>
        <w:adjustRightInd/>
        <w:snapToGrid/>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5、清理出来的废弃物堆在绿地现场不得超过两天。</w:t>
      </w:r>
    </w:p>
    <w:p w14:paraId="2F9E4B27"/>
    <w:p w14:paraId="6E766B32">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textAlignment w:val="auto"/>
        <w:rPr>
          <w:rFonts w:hint="default" w:ascii="Times New Roman" w:hAnsi="Times New Roman" w:eastAsia="方正仿宋_GBK" w:cs="Times New Roman"/>
          <w:color w:val="auto"/>
          <w:sz w:val="32"/>
          <w:szCs w:val="32"/>
          <w:highlight w:val="none"/>
        </w:rPr>
      </w:pPr>
    </w:p>
    <w:p w14:paraId="7CAE8FD0"/>
    <w:p w14:paraId="4470A15E">
      <w:pPr>
        <w:spacing w:line="360" w:lineRule="auto"/>
        <w:jc w:val="left"/>
        <w:rPr>
          <w:rFonts w:hint="eastAsia" w:ascii="仿宋" w:hAnsi="仿宋" w:eastAsia="仿宋" w:cs="仿宋"/>
          <w:b/>
          <w:color w:val="auto"/>
          <w:highlight w:val="none"/>
        </w:rPr>
      </w:pPr>
    </w:p>
    <w:p w14:paraId="6BAFC9FD"/>
    <w:p w14:paraId="0D9099C0"/>
    <w:sectPr>
      <w:footerReference r:id="rId10" w:type="first"/>
      <w:footerReference r:id="rId9" w:type="default"/>
      <w:pgSz w:w="11906" w:h="16838"/>
      <w:pgMar w:top="1361" w:right="1247" w:bottom="1247" w:left="1474" w:header="1020" w:footer="794"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DFC7496-0D4E-46E0-BB8E-AEDA9405316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4A6BA8DB-F39B-4B87-ADD7-193EED6C0F5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74467F46-3591-454E-9374-89B1AFB14C3F}"/>
  </w:font>
  <w:font w:name="Cambria">
    <w:panose1 w:val="02040503050406030204"/>
    <w:charset w:val="00"/>
    <w:family w:val="roman"/>
    <w:pitch w:val="default"/>
    <w:sig w:usb0="E00006FF" w:usb1="420024FF" w:usb2="0200000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楷体à.ā">
    <w:altName w:val="黑体"/>
    <w:panose1 w:val="00000000000000000000"/>
    <w:charset w:val="86"/>
    <w:family w:val="decorative"/>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4" w:fontKey="{7E212F4A-035E-4053-B314-7905F1BD6D6C}"/>
  </w:font>
  <w:font w:name="Tahoma">
    <w:panose1 w:val="020B0604030504040204"/>
    <w:charset w:val="00"/>
    <w:family w:val="swiss"/>
    <w:pitch w:val="default"/>
    <w:sig w:usb0="E1002EFF" w:usb1="C000605B" w:usb2="00000029" w:usb3="00000000" w:csb0="200101FF" w:csb1="20280000"/>
    <w:embedRegular r:id="rId5" w:fontKey="{A8D4D17F-65AB-4841-8AE8-B4A646827143}"/>
  </w:font>
  <w:font w:name="MingLiU">
    <w:altName w:val="PMingLiU-ExtB"/>
    <w:panose1 w:val="02020509000000000000"/>
    <w:charset w:val="88"/>
    <w:family w:val="modern"/>
    <w:pitch w:val="default"/>
    <w:sig w:usb0="00000000" w:usb1="00000000" w:usb2="00000016" w:usb3="00000000" w:csb0="00100001" w:csb1="00000000"/>
    <w:embedRegular r:id="rId6" w:fontKey="{DA5F371C-9F3F-493F-806C-3666E4DCD65A}"/>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modern"/>
    <w:pitch w:val="default"/>
    <w:sig w:usb0="800002BF" w:usb1="38CF7CFA" w:usb2="00000016" w:usb3="00000000" w:csb0="00040001" w:csb1="00000000"/>
    <w:embedRegular r:id="rId7" w:fontKey="{D7F7CEF3-C8B3-4383-8488-FCED97575C8D}"/>
  </w:font>
  <w:font w:name="方正仿宋_GBK">
    <w:panose1 w:val="03000509000000000000"/>
    <w:charset w:val="86"/>
    <w:family w:val="auto"/>
    <w:pitch w:val="default"/>
    <w:sig w:usb0="00000001" w:usb1="080E0000" w:usb2="00000000" w:usb3="00000000" w:csb0="00040000" w:csb1="00000000"/>
    <w:embedRegular r:id="rId8" w:fontKey="{54DD90FE-F3EB-4470-8B88-9B01B36DCF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84937792"/>
    </w:sdtPr>
    <w:sdtContent>
      <w:p w14:paraId="59480A07">
        <w:pPr>
          <w:pStyle w:val="12"/>
          <w:jc w:val="center"/>
        </w:pPr>
        <w:r>
          <w:fldChar w:fldCharType="begin"/>
        </w:r>
        <w:r>
          <w:instrText xml:space="preserve">PAGE   \* MERGEFORMAT</w:instrText>
        </w:r>
        <w:r>
          <w:fldChar w:fldCharType="separate"/>
        </w:r>
        <w:r>
          <w:rPr>
            <w:lang w:val="zh-CN"/>
          </w:rPr>
          <w:t>13</w:t>
        </w:r>
        <w:r>
          <w:fldChar w:fldCharType="end"/>
        </w:r>
      </w:p>
    </w:sdtContent>
  </w:sdt>
  <w:p w14:paraId="4443DE48">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FED1C">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B0877">
    <w:pPr>
      <w:pStyle w:val="12"/>
      <w:jc w:val="center"/>
    </w:pPr>
    <w:r>
      <w:fldChar w:fldCharType="begin"/>
    </w:r>
    <w:r>
      <w:instrText xml:space="preserve">PAGE   \* MERGEFORMAT</w:instrText>
    </w:r>
    <w:r>
      <w:fldChar w:fldCharType="separate"/>
    </w:r>
    <w:r>
      <w:rPr>
        <w:lang w:val="zh-CN"/>
      </w:rPr>
      <w:t>81</w:t>
    </w:r>
    <w:r>
      <w:rPr>
        <w:lang w:val="zh-CN"/>
      </w:rPr>
      <w:fldChar w:fldCharType="end"/>
    </w:r>
  </w:p>
  <w:p w14:paraId="5B8DFD03">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2710A">
    <w:pPr>
      <w:pStyle w:val="12"/>
      <w:jc w:val="center"/>
    </w:pPr>
    <w:r>
      <w:rPr>
        <w:lang w:val="zh-CN"/>
      </w:rPr>
      <w:fldChar w:fldCharType="begin"/>
    </w:r>
    <w:r>
      <w:rPr>
        <w:lang w:val="zh-CN"/>
      </w:rPr>
      <w:instrText xml:space="preserve"> PAGE   \* MERGEFORMAT </w:instrText>
    </w:r>
    <w:r>
      <w:rPr>
        <w:lang w:val="zh-CN"/>
      </w:rPr>
      <w:fldChar w:fldCharType="separate"/>
    </w:r>
    <w:r>
      <w:rPr>
        <w:lang w:val="zh-CN"/>
      </w:rPr>
      <w:t>-</w:t>
    </w:r>
    <w:r>
      <w:t xml:space="preserve"> 66 -</w:t>
    </w:r>
    <w:r>
      <w:fldChar w:fldCharType="end"/>
    </w:r>
  </w:p>
  <w:p w14:paraId="2CC30D43">
    <w:pPr>
      <w:pStyle w:val="12"/>
      <w:rPr>
        <w:rFonts w:ascii="宋体"/>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7D63F">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83C133">
                          <w:pPr>
                            <w:pStyle w:val="12"/>
                          </w:pPr>
                          <w:r>
                            <w:fldChar w:fldCharType="begin"/>
                          </w:r>
                          <w:r>
                            <w:instrText xml:space="preserve"> PAGE  \* MERGEFORMAT </w:instrText>
                          </w:r>
                          <w:r>
                            <w:fldChar w:fldCharType="separate"/>
                          </w:r>
                          <w:r>
                            <w:t>68</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14:paraId="3F83C133">
                    <w:pPr>
                      <w:pStyle w:val="12"/>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8FA85">
    <w:pPr>
      <w:pStyle w:val="1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C1F5DF">
                          <w:pPr>
                            <w:pStyle w:val="12"/>
                          </w:pPr>
                          <w:r>
                            <w:fldChar w:fldCharType="begin"/>
                          </w:r>
                          <w:r>
                            <w:instrText xml:space="preserve"> PAGE  \* MERGEFORMAT </w:instrText>
                          </w:r>
                          <w:r>
                            <w:fldChar w:fldCharType="separate"/>
                          </w:r>
                          <w:r>
                            <w:t>69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14:paraId="06C1F5DF">
                    <w:pPr>
                      <w:pStyle w:val="12"/>
                    </w:pPr>
                    <w:r>
                      <w:fldChar w:fldCharType="begin"/>
                    </w:r>
                    <w:r>
                      <w:instrText xml:space="preserve"> PAGE  \* MERGEFORMAT </w:instrText>
                    </w:r>
                    <w:r>
                      <w:fldChar w:fldCharType="separate"/>
                    </w:r>
                    <w:r>
                      <w:t>69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5488C">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B604D">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BC7F81"/>
    <w:multiLevelType w:val="singleLevel"/>
    <w:tmpl w:val="88BC7F81"/>
    <w:lvl w:ilvl="0" w:tentative="0">
      <w:start w:val="1"/>
      <w:numFmt w:val="chineseCounting"/>
      <w:suff w:val="space"/>
      <w:lvlText w:val="第%1条"/>
      <w:lvlJc w:val="left"/>
      <w:rPr>
        <w:rFonts w:hint="eastAsia"/>
      </w:rPr>
    </w:lvl>
  </w:abstractNum>
  <w:abstractNum w:abstractNumId="1">
    <w:nsid w:val="8CBC7B0C"/>
    <w:multiLevelType w:val="singleLevel"/>
    <w:tmpl w:val="8CBC7B0C"/>
    <w:lvl w:ilvl="0" w:tentative="0">
      <w:start w:val="1"/>
      <w:numFmt w:val="decimal"/>
      <w:suff w:val="nothing"/>
      <w:lvlText w:val="%1．"/>
      <w:lvlJc w:val="left"/>
      <w:pPr>
        <w:ind w:left="0" w:firstLine="616"/>
      </w:pPr>
      <w:rPr>
        <w:rFonts w:hint="default"/>
      </w:rPr>
    </w:lvl>
  </w:abstractNum>
  <w:abstractNum w:abstractNumId="2">
    <w:nsid w:val="96D07BC3"/>
    <w:multiLevelType w:val="singleLevel"/>
    <w:tmpl w:val="96D07BC3"/>
    <w:lvl w:ilvl="0" w:tentative="0">
      <w:start w:val="1"/>
      <w:numFmt w:val="decimal"/>
      <w:suff w:val="nothing"/>
      <w:lvlText w:val="%1、"/>
      <w:lvlJc w:val="left"/>
    </w:lvl>
  </w:abstractNum>
  <w:abstractNum w:abstractNumId="3">
    <w:nsid w:val="A47C630C"/>
    <w:multiLevelType w:val="singleLevel"/>
    <w:tmpl w:val="A47C630C"/>
    <w:lvl w:ilvl="0" w:tentative="0">
      <w:start w:val="1"/>
      <w:numFmt w:val="decimal"/>
      <w:suff w:val="nothing"/>
      <w:lvlText w:val="%1．"/>
      <w:lvlJc w:val="left"/>
      <w:pPr>
        <w:ind w:left="0" w:firstLine="616"/>
      </w:pPr>
      <w:rPr>
        <w:rFonts w:hint="default"/>
      </w:rPr>
    </w:lvl>
  </w:abstractNum>
  <w:abstractNum w:abstractNumId="4">
    <w:nsid w:val="C25D9DE3"/>
    <w:multiLevelType w:val="singleLevel"/>
    <w:tmpl w:val="C25D9DE3"/>
    <w:lvl w:ilvl="0" w:tentative="0">
      <w:start w:val="1"/>
      <w:numFmt w:val="decimal"/>
      <w:suff w:val="nothing"/>
      <w:lvlText w:val="%1．"/>
      <w:lvlJc w:val="left"/>
      <w:pPr>
        <w:ind w:left="0" w:firstLine="616"/>
      </w:pPr>
      <w:rPr>
        <w:rFonts w:hint="default"/>
      </w:rPr>
    </w:lvl>
  </w:abstractNum>
  <w:abstractNum w:abstractNumId="5">
    <w:nsid w:val="CAB869A5"/>
    <w:multiLevelType w:val="singleLevel"/>
    <w:tmpl w:val="CAB869A5"/>
    <w:lvl w:ilvl="0" w:tentative="0">
      <w:start w:val="1"/>
      <w:numFmt w:val="decimal"/>
      <w:suff w:val="nothing"/>
      <w:lvlText w:val="%1．"/>
      <w:lvlJc w:val="left"/>
      <w:pPr>
        <w:ind w:left="0" w:firstLine="616"/>
      </w:pPr>
      <w:rPr>
        <w:rFonts w:hint="default"/>
      </w:rPr>
    </w:lvl>
  </w:abstractNum>
  <w:abstractNum w:abstractNumId="6">
    <w:nsid w:val="CBA0D297"/>
    <w:multiLevelType w:val="singleLevel"/>
    <w:tmpl w:val="CBA0D297"/>
    <w:lvl w:ilvl="0" w:tentative="0">
      <w:start w:val="1"/>
      <w:numFmt w:val="decimal"/>
      <w:suff w:val="nothing"/>
      <w:lvlText w:val="%1．"/>
      <w:lvlJc w:val="left"/>
      <w:pPr>
        <w:ind w:left="0" w:firstLine="616"/>
      </w:pPr>
      <w:rPr>
        <w:rFonts w:hint="default"/>
      </w:rPr>
    </w:lvl>
  </w:abstractNum>
  <w:abstractNum w:abstractNumId="7">
    <w:nsid w:val="D0810289"/>
    <w:multiLevelType w:val="singleLevel"/>
    <w:tmpl w:val="D0810289"/>
    <w:lvl w:ilvl="0" w:tentative="0">
      <w:start w:val="1"/>
      <w:numFmt w:val="decimal"/>
      <w:suff w:val="nothing"/>
      <w:lvlText w:val="%1．"/>
      <w:lvlJc w:val="left"/>
      <w:pPr>
        <w:ind w:left="0" w:firstLine="616"/>
      </w:pPr>
      <w:rPr>
        <w:rFonts w:hint="default"/>
      </w:rPr>
    </w:lvl>
  </w:abstractNum>
  <w:abstractNum w:abstractNumId="8">
    <w:nsid w:val="F726B12A"/>
    <w:multiLevelType w:val="singleLevel"/>
    <w:tmpl w:val="F726B12A"/>
    <w:lvl w:ilvl="0" w:tentative="0">
      <w:start w:val="1"/>
      <w:numFmt w:val="chineseCounting"/>
      <w:suff w:val="nothing"/>
      <w:lvlText w:val="第%1条　"/>
      <w:lvlJc w:val="left"/>
      <w:pPr>
        <w:ind w:left="0" w:firstLine="619"/>
      </w:pPr>
      <w:rPr>
        <w:rFonts w:hint="eastAsia"/>
      </w:rPr>
    </w:lvl>
  </w:abstractNum>
  <w:abstractNum w:abstractNumId="9">
    <w:nsid w:val="005D8EAD"/>
    <w:multiLevelType w:val="singleLevel"/>
    <w:tmpl w:val="005D8EAD"/>
    <w:lvl w:ilvl="0" w:tentative="0">
      <w:start w:val="1"/>
      <w:numFmt w:val="decimal"/>
      <w:suff w:val="nothing"/>
      <w:lvlText w:val="%1．"/>
      <w:lvlJc w:val="left"/>
      <w:pPr>
        <w:ind w:left="0" w:firstLine="616"/>
      </w:pPr>
      <w:rPr>
        <w:rFonts w:hint="default"/>
      </w:rPr>
    </w:lvl>
  </w:abstractNum>
  <w:abstractNum w:abstractNumId="10">
    <w:nsid w:val="13034C43"/>
    <w:multiLevelType w:val="singleLevel"/>
    <w:tmpl w:val="13034C43"/>
    <w:lvl w:ilvl="0" w:tentative="0">
      <w:start w:val="1"/>
      <w:numFmt w:val="decimal"/>
      <w:suff w:val="nothing"/>
      <w:lvlText w:val="%1．"/>
      <w:lvlJc w:val="left"/>
      <w:pPr>
        <w:ind w:left="0" w:firstLine="616"/>
      </w:pPr>
      <w:rPr>
        <w:rFonts w:hint="default"/>
      </w:rPr>
    </w:lvl>
  </w:abstractNum>
  <w:abstractNum w:abstractNumId="11">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3"/>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2">
    <w:nsid w:val="5ADD4D04"/>
    <w:multiLevelType w:val="singleLevel"/>
    <w:tmpl w:val="5ADD4D04"/>
    <w:lvl w:ilvl="0" w:tentative="0">
      <w:start w:val="1"/>
      <w:numFmt w:val="chineseCounting"/>
      <w:suff w:val="space"/>
      <w:lvlText w:val="第%1条"/>
      <w:lvlJc w:val="left"/>
    </w:lvl>
  </w:abstractNum>
  <w:abstractNum w:abstractNumId="13">
    <w:nsid w:val="60AE39CC"/>
    <w:multiLevelType w:val="multilevel"/>
    <w:tmpl w:val="60AE39CC"/>
    <w:lvl w:ilvl="0" w:tentative="0">
      <w:start w:val="1"/>
      <w:numFmt w:val="none"/>
      <w:pStyle w:val="2"/>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lvlText w:val="           "/>
      <w:lvlJc w:val="left"/>
      <w:pPr>
        <w:tabs>
          <w:tab w:val="left" w:pos="1440"/>
        </w:tabs>
        <w:ind w:left="1152" w:hanging="1152"/>
      </w:pPr>
      <w:rPr>
        <w:rFonts w:hint="eastAsia"/>
      </w:rPr>
    </w:lvl>
    <w:lvl w:ilvl="6" w:tentative="0">
      <w:start w:val="1"/>
      <w:numFmt w:val="decimal"/>
      <w:lvlText w:val="%1.%2.%3.%4.%5.%6.%7"/>
      <w:lvlJc w:val="left"/>
      <w:pPr>
        <w:tabs>
          <w:tab w:val="left" w:pos="2520"/>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4">
    <w:nsid w:val="61492502"/>
    <w:multiLevelType w:val="singleLevel"/>
    <w:tmpl w:val="61492502"/>
    <w:lvl w:ilvl="0" w:tentative="0">
      <w:start w:val="4"/>
      <w:numFmt w:val="chineseCounting"/>
      <w:lvlText w:val="%1."/>
      <w:lvlJc w:val="left"/>
      <w:pPr>
        <w:tabs>
          <w:tab w:val="left" w:pos="312"/>
        </w:tabs>
      </w:pPr>
      <w:rPr>
        <w:rFonts w:hint="eastAsia"/>
      </w:rPr>
    </w:lvl>
  </w:abstractNum>
  <w:abstractNum w:abstractNumId="15">
    <w:nsid w:val="6A81A5E4"/>
    <w:multiLevelType w:val="singleLevel"/>
    <w:tmpl w:val="6A81A5E4"/>
    <w:lvl w:ilvl="0" w:tentative="0">
      <w:start w:val="1"/>
      <w:numFmt w:val="decimal"/>
      <w:suff w:val="nothing"/>
      <w:lvlText w:val="%1．"/>
      <w:lvlJc w:val="left"/>
      <w:pPr>
        <w:ind w:left="0" w:firstLine="616"/>
      </w:pPr>
      <w:rPr>
        <w:rFonts w:hint="default"/>
      </w:rPr>
    </w:lvl>
  </w:abstractNum>
  <w:abstractNum w:abstractNumId="16">
    <w:nsid w:val="6C1D755D"/>
    <w:multiLevelType w:val="multilevel"/>
    <w:tmpl w:val="6C1D755D"/>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7">
    <w:nsid w:val="71B8CB41"/>
    <w:multiLevelType w:val="singleLevel"/>
    <w:tmpl w:val="71B8CB41"/>
    <w:lvl w:ilvl="0" w:tentative="0">
      <w:start w:val="1"/>
      <w:numFmt w:val="decimal"/>
      <w:suff w:val="nothing"/>
      <w:lvlText w:val="%1．"/>
      <w:lvlJc w:val="left"/>
      <w:pPr>
        <w:ind w:left="0" w:firstLine="616"/>
      </w:pPr>
      <w:rPr>
        <w:rFonts w:hint="default"/>
      </w:rPr>
    </w:lvl>
  </w:abstractNum>
  <w:num w:numId="1">
    <w:abstractNumId w:val="13"/>
  </w:num>
  <w:num w:numId="2">
    <w:abstractNumId w:val="11"/>
  </w:num>
  <w:num w:numId="3">
    <w:abstractNumId w:val="2"/>
  </w:num>
  <w:num w:numId="4">
    <w:abstractNumId w:val="16"/>
  </w:num>
  <w:num w:numId="5">
    <w:abstractNumId w:val="8"/>
  </w:num>
  <w:num w:numId="6">
    <w:abstractNumId w:val="4"/>
  </w:num>
  <w:num w:numId="7">
    <w:abstractNumId w:val="3"/>
  </w:num>
  <w:num w:numId="8">
    <w:abstractNumId w:val="7"/>
  </w:num>
  <w:num w:numId="9">
    <w:abstractNumId w:val="9"/>
  </w:num>
  <w:num w:numId="10">
    <w:abstractNumId w:val="17"/>
  </w:num>
  <w:num w:numId="11">
    <w:abstractNumId w:val="15"/>
  </w:num>
  <w:num w:numId="12">
    <w:abstractNumId w:val="10"/>
  </w:num>
  <w:num w:numId="13">
    <w:abstractNumId w:val="5"/>
  </w:num>
  <w:num w:numId="14">
    <w:abstractNumId w:val="6"/>
  </w:num>
  <w:num w:numId="15">
    <w:abstractNumId w:val="1"/>
  </w:num>
  <w:num w:numId="16">
    <w:abstractNumId w:val="0"/>
  </w:num>
  <w:num w:numId="17">
    <w:abstractNumId w:val="1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C131E3"/>
    <w:rsid w:val="05DB7E28"/>
    <w:rsid w:val="08C131E3"/>
    <w:rsid w:val="0F235DBF"/>
    <w:rsid w:val="12B9739B"/>
    <w:rsid w:val="23815DF5"/>
    <w:rsid w:val="30415BDE"/>
    <w:rsid w:val="327767BB"/>
    <w:rsid w:val="3BE94FB3"/>
    <w:rsid w:val="481D3566"/>
    <w:rsid w:val="5A183E9D"/>
    <w:rsid w:val="623661B7"/>
    <w:rsid w:val="7C076D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widowControl/>
      <w:numPr>
        <w:ilvl w:val="0"/>
        <w:numId w:val="1"/>
      </w:numPr>
      <w:jc w:val="center"/>
      <w:outlineLvl w:val="0"/>
    </w:pPr>
    <w:rPr>
      <w:rFonts w:ascii="黑体" w:eastAsia="黑体"/>
      <w:kern w:val="0"/>
      <w:sz w:val="52"/>
      <w:szCs w:val="20"/>
    </w:rPr>
  </w:style>
  <w:style w:type="paragraph" w:styleId="3">
    <w:name w:val="heading 2"/>
    <w:basedOn w:val="1"/>
    <w:next w:val="1"/>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9"/>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Cambria" w:hAnsi="Cambria"/>
      <w:b/>
      <w:bCs/>
      <w:sz w:val="28"/>
      <w:szCs w:val="28"/>
    </w:rPr>
  </w:style>
  <w:style w:type="paragraph" w:styleId="6">
    <w:name w:val="heading 5"/>
    <w:basedOn w:val="1"/>
    <w:next w:val="1"/>
    <w:qFormat/>
    <w:uiPriority w:val="0"/>
    <w:pPr>
      <w:keepNext/>
      <w:keepLines/>
      <w:spacing w:before="280" w:after="290" w:line="372" w:lineRule="auto"/>
      <w:outlineLvl w:val="4"/>
    </w:pPr>
    <w:rPr>
      <w:b/>
      <w:sz w:val="28"/>
      <w:szCs w:val="20"/>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99"/>
    <w:pPr>
      <w:ind w:firstLine="420" w:firstLineChars="200"/>
    </w:pPr>
    <w:rPr>
      <w:kern w:val="0"/>
      <w:sz w:val="24"/>
      <w:szCs w:val="20"/>
    </w:rPr>
  </w:style>
  <w:style w:type="paragraph" w:styleId="8">
    <w:name w:val="annotation text"/>
    <w:basedOn w:val="1"/>
    <w:qFormat/>
    <w:uiPriority w:val="0"/>
    <w:pPr>
      <w:jc w:val="left"/>
    </w:pPr>
  </w:style>
  <w:style w:type="paragraph" w:styleId="9">
    <w:name w:val="Body Text"/>
    <w:basedOn w:val="1"/>
    <w:qFormat/>
    <w:uiPriority w:val="0"/>
    <w:pPr>
      <w:spacing w:after="120"/>
    </w:pPr>
  </w:style>
  <w:style w:type="paragraph" w:styleId="10">
    <w:name w:val="Body Text Indent"/>
    <w:basedOn w:val="1"/>
    <w:qFormat/>
    <w:uiPriority w:val="0"/>
    <w:pPr>
      <w:ind w:firstLine="630"/>
    </w:pPr>
    <w:rPr>
      <w:sz w:val="32"/>
      <w:szCs w:val="20"/>
    </w:rPr>
  </w:style>
  <w:style w:type="paragraph" w:styleId="11">
    <w:name w:val="Plain Text"/>
    <w:basedOn w:val="1"/>
    <w:qFormat/>
    <w:uiPriority w:val="0"/>
    <w:pPr>
      <w:autoSpaceDE w:val="0"/>
      <w:autoSpaceDN w:val="0"/>
      <w:adjustRightInd w:val="0"/>
    </w:pPr>
    <w:rPr>
      <w:rFonts w:ascii="宋体" w:hAnsi="Tms Rmn"/>
      <w:szCs w:val="22"/>
    </w:r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line="480" w:lineRule="auto"/>
    </w:pPr>
    <w:rPr>
      <w:sz w:val="24"/>
      <w:szCs w:val="20"/>
    </w:rPr>
  </w:style>
  <w:style w:type="paragraph" w:styleId="15">
    <w:name w:val="Subtitle"/>
    <w:basedOn w:val="1"/>
    <w:next w:val="1"/>
    <w:qFormat/>
    <w:uiPriority w:val="11"/>
    <w:pPr>
      <w:spacing w:before="240" w:after="60" w:line="312" w:lineRule="auto"/>
      <w:jc w:val="center"/>
      <w:outlineLvl w:val="1"/>
    </w:pPr>
    <w:rPr>
      <w:rFonts w:ascii="Cambria" w:hAnsi="Cambria" w:eastAsia="微软雅黑"/>
      <w:b/>
      <w:bCs/>
      <w:kern w:val="28"/>
      <w:sz w:val="32"/>
      <w:szCs w:val="32"/>
    </w:rPr>
  </w:style>
  <w:style w:type="paragraph" w:styleId="16">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17">
    <w:name w:val="Title"/>
    <w:basedOn w:val="1"/>
    <w:next w:val="1"/>
    <w:qFormat/>
    <w:uiPriority w:val="10"/>
    <w:pPr>
      <w:spacing w:before="240" w:after="60"/>
      <w:jc w:val="center"/>
      <w:outlineLvl w:val="0"/>
    </w:pPr>
    <w:rPr>
      <w:rFonts w:ascii="Cambria" w:hAnsi="Cambria" w:eastAsia="微软雅黑"/>
      <w:b/>
      <w:bCs/>
      <w:sz w:val="32"/>
      <w:szCs w:val="32"/>
    </w:rPr>
  </w:style>
  <w:style w:type="table" w:styleId="19">
    <w:name w:val="Table Grid"/>
    <w:basedOn w:val="1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Hyperlink"/>
    <w:qFormat/>
    <w:uiPriority w:val="99"/>
    <w:rPr>
      <w:rFonts w:cs="Times New Roman"/>
      <w:color w:val="0000FF"/>
      <w:u w:val="single"/>
    </w:rPr>
  </w:style>
  <w:style w:type="character" w:styleId="22">
    <w:name w:val="annotation reference"/>
    <w:qFormat/>
    <w:uiPriority w:val="99"/>
    <w:rPr>
      <w:rFonts w:cs="Times New Roman"/>
      <w:sz w:val="21"/>
      <w:szCs w:val="21"/>
    </w:rPr>
  </w:style>
  <w:style w:type="paragraph" w:customStyle="1" w:styleId="23">
    <w:name w:val="标题 5（有编号）（绿盟科技）"/>
    <w:basedOn w:val="1"/>
    <w:next w:val="24"/>
    <w:qFormat/>
    <w:uiPriority w:val="0"/>
    <w:pPr>
      <w:keepNext/>
      <w:keepLines/>
      <w:numPr>
        <w:ilvl w:val="4"/>
        <w:numId w:val="2"/>
      </w:numPr>
      <w:spacing w:before="280" w:after="156" w:line="377" w:lineRule="auto"/>
      <w:jc w:val="left"/>
      <w:outlineLvl w:val="4"/>
    </w:pPr>
    <w:rPr>
      <w:rFonts w:ascii="Arial" w:hAnsi="Arial" w:eastAsia="黑体"/>
      <w:b/>
      <w:kern w:val="0"/>
      <w:sz w:val="24"/>
      <w:szCs w:val="28"/>
    </w:rPr>
  </w:style>
  <w:style w:type="paragraph" w:customStyle="1" w:styleId="24">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25">
    <w:name w:val="正文首行缩进两字符"/>
    <w:basedOn w:val="1"/>
    <w:qFormat/>
    <w:uiPriority w:val="99"/>
    <w:pPr>
      <w:spacing w:line="360" w:lineRule="auto"/>
      <w:ind w:firstLine="200" w:firstLineChars="200"/>
    </w:pPr>
  </w:style>
  <w:style w:type="paragraph" w:customStyle="1" w:styleId="26">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7">
    <w:name w:val="正文1"/>
    <w:qFormat/>
    <w:uiPriority w:val="99"/>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styleId="28">
    <w:name w:val="List Paragraph"/>
    <w:basedOn w:val="1"/>
    <w:qFormat/>
    <w:uiPriority w:val="99"/>
    <w:pPr>
      <w:ind w:firstLine="420" w:firstLineChars="200"/>
    </w:pPr>
    <w:rPr>
      <w:kern w:val="0"/>
      <w:sz w:val="24"/>
      <w:szCs w:val="20"/>
    </w:rPr>
  </w:style>
  <w:style w:type="paragraph" w:customStyle="1" w:styleId="29">
    <w:name w:val="_Style 3"/>
    <w:basedOn w:val="1"/>
    <w:qFormat/>
    <w:uiPriority w:val="0"/>
    <w:pPr>
      <w:widowControl/>
      <w:ind w:left="720"/>
      <w:contextualSpacing/>
      <w:jc w:val="left"/>
    </w:pPr>
    <w:rPr>
      <w:kern w:val="0"/>
      <w:sz w:val="24"/>
      <w:lang w:eastAsia="en-US" w:bidi="en-US"/>
    </w:rPr>
  </w:style>
  <w:style w:type="paragraph" w:styleId="30">
    <w:name w:val="Quote"/>
    <w:basedOn w:val="1"/>
    <w:next w:val="1"/>
    <w:qFormat/>
    <w:uiPriority w:val="0"/>
    <w:rPr>
      <w:rFonts w:asciiTheme="minorHAnsi" w:hAnsiTheme="minorHAnsi" w:eastAsiaTheme="minorEastAsia" w:cstheme="minorBidi"/>
      <w:i/>
      <w:iCs/>
      <w:color w:val="000000"/>
      <w:szCs w:val="22"/>
    </w:rPr>
  </w:style>
  <w:style w:type="character" w:customStyle="1" w:styleId="31">
    <w:name w:val="gonggao-downline1"/>
    <w:qFormat/>
    <w:uiPriority w:val="99"/>
    <w:rPr>
      <w:b/>
      <w:u w:val="single"/>
    </w:rPr>
  </w:style>
  <w:style w:type="paragraph" w:customStyle="1" w:styleId="32">
    <w:name w:val="表格标题"/>
    <w:basedOn w:val="1"/>
    <w:qFormat/>
    <w:uiPriority w:val="0"/>
    <w:pPr>
      <w:spacing w:before="100" w:beforeLines="100" w:after="100" w:afterLines="100"/>
      <w:jc w:val="center"/>
    </w:pPr>
    <w:rPr>
      <w:rFonts w:ascii="Calibri" w:hAnsi="Calibri"/>
      <w:b/>
      <w:sz w:val="44"/>
    </w:rPr>
  </w:style>
  <w:style w:type="paragraph" w:customStyle="1" w:styleId="33">
    <w:name w:val="Blockquote"/>
    <w:basedOn w:val="1"/>
    <w:qFormat/>
    <w:uiPriority w:val="0"/>
    <w:pPr>
      <w:autoSpaceDE w:val="0"/>
      <w:autoSpaceDN w:val="0"/>
      <w:adjustRightInd w:val="0"/>
      <w:spacing w:before="100" w:after="100"/>
      <w:ind w:left="360"/>
    </w:pPr>
    <w:rPr>
      <w:kern w:val="0"/>
      <w:sz w:val="24"/>
      <w:szCs w:val="20"/>
    </w:rPr>
  </w:style>
  <w:style w:type="paragraph" w:customStyle="1" w:styleId="34">
    <w:name w:val="Default"/>
    <w:qFormat/>
    <w:uiPriority w:val="0"/>
    <w:pPr>
      <w:widowControl w:val="0"/>
      <w:autoSpaceDE w:val="0"/>
      <w:autoSpaceDN w:val="0"/>
      <w:adjustRightInd w:val="0"/>
    </w:pPr>
    <w:rPr>
      <w:rFonts w:ascii="楷体à.ā" w:hAnsi="Times New Roman" w:eastAsia="楷体à.ā" w:cs="Times New Roman"/>
      <w:color w:val="000000"/>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5.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oleObject" Target="embeddings/oleObject4.bin"/><Relationship Id="rId17" Type="http://schemas.openxmlformats.org/officeDocument/2006/relationships/image" Target="media/image3.wmf"/><Relationship Id="rId16" Type="http://schemas.openxmlformats.org/officeDocument/2006/relationships/oleObject" Target="embeddings/oleObject3.bin"/><Relationship Id="rId15" Type="http://schemas.openxmlformats.org/officeDocument/2006/relationships/image" Target="media/image2.wmf"/><Relationship Id="rId14" Type="http://schemas.openxmlformats.org/officeDocument/2006/relationships/oleObject" Target="embeddings/oleObject2.bin"/><Relationship Id="rId13" Type="http://schemas.openxmlformats.org/officeDocument/2006/relationships/image" Target="media/image1.w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139</Pages>
  <Words>24451</Words>
  <Characters>25406</Characters>
  <Lines>0</Lines>
  <Paragraphs>0</Paragraphs>
  <TotalTime>13</TotalTime>
  <ScaleCrop>false</ScaleCrop>
  <LinksUpToDate>false</LinksUpToDate>
  <CharactersWithSpaces>25617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2025-09-25T02:50:00Z</dcterms:created>
  <dc:creator>毛</dc:creator>
  <cp:lastModifiedBy>毛</cp:lastModifiedBy>
  <dcterms:modified xsi:type="dcterms:W3CDTF">2025-10-10T07:33:20Z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23B9AE9893614B9EB0F54443C1092943_13</vt:lpwstr>
  </property>
  <property fmtid="{D5CDD505-2E9C-101B-9397-08002B2CF9AE}" pid="4" name="KSOTemplateDocerSaveRecord">
    <vt:lpwstr>eyJoZGlkIjoiZWQwNGUyYjE2ODg0NTAwOTY4YTIzM2FkZGY1NzAzOWUiLCJ1c2VySWQiOiI1MTA1MjE2MTMifQ==</vt:lpwstr>
  </property>
</Properties>
</file>