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B7B15">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55EC96A4">
      <w:pPr>
        <w:jc w:val="center"/>
        <w:rPr>
          <w:rFonts w:hint="eastAsia" w:ascii="华文中宋" w:hAnsi="华文中宋" w:eastAsia="华文中宋"/>
          <w:b/>
          <w:color w:val="auto"/>
          <w:sz w:val="48"/>
          <w:szCs w:val="48"/>
        </w:rPr>
      </w:pPr>
      <w:r>
        <w:rPr>
          <w:rFonts w:hint="eastAsia" w:ascii="华文中宋" w:hAnsi="华文中宋" w:eastAsia="华文中宋"/>
          <w:b/>
          <w:color w:val="auto"/>
          <w:sz w:val="48"/>
          <w:szCs w:val="48"/>
        </w:rPr>
        <w:t>金堂县第一人民医院</w:t>
      </w:r>
    </w:p>
    <w:p w14:paraId="62D41302">
      <w:pPr>
        <w:jc w:val="center"/>
        <w:rPr>
          <w:rFonts w:hint="eastAsia" w:ascii="华文中宋" w:hAnsi="华文中宋" w:eastAsia="华文中宋" w:cs="Times New Roman"/>
          <w:b/>
          <w:color w:val="auto"/>
          <w:sz w:val="48"/>
          <w:szCs w:val="48"/>
          <w:lang w:val="en-US" w:eastAsia="zh-CN"/>
        </w:rPr>
      </w:pPr>
      <w:r>
        <w:rPr>
          <w:rFonts w:hint="eastAsia" w:ascii="华文中宋" w:hAnsi="华文中宋" w:eastAsia="华文中宋" w:cs="Times New Roman"/>
          <w:b/>
          <w:color w:val="auto"/>
          <w:sz w:val="48"/>
          <w:szCs w:val="48"/>
        </w:rPr>
        <w:t>弱电安防系统维护保养服务</w:t>
      </w:r>
      <w:r>
        <w:rPr>
          <w:rFonts w:hint="eastAsia" w:ascii="华文中宋" w:hAnsi="华文中宋" w:eastAsia="华文中宋" w:cs="Times New Roman"/>
          <w:b/>
          <w:color w:val="auto"/>
          <w:sz w:val="48"/>
          <w:szCs w:val="48"/>
          <w:lang w:val="en-US" w:eastAsia="zh-CN"/>
        </w:rPr>
        <w:t>采购项目</w:t>
      </w:r>
    </w:p>
    <w:p w14:paraId="662B3706">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rPr>
        <w:t>比 选 文 件</w:t>
      </w:r>
    </w:p>
    <w:p w14:paraId="4B4CB713">
      <w:pPr>
        <w:jc w:val="center"/>
        <w:rPr>
          <w:rFonts w:ascii="华文中宋" w:hAnsi="华文中宋" w:eastAsia="华文中宋" w:cs="Tahoma"/>
          <w:b/>
          <w:color w:val="auto"/>
          <w:sz w:val="32"/>
          <w:szCs w:val="32"/>
          <w:shd w:val="clear" w:color="auto" w:fill="FFFFFF"/>
        </w:rPr>
      </w:pPr>
    </w:p>
    <w:p w14:paraId="79BDD86D">
      <w:pPr>
        <w:jc w:val="center"/>
        <w:rPr>
          <w:rFonts w:ascii="华文中宋" w:hAnsi="华文中宋" w:eastAsia="华文中宋" w:cs="Tahoma"/>
          <w:b/>
          <w:color w:val="auto"/>
          <w:sz w:val="32"/>
          <w:szCs w:val="32"/>
          <w:shd w:val="clear" w:color="auto" w:fill="FFFFFF"/>
        </w:rPr>
      </w:pPr>
    </w:p>
    <w:p w14:paraId="3908FC85">
      <w:pPr>
        <w:jc w:val="center"/>
        <w:rPr>
          <w:rFonts w:ascii="华文中宋" w:hAnsi="华文中宋" w:eastAsia="华文中宋" w:cs="Tahoma"/>
          <w:b/>
          <w:color w:val="auto"/>
          <w:sz w:val="32"/>
          <w:szCs w:val="32"/>
          <w:shd w:val="clear" w:color="auto" w:fill="FFFFFF"/>
        </w:rPr>
      </w:pPr>
    </w:p>
    <w:p w14:paraId="0AC4CAE6">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eastAsia="zh-CN"/>
        </w:rPr>
        <w:t>HXJTYY-CG-20250</w:t>
      </w:r>
      <w:r>
        <w:rPr>
          <w:rFonts w:hint="eastAsia" w:ascii="华文中宋" w:hAnsi="华文中宋" w:eastAsia="华文中宋" w:cs="Tahoma"/>
          <w:b/>
          <w:color w:val="auto"/>
          <w:sz w:val="32"/>
          <w:szCs w:val="32"/>
          <w:shd w:val="clear" w:color="auto" w:fill="FFFFFF"/>
          <w:lang w:val="en-US" w:eastAsia="zh-CN"/>
        </w:rPr>
        <w:t>24</w:t>
      </w:r>
    </w:p>
    <w:p w14:paraId="438C42ED">
      <w:pPr>
        <w:rPr>
          <w:rFonts w:ascii="华文中宋" w:hAnsi="华文中宋" w:eastAsia="华文中宋"/>
          <w:b/>
          <w:color w:val="auto"/>
          <w:sz w:val="72"/>
          <w:szCs w:val="72"/>
        </w:rPr>
      </w:pPr>
    </w:p>
    <w:p w14:paraId="0707F34A">
      <w:pPr>
        <w:jc w:val="center"/>
        <w:rPr>
          <w:rFonts w:ascii="华文中宋" w:hAnsi="华文中宋" w:eastAsia="华文中宋"/>
          <w:b/>
          <w:color w:val="auto"/>
          <w:sz w:val="32"/>
          <w:szCs w:val="32"/>
        </w:rPr>
      </w:pPr>
    </w:p>
    <w:p w14:paraId="325D6996">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比选人：金堂县第一人民医院</w:t>
      </w:r>
    </w:p>
    <w:p w14:paraId="193F83FA">
      <w:pPr>
        <w:tabs>
          <w:tab w:val="left" w:pos="2640"/>
          <w:tab w:val="left" w:pos="6240"/>
        </w:tabs>
        <w:autoSpaceDE w:val="0"/>
        <w:autoSpaceDN w:val="0"/>
        <w:adjustRightInd w:val="0"/>
        <w:spacing w:line="360" w:lineRule="auto"/>
        <w:ind w:right="-248"/>
        <w:jc w:val="center"/>
        <w:rPr>
          <w:rFonts w:hint="eastAsia" w:ascii="Arial" w:hAnsi="Arial"/>
          <w:color w:val="auto"/>
          <w:kern w:val="0"/>
          <w:sz w:val="36"/>
          <w:u w:val="single"/>
        </w:rPr>
      </w:pPr>
      <w:r>
        <w:rPr>
          <w:rFonts w:hint="eastAsia"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08</w:t>
      </w:r>
      <w:r>
        <w:rPr>
          <w:rFonts w:hint="eastAsia" w:ascii="华文中宋" w:hAnsi="华文中宋" w:eastAsia="华文中宋"/>
          <w:b/>
          <w:color w:val="auto"/>
          <w:sz w:val="32"/>
          <w:szCs w:val="32"/>
        </w:rPr>
        <w:t>月</w:t>
      </w:r>
    </w:p>
    <w:p w14:paraId="51B7D3E9">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w:t>
      </w:r>
      <w:r>
        <w:rPr>
          <w:rFonts w:hint="eastAsia" w:ascii="华文中宋" w:hAnsi="华文中宋" w:eastAsia="华文中宋"/>
          <w:b/>
          <w:bCs/>
          <w:color w:val="auto"/>
          <w:sz w:val="36"/>
        </w:rPr>
        <w:t xml:space="preserve">  </w:t>
      </w:r>
      <w:r>
        <w:rPr>
          <w:rFonts w:ascii="华文中宋" w:hAnsi="华文中宋" w:eastAsia="华文中宋"/>
          <w:b/>
          <w:bCs/>
          <w:color w:val="auto"/>
          <w:sz w:val="36"/>
        </w:rPr>
        <w:t>录</w:t>
      </w:r>
    </w:p>
    <w:p w14:paraId="06F9682B">
      <w:pPr>
        <w:pStyle w:val="30"/>
        <w:tabs>
          <w:tab w:val="right" w:leader="dot" w:pos="9638"/>
        </w:tabs>
        <w:jc w:val="both"/>
        <w:rPr>
          <w:rFonts w:ascii="华文中宋" w:hAnsi="华文中宋" w:eastAsia="华文中宋" w:cs="宋体"/>
          <w:color w:val="auto"/>
          <w:sz w:val="28"/>
          <w:szCs w:val="28"/>
        </w:rPr>
      </w:pP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TOC \o "1-3" \h \z \u </w:instrText>
      </w:r>
      <w:r>
        <w:rPr>
          <w:rFonts w:hint="eastAsia" w:ascii="华文中宋" w:hAnsi="华文中宋" w:eastAsia="华文中宋" w:cs="宋体"/>
          <w:color w:val="auto"/>
          <w:sz w:val="28"/>
          <w:szCs w:val="28"/>
        </w:rPr>
        <w:fldChar w:fldCharType="separate"/>
      </w:r>
      <w:r>
        <w:rPr>
          <w:color w:val="auto"/>
        </w:rPr>
        <w:fldChar w:fldCharType="begin"/>
      </w:r>
      <w:r>
        <w:rPr>
          <w:color w:val="auto"/>
        </w:rPr>
        <w:instrText xml:space="preserve"> HYPERLINK \l "_Toc22802" </w:instrText>
      </w:r>
      <w:r>
        <w:rPr>
          <w:color w:val="auto"/>
        </w:rPr>
        <w:fldChar w:fldCharType="separate"/>
      </w:r>
      <w:r>
        <w:rPr>
          <w:rFonts w:hint="eastAsia" w:ascii="华文中宋" w:hAnsi="华文中宋" w:eastAsia="华文中宋" w:cs="宋体"/>
          <w:color w:val="auto"/>
          <w:sz w:val="28"/>
          <w:szCs w:val="28"/>
        </w:rPr>
        <w:t>第一章  比选公告</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_Toc22802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3</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005F167">
      <w:pPr>
        <w:pStyle w:val="30"/>
        <w:tabs>
          <w:tab w:val="right" w:leader="dot" w:pos="9638"/>
        </w:tabs>
        <w:jc w:val="both"/>
        <w:rPr>
          <w:rFonts w:ascii="华文中宋" w:hAnsi="华文中宋" w:eastAsia="华文中宋" w:cs="宋体"/>
          <w:color w:val="auto"/>
          <w:sz w:val="28"/>
          <w:szCs w:val="28"/>
        </w:rPr>
      </w:pPr>
      <w:r>
        <w:rPr>
          <w:color w:val="auto"/>
        </w:rPr>
        <w:fldChar w:fldCharType="begin"/>
      </w:r>
      <w:r>
        <w:rPr>
          <w:color w:val="auto"/>
        </w:rPr>
        <w:instrText xml:space="preserve"> HYPERLINK \l "_Toc30467" </w:instrText>
      </w:r>
      <w:r>
        <w:rPr>
          <w:color w:val="auto"/>
        </w:rPr>
        <w:fldChar w:fldCharType="separate"/>
      </w:r>
      <w:r>
        <w:rPr>
          <w:rFonts w:hint="eastAsia" w:ascii="华文中宋" w:hAnsi="华文中宋" w:eastAsia="华文中宋" w:cs="宋体"/>
          <w:color w:val="auto"/>
          <w:sz w:val="28"/>
          <w:szCs w:val="28"/>
        </w:rPr>
        <w:t>第二章  比选须知</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_Toc30467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5</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A1E4097">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"_Toc4211" </w:instrText>
      </w:r>
      <w:r>
        <w:rPr>
          <w:color w:val="auto"/>
        </w:rPr>
        <w:fldChar w:fldCharType="separate"/>
      </w:r>
      <w:r>
        <w:rPr>
          <w:rFonts w:hint="eastAsia" w:ascii="华文中宋" w:hAnsi="华文中宋" w:eastAsia="华文中宋" w:cs="宋体"/>
          <w:color w:val="auto"/>
          <w:sz w:val="28"/>
          <w:szCs w:val="28"/>
        </w:rPr>
        <w:t>第三章  比选申请</w:t>
      </w:r>
      <w:bookmarkStart w:id="1" w:name="_Hlt490202155"/>
      <w:bookmarkStart w:id="2" w:name="_Hlt490202769"/>
      <w:r>
        <w:rPr>
          <w:rFonts w:hint="eastAsia" w:ascii="华文中宋" w:hAnsi="华文中宋" w:eastAsia="华文中宋" w:cs="宋体"/>
          <w:color w:val="auto"/>
          <w:sz w:val="28"/>
          <w:szCs w:val="28"/>
        </w:rPr>
        <w:t>文</w:t>
      </w:r>
      <w:bookmarkEnd w:id="1"/>
      <w:bookmarkEnd w:id="2"/>
      <w:r>
        <w:rPr>
          <w:rFonts w:hint="eastAsia" w:ascii="华文中宋" w:hAnsi="华文中宋" w:eastAsia="华文中宋" w:cs="宋体"/>
          <w:color w:val="auto"/>
          <w:sz w:val="28"/>
          <w:szCs w:val="28"/>
        </w:rPr>
        <w:t>件格式</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_Toc4211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14</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7C5A098">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"_Toc31849" </w:instrText>
      </w:r>
      <w:r>
        <w:rPr>
          <w:color w:val="auto"/>
        </w:rPr>
        <w:fldChar w:fldCharType="separate"/>
      </w:r>
      <w:r>
        <w:rPr>
          <w:rFonts w:hint="eastAsia" w:ascii="华文中宋" w:hAnsi="华文中宋" w:eastAsia="华文中宋" w:cs="宋体"/>
          <w:color w:val="auto"/>
          <w:sz w:val="28"/>
          <w:szCs w:val="28"/>
        </w:rPr>
        <w:t>第四章  比选需求</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_Toc31849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3FDF85F5">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"_Toc10491" </w:instrText>
      </w:r>
      <w:r>
        <w:rPr>
          <w:color w:val="auto"/>
        </w:rPr>
        <w:fldChar w:fldCharType="separate"/>
      </w:r>
      <w:r>
        <w:rPr>
          <w:rFonts w:hint="eastAsia" w:ascii="华文中宋" w:hAnsi="华文中宋" w:eastAsia="华文中宋" w:cs="宋体"/>
          <w:color w:val="auto"/>
          <w:sz w:val="28"/>
          <w:szCs w:val="28"/>
        </w:rPr>
        <w:t>第五章  评</w:t>
      </w:r>
      <w:bookmarkStart w:id="3" w:name="_Hlt514848593"/>
      <w:bookmarkStart w:id="4" w:name="_Hlt514848594"/>
      <w:r>
        <w:rPr>
          <w:rFonts w:hint="eastAsia" w:ascii="华文中宋" w:hAnsi="华文中宋" w:eastAsia="华文中宋" w:cs="宋体"/>
          <w:color w:val="auto"/>
          <w:sz w:val="28"/>
          <w:szCs w:val="28"/>
        </w:rPr>
        <w:t>审</w:t>
      </w:r>
      <w:bookmarkEnd w:id="3"/>
      <w:bookmarkEnd w:id="4"/>
      <w:r>
        <w:rPr>
          <w:rFonts w:hint="eastAsia" w:ascii="华文中宋" w:hAnsi="华文中宋" w:eastAsia="华文中宋" w:cs="宋体"/>
          <w:color w:val="auto"/>
          <w:sz w:val="28"/>
          <w:szCs w:val="28"/>
        </w:rPr>
        <w:t>办法</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_Toc10491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42B7524F">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"_Toc29901" </w:instrText>
      </w:r>
      <w:r>
        <w:rPr>
          <w:color w:val="auto"/>
        </w:rPr>
        <w:fldChar w:fldCharType="separate"/>
      </w:r>
      <w:r>
        <w:rPr>
          <w:rFonts w:hint="eastAsia" w:ascii="华文中宋" w:hAnsi="华文中宋" w:eastAsia="华文中宋" w:cs="宋体"/>
          <w:color w:val="auto"/>
          <w:sz w:val="28"/>
          <w:szCs w:val="28"/>
        </w:rPr>
        <w:t>第六章  合同主</w:t>
      </w:r>
      <w:bookmarkStart w:id="5" w:name="_Hlt490197264"/>
      <w:bookmarkStart w:id="6" w:name="_Hlt490197263"/>
      <w:r>
        <w:rPr>
          <w:rFonts w:hint="eastAsia" w:ascii="华文中宋" w:hAnsi="华文中宋" w:eastAsia="华文中宋" w:cs="宋体"/>
          <w:color w:val="auto"/>
          <w:sz w:val="28"/>
          <w:szCs w:val="28"/>
        </w:rPr>
        <w:t>要</w:t>
      </w:r>
      <w:bookmarkEnd w:id="5"/>
      <w:bookmarkEnd w:id="6"/>
      <w:r>
        <w:rPr>
          <w:rFonts w:hint="eastAsia" w:ascii="华文中宋" w:hAnsi="华文中宋" w:eastAsia="华文中宋" w:cs="宋体"/>
          <w:color w:val="auto"/>
          <w:sz w:val="28"/>
          <w:szCs w:val="28"/>
        </w:rPr>
        <w:t>条款</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_Toc29901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42</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87FC990">
      <w:pPr>
        <w:spacing w:line="480" w:lineRule="auto"/>
        <w:rPr>
          <w:rFonts w:ascii="宋体" w:hAnsi="宋体" w:cs="宋体"/>
          <w:b/>
          <w:bCs/>
          <w:color w:val="auto"/>
          <w:sz w:val="48"/>
          <w:szCs w:val="56"/>
        </w:rPr>
      </w:pPr>
      <w:r>
        <w:rPr>
          <w:rFonts w:hint="eastAsia" w:ascii="华文中宋" w:hAnsi="华文中宋" w:eastAsia="华文中宋" w:cs="宋体"/>
          <w:b/>
          <w:bCs/>
          <w:color w:val="auto"/>
          <w:sz w:val="28"/>
          <w:szCs w:val="28"/>
          <w:lang w:val="zh-CN"/>
        </w:rPr>
        <w:fldChar w:fldCharType="end"/>
      </w:r>
    </w:p>
    <w:p w14:paraId="5C03D055">
      <w:pPr>
        <w:autoSpaceDE w:val="0"/>
        <w:autoSpaceDN w:val="0"/>
        <w:adjustRightInd w:val="0"/>
        <w:spacing w:line="360" w:lineRule="auto"/>
        <w:jc w:val="center"/>
        <w:rPr>
          <w:rFonts w:ascii="宋体" w:hAnsi="宋体"/>
          <w:b/>
          <w:color w:val="auto"/>
          <w:sz w:val="32"/>
          <w:szCs w:val="32"/>
        </w:rPr>
      </w:pPr>
    </w:p>
    <w:p w14:paraId="1F68F7C9">
      <w:pPr>
        <w:tabs>
          <w:tab w:val="left" w:pos="432"/>
        </w:tabs>
        <w:jc w:val="center"/>
        <w:outlineLvl w:val="0"/>
        <w:rPr>
          <w:rFonts w:ascii="华文中宋" w:hAnsi="华文中宋" w:eastAsia="华文中宋"/>
          <w:b/>
          <w:color w:val="auto"/>
          <w:sz w:val="36"/>
        </w:rPr>
      </w:pPr>
      <w:bookmarkStart w:id="7" w:name="_Toc25893"/>
      <w:bookmarkStart w:id="8" w:name="_Toc372813218"/>
      <w:r>
        <w:rPr>
          <w:rFonts w:hint="eastAsia" w:hAnsi="黑体"/>
          <w:b/>
          <w:color w:val="auto"/>
          <w:sz w:val="36"/>
        </w:rPr>
        <w:br w:type="page"/>
      </w:r>
      <w:bookmarkStart w:id="9" w:name="_Toc22802"/>
      <w:r>
        <w:rPr>
          <w:rFonts w:hint="eastAsia" w:ascii="华文中宋" w:hAnsi="华文中宋" w:eastAsia="华文中宋"/>
          <w:b/>
          <w:color w:val="auto"/>
          <w:sz w:val="36"/>
          <w:szCs w:val="36"/>
        </w:rPr>
        <w:t xml:space="preserve">第一章  </w:t>
      </w:r>
      <w:bookmarkEnd w:id="7"/>
      <w:r>
        <w:rPr>
          <w:rFonts w:hint="eastAsia" w:ascii="华文中宋" w:hAnsi="华文中宋" w:eastAsia="华文中宋"/>
          <w:b/>
          <w:color w:val="auto"/>
          <w:sz w:val="36"/>
          <w:szCs w:val="36"/>
        </w:rPr>
        <w:t>比选</w:t>
      </w:r>
      <w:bookmarkEnd w:id="8"/>
      <w:r>
        <w:rPr>
          <w:rFonts w:hint="eastAsia" w:ascii="华文中宋" w:hAnsi="华文中宋" w:eastAsia="华文中宋"/>
          <w:b/>
          <w:color w:val="auto"/>
          <w:sz w:val="36"/>
          <w:szCs w:val="36"/>
        </w:rPr>
        <w:t>公告</w:t>
      </w:r>
      <w:bookmarkEnd w:id="9"/>
    </w:p>
    <w:p w14:paraId="63C90112">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1.比选</w:t>
      </w:r>
      <w:r>
        <w:rPr>
          <w:rFonts w:hint="eastAsia" w:ascii="宋体" w:hAnsi="宋体" w:eastAsia="宋体"/>
          <w:b/>
          <w:color w:val="auto"/>
          <w:spacing w:val="-5"/>
          <w:sz w:val="24"/>
          <w:szCs w:val="24"/>
        </w:rPr>
        <w:t>条件</w:t>
      </w:r>
      <w:bookmarkStart w:id="107" w:name="_GoBack"/>
      <w:bookmarkEnd w:id="107"/>
    </w:p>
    <w:p w14:paraId="7A576279">
      <w:pPr>
        <w:tabs>
          <w:tab w:val="left" w:pos="1480"/>
        </w:tabs>
        <w:autoSpaceDE w:val="0"/>
        <w:autoSpaceDN w:val="0"/>
        <w:adjustRightInd w:val="0"/>
        <w:spacing w:line="480" w:lineRule="exact"/>
        <w:ind w:firstLine="420" w:firstLineChars="200"/>
        <w:textAlignment w:val="baseline"/>
        <w:rPr>
          <w:rFonts w:cs="Courier New"/>
          <w:color w:val="auto"/>
        </w:rPr>
      </w:pPr>
      <w:r>
        <w:rPr>
          <w:rFonts w:hint="eastAsia" w:cs="Courier New"/>
          <w:color w:val="auto"/>
        </w:rPr>
        <w:t>本比选项目为</w:t>
      </w:r>
      <w:r>
        <w:rPr>
          <w:rFonts w:hint="eastAsia" w:ascii="Times New Roman" w:hAnsi="Times New Roman" w:eastAsia="宋体" w:cs="Courier New"/>
          <w:b/>
          <w:bCs/>
          <w:color w:val="auto"/>
          <w:u w:val="single"/>
          <w:lang w:val="en-US" w:eastAsia="zh-CN"/>
        </w:rPr>
        <w:t>金堂县第一人民</w:t>
      </w:r>
      <w:r>
        <w:rPr>
          <w:rFonts w:hint="default" w:ascii="Times New Roman" w:hAnsi="Times New Roman" w:eastAsia="宋体" w:cs="Courier New"/>
          <w:b/>
          <w:bCs/>
          <w:color w:val="auto"/>
          <w:u w:val="single"/>
          <w:lang w:val="en-US" w:eastAsia="zh-CN"/>
        </w:rPr>
        <w:t>医院</w:t>
      </w:r>
      <w:r>
        <w:rPr>
          <w:rFonts w:hint="eastAsia" w:ascii="Times New Roman" w:hAnsi="Times New Roman" w:eastAsia="宋体" w:cs="Courier New"/>
          <w:b/>
          <w:bCs/>
          <w:color w:val="auto"/>
          <w:u w:val="single"/>
          <w:lang w:val="en-US" w:eastAsia="zh-CN"/>
        </w:rPr>
        <w:t>弱电安防系统维护保养服务采购项目</w:t>
      </w:r>
      <w:r>
        <w:rPr>
          <w:rFonts w:hint="eastAsia" w:cs="Courier New"/>
          <w:color w:val="auto"/>
        </w:rPr>
        <w:t>，比选人为</w:t>
      </w:r>
      <w:r>
        <w:rPr>
          <w:rFonts w:hint="eastAsia" w:cs="Courier New"/>
          <w:b/>
          <w:color w:val="auto"/>
          <w:u w:val="single"/>
        </w:rPr>
        <w:t>金堂县第一人民医院</w:t>
      </w:r>
      <w:r>
        <w:rPr>
          <w:rFonts w:hint="eastAsia" w:cs="Courier New"/>
          <w:color w:val="auto"/>
        </w:rPr>
        <w:t>。项目已具备比选条件，兹邀请符合本次比选要求的潜在申请人参与。</w:t>
      </w:r>
    </w:p>
    <w:p w14:paraId="70689D9C">
      <w:pPr>
        <w:pStyle w:val="2"/>
        <w:numPr>
          <w:ilvl w:val="0"/>
          <w:numId w:val="0"/>
        </w:numPr>
        <w:spacing w:line="480" w:lineRule="exact"/>
        <w:ind w:leftChars="200"/>
        <w:jc w:val="both"/>
        <w:rPr>
          <w:rFonts w:hint="eastAsia" w:eastAsia="宋体"/>
          <w:sz w:val="21"/>
          <w:lang w:val="en-US" w:eastAsia="zh-CN"/>
        </w:rPr>
      </w:pPr>
      <w:r>
        <w:rPr>
          <w:rFonts w:hint="eastAsia" w:ascii="宋体" w:hAnsi="宋体" w:eastAsia="宋体" w:cs="Times New Roman"/>
          <w:b/>
          <w:color w:val="auto"/>
          <w:spacing w:val="-5"/>
          <w:kern w:val="0"/>
          <w:sz w:val="24"/>
          <w:szCs w:val="24"/>
          <w:lang w:val="en-US" w:eastAsia="zh-CN" w:bidi="ar-SA"/>
        </w:rPr>
        <w:t>2.项目名称：</w:t>
      </w:r>
      <w:r>
        <w:rPr>
          <w:rFonts w:hint="eastAsia" w:ascii="Times New Roman" w:hAnsi="Times New Roman" w:eastAsia="宋体" w:cs="Courier New"/>
          <w:color w:val="auto"/>
          <w:kern w:val="2"/>
          <w:sz w:val="21"/>
          <w:szCs w:val="24"/>
          <w:lang w:val="en-US" w:eastAsia="zh-CN" w:bidi="ar-SA"/>
        </w:rPr>
        <w:t>金堂县第一人民</w:t>
      </w:r>
      <w:r>
        <w:rPr>
          <w:rFonts w:hint="default" w:ascii="Times New Roman" w:hAnsi="Times New Roman" w:eastAsia="宋体" w:cs="Courier New"/>
          <w:color w:val="auto"/>
          <w:kern w:val="2"/>
          <w:sz w:val="21"/>
          <w:szCs w:val="24"/>
          <w:lang w:val="en-US" w:eastAsia="zh-CN" w:bidi="ar-SA"/>
        </w:rPr>
        <w:t>医院</w:t>
      </w:r>
      <w:r>
        <w:rPr>
          <w:rFonts w:hint="eastAsia" w:ascii="Times New Roman" w:hAnsi="Times New Roman" w:eastAsia="宋体" w:cs="Courier New"/>
          <w:color w:val="auto"/>
          <w:kern w:val="2"/>
          <w:sz w:val="21"/>
          <w:szCs w:val="24"/>
          <w:lang w:val="en-US" w:eastAsia="zh-CN" w:bidi="ar-SA"/>
        </w:rPr>
        <w:t>弱电安防系统维护保养服务采</w:t>
      </w:r>
      <w:r>
        <w:rPr>
          <w:rFonts w:hint="eastAsia" w:eastAsia="宋体"/>
          <w:sz w:val="21"/>
          <w:lang w:val="en-US" w:eastAsia="zh-CN"/>
        </w:rPr>
        <w:t>购项目</w:t>
      </w:r>
    </w:p>
    <w:p w14:paraId="43539A1D">
      <w:pPr>
        <w:pStyle w:val="2"/>
        <w:numPr>
          <w:ilvl w:val="0"/>
          <w:numId w:val="0"/>
        </w:numPr>
        <w:spacing w:line="480" w:lineRule="exact"/>
        <w:ind w:leftChars="20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kern w:val="0"/>
          <w:sz w:val="24"/>
          <w:szCs w:val="24"/>
          <w:lang w:val="en-US" w:eastAsia="zh-CN" w:bidi="ar-SA"/>
        </w:rPr>
        <w:t>3.项目编号：</w:t>
      </w:r>
      <w:r>
        <w:rPr>
          <w:rFonts w:hint="eastAsia" w:ascii="Times New Roman" w:eastAsia="宋体" w:cs="Courier New"/>
          <w:color w:val="auto"/>
          <w:kern w:val="2"/>
          <w:sz w:val="21"/>
          <w:szCs w:val="24"/>
          <w:lang w:val="en-US" w:eastAsia="zh-CN" w:bidi="ar-SA"/>
        </w:rPr>
        <w:t>HXJTYY-CG-2025024</w:t>
      </w:r>
    </w:p>
    <w:p w14:paraId="15044555">
      <w:pPr>
        <w:pStyle w:val="2"/>
        <w:numPr>
          <w:ilvl w:val="0"/>
          <w:numId w:val="0"/>
        </w:numPr>
        <w:spacing w:line="480" w:lineRule="exact"/>
        <w:ind w:firstLine="482" w:firstLineChars="200"/>
        <w:jc w:val="both"/>
        <w:rPr>
          <w:rFonts w:hint="eastAsia" w:ascii="宋体" w:hAnsi="宋体" w:eastAsia="宋体"/>
          <w:b/>
          <w:color w:val="auto"/>
          <w:sz w:val="24"/>
          <w:szCs w:val="24"/>
        </w:rPr>
      </w:pPr>
      <w:r>
        <w:rPr>
          <w:rFonts w:hint="eastAsia" w:ascii="宋体" w:hAnsi="宋体" w:eastAsia="宋体"/>
          <w:b/>
          <w:color w:val="auto"/>
          <w:sz w:val="24"/>
          <w:szCs w:val="24"/>
        </w:rPr>
        <w:t>4.项目概况</w:t>
      </w:r>
    </w:p>
    <w:p w14:paraId="153F5D76">
      <w:pPr>
        <w:autoSpaceDE w:val="0"/>
        <w:autoSpaceDN w:val="0"/>
        <w:adjustRightInd w:val="0"/>
        <w:spacing w:line="480" w:lineRule="exact"/>
        <w:ind w:firstLine="420" w:firstLineChars="200"/>
        <w:rPr>
          <w:rFonts w:hint="eastAsia" w:ascii="宋体" w:hAnsi="宋体" w:eastAsia="宋体" w:cs="Times New Roman"/>
          <w:bCs/>
          <w:color w:val="auto"/>
          <w:kern w:val="0"/>
          <w:szCs w:val="21"/>
          <w:lang w:val="en-US" w:eastAsia="zh-CN"/>
        </w:rPr>
      </w:pPr>
      <w:r>
        <w:rPr>
          <w:rFonts w:hint="eastAsia" w:ascii="宋体" w:hAnsi="宋体" w:eastAsia="宋体" w:cs="Times New Roman"/>
          <w:bCs/>
          <w:color w:val="auto"/>
          <w:kern w:val="0"/>
          <w:szCs w:val="21"/>
          <w:lang w:val="en-US" w:eastAsia="zh-CN"/>
        </w:rPr>
        <w:t>本项目共1个包，</w:t>
      </w:r>
      <w:r>
        <w:rPr>
          <w:rFonts w:hint="eastAsia" w:ascii="Times New Roman" w:hAnsi="Times New Roman" w:eastAsia="宋体" w:cs="Courier New"/>
          <w:color w:val="auto"/>
          <w:kern w:val="2"/>
          <w:sz w:val="21"/>
          <w:szCs w:val="24"/>
          <w:lang w:val="en-US" w:eastAsia="zh-CN" w:bidi="ar-SA"/>
        </w:rPr>
        <w:t>弱电安防系统维护保养服务</w:t>
      </w:r>
      <w:r>
        <w:rPr>
          <w:rFonts w:hint="eastAsia" w:ascii="宋体" w:hAnsi="宋体" w:eastAsia="宋体" w:cs="Times New Roman"/>
          <w:bCs/>
          <w:color w:val="auto"/>
          <w:kern w:val="0"/>
          <w:szCs w:val="21"/>
          <w:lang w:val="en-US" w:eastAsia="zh-CN"/>
        </w:rPr>
        <w:t>，预算金额：9万元/年</w:t>
      </w:r>
      <w:r>
        <w:rPr>
          <w:rFonts w:hint="eastAsia" w:ascii="宋体" w:hAnsi="宋体" w:cs="Times New Roman"/>
          <w:bCs/>
          <w:color w:val="auto"/>
          <w:kern w:val="0"/>
          <w:szCs w:val="21"/>
          <w:lang w:val="en-US" w:eastAsia="zh-CN"/>
        </w:rPr>
        <w:t>，</w:t>
      </w:r>
      <w:r>
        <w:rPr>
          <w:rFonts w:hint="eastAsia" w:eastAsia="宋体"/>
          <w:sz w:val="21"/>
          <w:lang w:val="en-US" w:eastAsia="zh-CN"/>
        </w:rPr>
        <w:t>最高限价</w:t>
      </w:r>
      <w:r>
        <w:rPr>
          <w:rFonts w:hint="eastAsia"/>
          <w:sz w:val="21"/>
          <w:lang w:val="en-US" w:eastAsia="zh-CN"/>
        </w:rPr>
        <w:t>：</w:t>
      </w:r>
      <w:r>
        <w:rPr>
          <w:rFonts w:hint="eastAsia" w:eastAsia="宋体"/>
          <w:sz w:val="21"/>
          <w:lang w:val="en-US" w:eastAsia="zh-CN"/>
        </w:rPr>
        <w:t>6.75万元</w:t>
      </w:r>
      <w:r>
        <w:rPr>
          <w:rFonts w:hint="eastAsia"/>
          <w:sz w:val="21"/>
          <w:lang w:val="en-US" w:eastAsia="zh-CN"/>
        </w:rPr>
        <w:t>/年，</w:t>
      </w:r>
      <w:r>
        <w:rPr>
          <w:rFonts w:hint="eastAsia" w:ascii="宋体" w:hAnsi="宋体" w:cs="Times New Roman"/>
          <w:bCs/>
          <w:color w:val="auto"/>
          <w:kern w:val="0"/>
          <w:szCs w:val="21"/>
          <w:lang w:val="en-US" w:eastAsia="zh-CN"/>
        </w:rPr>
        <w:t>服务期三年，合同一年一签</w:t>
      </w:r>
      <w:r>
        <w:rPr>
          <w:rFonts w:hint="eastAsia" w:ascii="宋体" w:hAnsi="宋体" w:eastAsia="宋体" w:cs="Times New Roman"/>
          <w:bCs/>
          <w:color w:val="auto"/>
          <w:kern w:val="0"/>
          <w:szCs w:val="21"/>
          <w:lang w:val="en-US" w:eastAsia="zh-CN"/>
        </w:rPr>
        <w:t>。</w:t>
      </w:r>
    </w:p>
    <w:p w14:paraId="539B0D3F">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5.比选申请人资格要求</w:t>
      </w:r>
    </w:p>
    <w:p w14:paraId="2E1DB924">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（1）比选申请人具有独立承担民事责任的能力；</w:t>
      </w:r>
    </w:p>
    <w:p w14:paraId="2C3D89CD">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（2）比选申请人具有良好的商业信誉和健全的财务会计制度；</w:t>
      </w:r>
    </w:p>
    <w:p w14:paraId="0CD7326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（3）比选申请人具有履行合同所必需的设备和专业技术能力；</w:t>
      </w:r>
    </w:p>
    <w:p w14:paraId="048B1BD4">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（4）具有依法缴纳税收和社会保障资金的良好记录；</w:t>
      </w:r>
    </w:p>
    <w:p w14:paraId="467014D0">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5</w:t>
      </w:r>
      <w:r>
        <w:rPr>
          <w:rFonts w:hint="eastAsia" w:ascii="宋体" w:hAnsi="宋体"/>
          <w:bCs/>
          <w:color w:val="auto"/>
          <w:kern w:val="0"/>
          <w:szCs w:val="21"/>
        </w:rPr>
        <w:t>）参加本次比选活动前三年内，比选申请人在经营活动中没有重大违法记录；</w:t>
      </w:r>
    </w:p>
    <w:p w14:paraId="2008FD6F">
      <w:pPr>
        <w:autoSpaceDE w:val="0"/>
        <w:autoSpaceDN w:val="0"/>
        <w:adjustRightInd w:val="0"/>
        <w:spacing w:line="480" w:lineRule="exact"/>
        <w:ind w:firstLine="420" w:firstLineChars="200"/>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rPr>
        <w:t>（6）比选申请人符合法律、行政法规规定的其他条件；</w:t>
      </w:r>
    </w:p>
    <w:p w14:paraId="18D5A62A">
      <w:pPr>
        <w:autoSpaceDE w:val="0"/>
        <w:autoSpaceDN w:val="0"/>
        <w:adjustRightInd w:val="0"/>
        <w:spacing w:line="480" w:lineRule="exact"/>
        <w:ind w:firstLine="420" w:firstLineChars="200"/>
        <w:rPr>
          <w:rFonts w:hint="eastAsia"/>
          <w:lang w:val="en-US" w:eastAsia="zh-CN"/>
        </w:rPr>
      </w:pPr>
      <w:r>
        <w:rPr>
          <w:rFonts w:hint="eastAsia" w:ascii="宋体" w:hAnsi="宋体" w:eastAsia="宋体" w:cs="Times New Roman"/>
          <w:bCs/>
          <w:color w:val="auto"/>
          <w:kern w:val="0"/>
          <w:szCs w:val="21"/>
          <w:lang w:val="en-US" w:eastAsia="zh-CN"/>
        </w:rPr>
        <w:t>（7）</w:t>
      </w:r>
      <w:r>
        <w:rPr>
          <w:rFonts w:hint="eastAsia" w:ascii="宋体" w:hAnsi="宋体" w:eastAsia="宋体" w:cs="Times New Roman"/>
          <w:bCs/>
          <w:color w:val="auto"/>
          <w:kern w:val="0"/>
          <w:szCs w:val="21"/>
        </w:rPr>
        <w:t xml:space="preserve">不接受联合体参加比选。 </w:t>
      </w:r>
    </w:p>
    <w:p w14:paraId="307CE1FB">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6.报名方式</w:t>
      </w:r>
    </w:p>
    <w:p w14:paraId="752F79BC">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凡有意参加本项目者，请于</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08</w:t>
      </w:r>
      <w:r>
        <w:rPr>
          <w:rFonts w:hint="eastAsia" w:ascii="宋体" w:hAnsi="宋体"/>
          <w:b/>
          <w:bCs/>
          <w:color w:val="auto"/>
          <w:sz w:val="24"/>
        </w:rPr>
        <w:t>月</w:t>
      </w:r>
      <w:r>
        <w:rPr>
          <w:rFonts w:hint="eastAsia" w:ascii="宋体" w:hAnsi="宋体"/>
          <w:b/>
          <w:bCs/>
          <w:color w:val="auto"/>
          <w:sz w:val="24"/>
          <w:lang w:val="en-US" w:eastAsia="zh-CN"/>
        </w:rPr>
        <w:t>13</w:t>
      </w:r>
      <w:r>
        <w:rPr>
          <w:rFonts w:hint="eastAsia" w:ascii="宋体" w:hAnsi="宋体"/>
          <w:b/>
          <w:bCs/>
          <w:color w:val="auto"/>
          <w:sz w:val="24"/>
        </w:rPr>
        <w:t>日8时至202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08</w:t>
      </w:r>
      <w:r>
        <w:rPr>
          <w:rFonts w:hint="eastAsia" w:ascii="宋体" w:hAnsi="宋体"/>
          <w:b/>
          <w:bCs/>
          <w:color w:val="auto"/>
          <w:sz w:val="24"/>
        </w:rPr>
        <w:t>月</w:t>
      </w:r>
      <w:r>
        <w:rPr>
          <w:rFonts w:hint="eastAsia" w:ascii="宋体" w:hAnsi="宋体"/>
          <w:b/>
          <w:bCs/>
          <w:color w:val="auto"/>
          <w:sz w:val="24"/>
          <w:lang w:val="en-US" w:eastAsia="zh-CN"/>
        </w:rPr>
        <w:t>15</w:t>
      </w:r>
      <w:r>
        <w:rPr>
          <w:rFonts w:hint="eastAsia" w:ascii="宋体" w:hAnsi="宋体"/>
          <w:b/>
          <w:bCs/>
          <w:color w:val="auto"/>
          <w:sz w:val="24"/>
        </w:rPr>
        <w:t>日17时</w:t>
      </w:r>
      <w:r>
        <w:rPr>
          <w:rFonts w:hint="eastAsia" w:ascii="宋体" w:hAnsi="宋体"/>
          <w:color w:val="auto"/>
          <w:sz w:val="24"/>
        </w:rPr>
        <w:t>（北京时间，法定节假日除外）</w:t>
      </w:r>
      <w:r>
        <w:rPr>
          <w:rFonts w:hint="eastAsia" w:ascii="宋体" w:hAnsi="宋体" w:cs="宋体"/>
          <w:b/>
          <w:bCs/>
          <w:color w:val="auto"/>
          <w:sz w:val="24"/>
        </w:rPr>
        <w:t>将报名资料以PDF扫描件的形式发送到指定邮箱（邮箱号：3386876188@qq.com），（报名邮件列明公司名称+项目名称+联系人+联系电话）。</w:t>
      </w:r>
    </w:p>
    <w:p w14:paraId="64187C18">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注：1.供应商报名时应附：报名表（附件2）、单位介绍信或法人授权书原件、被授权代表身份证复印件、营业执照扫描件、盖投标单位鲜章。</w:t>
      </w:r>
    </w:p>
    <w:p w14:paraId="32671B57">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2.该项目采购文件（附件1）在医院官网与公告同时进行发布，不单独售卖或发送比选文件，一切以官网公告内容为准。</w:t>
      </w:r>
    </w:p>
    <w:p w14:paraId="388F3506">
      <w:pPr>
        <w:tabs>
          <w:tab w:val="left" w:pos="1480"/>
        </w:tabs>
        <w:autoSpaceDE w:val="0"/>
        <w:autoSpaceDN w:val="0"/>
        <w:adjustRightInd w:val="0"/>
        <w:spacing w:line="480" w:lineRule="exact"/>
        <w:ind w:firstLine="482" w:firstLineChars="200"/>
        <w:rPr>
          <w:rFonts w:hint="eastAsia" w:ascii="宋体" w:hAnsi="宋体"/>
          <w:b/>
          <w:bCs/>
          <w:color w:val="auto"/>
          <w:sz w:val="24"/>
        </w:rPr>
      </w:pPr>
      <w:r>
        <w:rPr>
          <w:rFonts w:hint="eastAsia" w:ascii="宋体" w:hAnsi="宋体"/>
          <w:b/>
          <w:bCs/>
          <w:color w:val="auto"/>
          <w:sz w:val="24"/>
        </w:rPr>
        <w:t>7.递交比选申请文件的时间及地点</w:t>
      </w:r>
    </w:p>
    <w:p w14:paraId="4C7293F4">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7.1递交比选申请文件的截止时间：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08</w:t>
      </w:r>
      <w:r>
        <w:rPr>
          <w:rFonts w:hint="eastAsia" w:ascii="宋体" w:hAnsi="宋体"/>
          <w:b/>
          <w:bCs/>
          <w:color w:val="auto"/>
          <w:sz w:val="24"/>
        </w:rPr>
        <w:t>月</w:t>
      </w:r>
      <w:r>
        <w:rPr>
          <w:rFonts w:hint="eastAsia" w:ascii="宋体" w:hAnsi="宋体"/>
          <w:b/>
          <w:bCs/>
          <w:color w:val="auto"/>
          <w:sz w:val="24"/>
          <w:lang w:val="en-US" w:eastAsia="zh-CN"/>
        </w:rPr>
        <w:t>18</w:t>
      </w:r>
      <w:r>
        <w:rPr>
          <w:rFonts w:hint="eastAsia" w:ascii="宋体" w:hAnsi="宋体"/>
          <w:b/>
          <w:bCs/>
          <w:color w:val="auto"/>
          <w:sz w:val="24"/>
        </w:rPr>
        <w:t>日</w:t>
      </w:r>
      <w:r>
        <w:rPr>
          <w:rFonts w:hint="eastAsia" w:ascii="宋体" w:hAnsi="宋体"/>
          <w:b/>
          <w:bCs/>
          <w:color w:val="auto"/>
          <w:sz w:val="24"/>
          <w:lang w:val="en-US" w:eastAsia="zh-CN"/>
        </w:rPr>
        <w:t>9</w:t>
      </w:r>
      <w:r>
        <w:rPr>
          <w:rFonts w:hint="eastAsia" w:ascii="宋体" w:hAnsi="宋体"/>
          <w:b/>
          <w:bCs/>
          <w:color w:val="auto"/>
          <w:sz w:val="24"/>
        </w:rPr>
        <w:t>时</w:t>
      </w:r>
      <w:r>
        <w:rPr>
          <w:rFonts w:hint="eastAsia" w:ascii="宋体" w:hAnsi="宋体"/>
          <w:b/>
          <w:bCs/>
          <w:color w:val="auto"/>
          <w:sz w:val="24"/>
          <w:lang w:val="en-US" w:eastAsia="zh-CN"/>
        </w:rPr>
        <w:t>30</w:t>
      </w:r>
      <w:r>
        <w:rPr>
          <w:rFonts w:hint="eastAsia" w:ascii="宋体" w:hAnsi="宋体"/>
          <w:b/>
          <w:bCs/>
          <w:color w:val="auto"/>
          <w:sz w:val="24"/>
        </w:rPr>
        <w:t>分（北京时间）</w:t>
      </w:r>
      <w:r>
        <w:rPr>
          <w:rFonts w:hint="eastAsia" w:ascii="宋体" w:hAnsi="宋体"/>
          <w:color w:val="auto"/>
          <w:sz w:val="24"/>
        </w:rPr>
        <w:t>，地点为金堂县第一人民医院行政四楼44</w:t>
      </w:r>
      <w:r>
        <w:rPr>
          <w:rFonts w:hint="eastAsia" w:ascii="宋体" w:hAnsi="宋体"/>
          <w:color w:val="auto"/>
          <w:sz w:val="24"/>
          <w:lang w:val="en-US" w:eastAsia="zh-CN"/>
        </w:rPr>
        <w:t>7</w:t>
      </w:r>
      <w:r>
        <w:rPr>
          <w:rFonts w:hint="eastAsia" w:ascii="宋体" w:hAnsi="宋体"/>
          <w:color w:val="auto"/>
          <w:sz w:val="24"/>
        </w:rPr>
        <w:t>会议室</w:t>
      </w:r>
    </w:p>
    <w:p w14:paraId="065BA27C">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7.2逾期送达的或者未送达指定地点的比选申请文件，比选人不予受理。</w:t>
      </w:r>
    </w:p>
    <w:p w14:paraId="0D57B0B5">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8.本项目公告将在《金堂县第一人民医院官方网站》上发布。</w:t>
      </w:r>
    </w:p>
    <w:p w14:paraId="1CA9F617">
      <w:pPr>
        <w:pStyle w:val="2"/>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9.联系方式</w:t>
      </w:r>
    </w:p>
    <w:p w14:paraId="4416C2AC">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比选人：金堂县第一人民医院         </w:t>
      </w:r>
    </w:p>
    <w:p w14:paraId="720CE486">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地址：成都市金堂县金广路886号                                    </w:t>
      </w:r>
    </w:p>
    <w:p w14:paraId="2BD8C5C2">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 xml:space="preserve">联系人：毛老师                           </w:t>
      </w:r>
    </w:p>
    <w:p w14:paraId="18D82E2C">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电话：028-6156</w:t>
      </w:r>
      <w:r>
        <w:rPr>
          <w:rFonts w:hint="eastAsia" w:ascii="宋体" w:hAnsi="宋体"/>
          <w:color w:val="auto"/>
          <w:sz w:val="24"/>
          <w:lang w:val="en-US" w:eastAsia="zh-CN"/>
        </w:rPr>
        <w:t>8611</w:t>
      </w:r>
      <w:r>
        <w:rPr>
          <w:rFonts w:ascii="宋体" w:hAnsi="宋体"/>
          <w:color w:val="auto"/>
          <w:szCs w:val="21"/>
        </w:rPr>
        <w:t xml:space="preserve">       </w:t>
      </w:r>
    </w:p>
    <w:p w14:paraId="7B0030EF">
      <w:pPr>
        <w:spacing w:line="480" w:lineRule="exact"/>
        <w:ind w:firstLine="420" w:firstLineChars="200"/>
        <w:rPr>
          <w:rFonts w:ascii="仿宋_GB2312" w:hAnsi="仿宋_GB2312" w:eastAsia="仿宋_GB2312"/>
          <w:b/>
          <w:color w:val="auto"/>
          <w:kern w:val="0"/>
          <w:sz w:val="28"/>
        </w:rPr>
      </w:pPr>
      <w:r>
        <w:rPr>
          <w:rFonts w:hint="eastAsia" w:ascii="宋体" w:hAnsi="宋体"/>
          <w:color w:val="auto"/>
          <w:kern w:val="0"/>
          <w:szCs w:val="21"/>
        </w:rPr>
        <w:t xml:space="preserve">                   </w:t>
      </w:r>
      <w:r>
        <w:rPr>
          <w:rFonts w:ascii="宋体" w:hAnsi="宋体"/>
          <w:color w:val="auto"/>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p>
    <w:p w14:paraId="4E7CC91D">
      <w:pPr>
        <w:tabs>
          <w:tab w:val="left" w:pos="432"/>
        </w:tabs>
        <w:jc w:val="center"/>
        <w:outlineLvl w:val="0"/>
        <w:rPr>
          <w:rFonts w:ascii="华文中宋" w:hAnsi="华文中宋" w:eastAsia="华文中宋"/>
          <w:b/>
          <w:color w:val="auto"/>
          <w:sz w:val="36"/>
          <w:szCs w:val="36"/>
        </w:rPr>
      </w:pPr>
      <w:r>
        <w:rPr>
          <w:rFonts w:ascii="宋体" w:hAnsi="宋体"/>
          <w:color w:val="auto"/>
        </w:rPr>
        <w:br w:type="page"/>
      </w:r>
      <w:bookmarkStart w:id="10" w:name="_Toc30467"/>
      <w:r>
        <w:rPr>
          <w:rFonts w:hint="eastAsia" w:ascii="华文中宋" w:hAnsi="华文中宋" w:eastAsia="华文中宋"/>
          <w:b/>
          <w:color w:val="auto"/>
          <w:sz w:val="36"/>
          <w:szCs w:val="36"/>
        </w:rPr>
        <w:t>第二章  比选须知</w:t>
      </w:r>
      <w:bookmarkEnd w:id="0"/>
      <w:bookmarkEnd w:id="10"/>
    </w:p>
    <w:p w14:paraId="76A7E933">
      <w:pPr>
        <w:spacing w:line="360" w:lineRule="auto"/>
        <w:ind w:left="180"/>
        <w:jc w:val="center"/>
        <w:rPr>
          <w:rFonts w:ascii="宋体" w:hAnsi="宋体"/>
          <w:b/>
          <w:color w:val="auto"/>
          <w:sz w:val="28"/>
          <w:szCs w:val="28"/>
        </w:rPr>
      </w:pPr>
      <w:r>
        <w:rPr>
          <w:rFonts w:hint="eastAsia" w:ascii="宋体" w:hAnsi="宋体"/>
          <w:b/>
          <w:color w:val="auto"/>
          <w:sz w:val="28"/>
          <w:szCs w:val="28"/>
        </w:rPr>
        <w:t>（一）比选须知前附表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67"/>
        <w:gridCol w:w="6783"/>
      </w:tblGrid>
      <w:tr w14:paraId="53F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05E48CC4">
            <w:pPr>
              <w:spacing w:line="360" w:lineRule="auto"/>
              <w:jc w:val="center"/>
              <w:rPr>
                <w:rFonts w:ascii="宋体"/>
                <w:b/>
                <w:color w:val="auto"/>
                <w:szCs w:val="21"/>
              </w:rPr>
            </w:pPr>
            <w:r>
              <w:rPr>
                <w:rFonts w:hint="eastAsia" w:ascii="宋体"/>
                <w:b/>
                <w:color w:val="auto"/>
                <w:szCs w:val="21"/>
              </w:rPr>
              <w:t>条款号</w:t>
            </w:r>
          </w:p>
        </w:tc>
        <w:tc>
          <w:tcPr>
            <w:tcW w:w="1967" w:type="dxa"/>
            <w:noWrap w:val="0"/>
            <w:vAlign w:val="center"/>
          </w:tcPr>
          <w:p w14:paraId="55A8A131">
            <w:pPr>
              <w:spacing w:line="360" w:lineRule="auto"/>
              <w:jc w:val="center"/>
              <w:rPr>
                <w:rFonts w:ascii="宋体"/>
                <w:b/>
                <w:color w:val="auto"/>
                <w:szCs w:val="21"/>
              </w:rPr>
            </w:pPr>
            <w:r>
              <w:rPr>
                <w:rFonts w:hint="eastAsia" w:ascii="宋体"/>
                <w:b/>
                <w:color w:val="auto"/>
                <w:szCs w:val="21"/>
              </w:rPr>
              <w:t>条 款 名 称</w:t>
            </w:r>
          </w:p>
        </w:tc>
        <w:tc>
          <w:tcPr>
            <w:tcW w:w="6783" w:type="dxa"/>
            <w:noWrap w:val="0"/>
            <w:vAlign w:val="center"/>
          </w:tcPr>
          <w:p w14:paraId="4C57FF33">
            <w:pPr>
              <w:jc w:val="center"/>
              <w:rPr>
                <w:b/>
                <w:color w:val="auto"/>
                <w:szCs w:val="21"/>
              </w:rPr>
            </w:pPr>
            <w:r>
              <w:rPr>
                <w:rFonts w:hint="eastAsia" w:ascii="宋体"/>
                <w:b/>
                <w:color w:val="auto"/>
                <w:szCs w:val="21"/>
              </w:rPr>
              <w:t>编 列 内 容</w:t>
            </w:r>
          </w:p>
        </w:tc>
      </w:tr>
      <w:tr w14:paraId="020C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43E5CD0A">
            <w:pPr>
              <w:spacing w:line="360" w:lineRule="auto"/>
              <w:jc w:val="center"/>
              <w:rPr>
                <w:rFonts w:ascii="宋体"/>
                <w:color w:val="auto"/>
                <w:sz w:val="18"/>
                <w:szCs w:val="18"/>
              </w:rPr>
            </w:pPr>
            <w:r>
              <w:rPr>
                <w:rFonts w:hint="eastAsia" w:ascii="宋体"/>
                <w:color w:val="auto"/>
                <w:sz w:val="18"/>
                <w:szCs w:val="18"/>
              </w:rPr>
              <w:t>1</w:t>
            </w:r>
          </w:p>
        </w:tc>
        <w:tc>
          <w:tcPr>
            <w:tcW w:w="1967" w:type="dxa"/>
            <w:noWrap w:val="0"/>
            <w:vAlign w:val="center"/>
          </w:tcPr>
          <w:p w14:paraId="29D4FC10">
            <w:pPr>
              <w:jc w:val="center"/>
              <w:rPr>
                <w:rFonts w:hint="eastAsia"/>
                <w:color w:val="auto"/>
              </w:rPr>
            </w:pPr>
            <w:r>
              <w:rPr>
                <w:rFonts w:hint="eastAsia"/>
                <w:color w:val="auto"/>
              </w:rPr>
              <w:t>比选人</w:t>
            </w:r>
          </w:p>
        </w:tc>
        <w:tc>
          <w:tcPr>
            <w:tcW w:w="6783" w:type="dxa"/>
            <w:noWrap w:val="0"/>
            <w:vAlign w:val="center"/>
          </w:tcPr>
          <w:p w14:paraId="7A85E8B5">
            <w:pPr>
              <w:pStyle w:val="165"/>
              <w:spacing w:before="0" w:beforeAutospacing="0" w:after="0" w:afterAutospacing="0" w:line="360" w:lineRule="auto"/>
              <w:jc w:val="both"/>
              <w:rPr>
                <w:rFonts w:hint="eastAsia" w:ascii="Times New Roman" w:hAnsi="Times New Roman" w:cs="Times New Roman"/>
                <w:color w:val="auto"/>
                <w:kern w:val="2"/>
                <w:sz w:val="21"/>
              </w:rPr>
            </w:pPr>
            <w:r>
              <w:rPr>
                <w:rFonts w:hint="eastAsia" w:ascii="Times New Roman" w:hAnsi="Times New Roman" w:cs="Times New Roman"/>
                <w:color w:val="auto"/>
                <w:kern w:val="2"/>
                <w:sz w:val="21"/>
              </w:rPr>
              <w:t>金堂县第一人民医院</w:t>
            </w:r>
          </w:p>
        </w:tc>
      </w:tr>
      <w:tr w14:paraId="166D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49" w:type="dxa"/>
            <w:noWrap w:val="0"/>
            <w:vAlign w:val="center"/>
          </w:tcPr>
          <w:p w14:paraId="2E143BDD">
            <w:pPr>
              <w:spacing w:line="360" w:lineRule="auto"/>
              <w:jc w:val="center"/>
              <w:rPr>
                <w:rFonts w:hint="eastAsia" w:ascii="宋体"/>
                <w:color w:val="auto"/>
                <w:sz w:val="18"/>
                <w:szCs w:val="18"/>
              </w:rPr>
            </w:pPr>
            <w:r>
              <w:rPr>
                <w:rFonts w:hint="eastAsia" w:ascii="宋体"/>
                <w:color w:val="auto"/>
                <w:sz w:val="18"/>
                <w:szCs w:val="18"/>
              </w:rPr>
              <w:t>2</w:t>
            </w:r>
          </w:p>
        </w:tc>
        <w:tc>
          <w:tcPr>
            <w:tcW w:w="1967" w:type="dxa"/>
            <w:noWrap w:val="0"/>
            <w:vAlign w:val="center"/>
          </w:tcPr>
          <w:p w14:paraId="148BFFD7">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项目名称</w:t>
            </w:r>
          </w:p>
        </w:tc>
        <w:tc>
          <w:tcPr>
            <w:tcW w:w="6783" w:type="dxa"/>
            <w:noWrap w:val="0"/>
            <w:vAlign w:val="center"/>
          </w:tcPr>
          <w:p w14:paraId="46A8B2E4">
            <w:pPr>
              <w:pStyle w:val="2"/>
              <w:numPr>
                <w:ilvl w:val="0"/>
                <w:numId w:val="0"/>
              </w:numPr>
              <w:spacing w:line="480" w:lineRule="exact"/>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金堂县第一人民</w:t>
            </w:r>
            <w:r>
              <w:rPr>
                <w:rFonts w:hint="default" w:ascii="Times New Roman" w:hAnsi="Times New Roman" w:eastAsia="宋体" w:cs="Times New Roman"/>
                <w:color w:val="auto"/>
                <w:kern w:val="2"/>
                <w:sz w:val="21"/>
                <w:szCs w:val="24"/>
                <w:lang w:val="en-US" w:eastAsia="zh-CN" w:bidi="ar-SA"/>
              </w:rPr>
              <w:t>医院</w:t>
            </w:r>
            <w:r>
              <w:rPr>
                <w:rFonts w:hint="eastAsia" w:ascii="Times New Roman" w:hAnsi="Times New Roman" w:eastAsia="宋体" w:cs="Times New Roman"/>
                <w:color w:val="auto"/>
                <w:kern w:val="2"/>
                <w:sz w:val="21"/>
                <w:szCs w:val="24"/>
                <w:lang w:val="en-US" w:eastAsia="zh-CN" w:bidi="ar-SA"/>
              </w:rPr>
              <w:t>弱电安防系统维护保养服务采购项目</w:t>
            </w:r>
          </w:p>
        </w:tc>
      </w:tr>
      <w:tr w14:paraId="6056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noWrap w:val="0"/>
            <w:vAlign w:val="center"/>
          </w:tcPr>
          <w:p w14:paraId="7086CA42">
            <w:pPr>
              <w:spacing w:line="360" w:lineRule="auto"/>
              <w:jc w:val="center"/>
              <w:rPr>
                <w:rFonts w:hint="eastAsia" w:ascii="宋体"/>
                <w:color w:val="auto"/>
                <w:sz w:val="18"/>
                <w:szCs w:val="18"/>
              </w:rPr>
            </w:pPr>
            <w:r>
              <w:rPr>
                <w:rFonts w:hint="eastAsia" w:ascii="宋体"/>
                <w:color w:val="auto"/>
                <w:sz w:val="18"/>
                <w:szCs w:val="18"/>
              </w:rPr>
              <w:t>3</w:t>
            </w:r>
          </w:p>
        </w:tc>
        <w:tc>
          <w:tcPr>
            <w:tcW w:w="1967" w:type="dxa"/>
            <w:noWrap w:val="0"/>
            <w:vAlign w:val="center"/>
          </w:tcPr>
          <w:p w14:paraId="54D70E05">
            <w:pPr>
              <w:jc w:val="center"/>
              <w:rPr>
                <w:rFonts w:hint="eastAsia"/>
                <w:color w:val="auto"/>
              </w:rPr>
            </w:pPr>
            <w:r>
              <w:rPr>
                <w:rFonts w:hint="eastAsia"/>
                <w:color w:val="auto"/>
              </w:rPr>
              <w:t>项目概况</w:t>
            </w:r>
          </w:p>
        </w:tc>
        <w:tc>
          <w:tcPr>
            <w:tcW w:w="6783" w:type="dxa"/>
            <w:noWrap w:val="0"/>
            <w:vAlign w:val="center"/>
          </w:tcPr>
          <w:p w14:paraId="369DC3DE">
            <w:pPr>
              <w:spacing w:line="360" w:lineRule="auto"/>
              <w:rPr>
                <w:rFonts w:hint="eastAsia"/>
                <w:color w:val="auto"/>
              </w:rPr>
            </w:pPr>
            <w:r>
              <w:rPr>
                <w:rFonts w:hint="eastAsia"/>
                <w:color w:val="auto"/>
              </w:rPr>
              <w:t>详见第一章“比选公告”</w:t>
            </w:r>
          </w:p>
        </w:tc>
      </w:tr>
      <w:tr w14:paraId="00F0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restart"/>
            <w:noWrap w:val="0"/>
            <w:vAlign w:val="center"/>
          </w:tcPr>
          <w:p w14:paraId="777B640D">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1967" w:type="dxa"/>
            <w:noWrap w:val="0"/>
            <w:vAlign w:val="center"/>
          </w:tcPr>
          <w:p w14:paraId="5E6DB7B2">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p>
        </w:tc>
        <w:tc>
          <w:tcPr>
            <w:tcW w:w="6783" w:type="dxa"/>
            <w:noWrap w:val="0"/>
            <w:vAlign w:val="center"/>
          </w:tcPr>
          <w:p w14:paraId="1749C1D4">
            <w:pPr>
              <w:spacing w:line="360" w:lineRule="auto"/>
              <w:rPr>
                <w:rFonts w:hint="eastAsia"/>
                <w:color w:val="auto"/>
                <w:lang w:val="en-US" w:eastAsia="zh-CN"/>
              </w:rPr>
            </w:pPr>
            <w:r>
              <w:rPr>
                <w:rFonts w:hint="eastAsia"/>
                <w:color w:val="auto"/>
              </w:rPr>
              <w:t>采购预算：</w:t>
            </w:r>
            <w:r>
              <w:rPr>
                <w:rFonts w:hint="eastAsia"/>
                <w:color w:val="auto"/>
                <w:lang w:val="en-US" w:eastAsia="zh-CN"/>
              </w:rPr>
              <w:t>9万元；</w:t>
            </w:r>
          </w:p>
          <w:p w14:paraId="591A778B">
            <w:pPr>
              <w:spacing w:line="360" w:lineRule="auto"/>
              <w:rPr>
                <w:rFonts w:hint="eastAsia"/>
                <w:color w:val="auto"/>
                <w:lang w:val="en-US" w:eastAsia="zh-CN"/>
              </w:rPr>
            </w:pPr>
            <w:r>
              <w:rPr>
                <w:rFonts w:hint="eastAsia"/>
                <w:color w:val="auto"/>
                <w:lang w:val="en-US" w:eastAsia="zh-CN"/>
              </w:rPr>
              <w:t>说明：</w:t>
            </w:r>
            <w:r>
              <w:rPr>
                <w:rFonts w:hint="eastAsia"/>
                <w:color w:val="auto"/>
                <w:lang w:val="zh-CN" w:eastAsia="zh-CN"/>
              </w:rPr>
              <w:t>超过</w:t>
            </w:r>
            <w:r>
              <w:rPr>
                <w:rFonts w:hint="eastAsia"/>
                <w:color w:val="auto"/>
                <w:lang w:val="en-US" w:eastAsia="zh-CN"/>
              </w:rPr>
              <w:t>采购预算</w:t>
            </w:r>
            <w:r>
              <w:rPr>
                <w:rFonts w:hint="eastAsia"/>
                <w:color w:val="auto"/>
                <w:lang w:val="zh-CN" w:eastAsia="zh-CN"/>
              </w:rPr>
              <w:t>的报价，其响应文件按无效处理。</w:t>
            </w:r>
          </w:p>
        </w:tc>
      </w:tr>
      <w:tr w14:paraId="5D41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continue"/>
            <w:noWrap w:val="0"/>
            <w:vAlign w:val="center"/>
          </w:tcPr>
          <w:p w14:paraId="56111159">
            <w:pPr>
              <w:spacing w:line="360" w:lineRule="auto"/>
              <w:jc w:val="center"/>
              <w:rPr>
                <w:rFonts w:hint="eastAsia" w:ascii="Times New Roman" w:hAnsi="Times New Roman" w:eastAsia="宋体" w:cs="Times New Roman"/>
                <w:color w:val="auto"/>
              </w:rPr>
            </w:pPr>
          </w:p>
        </w:tc>
        <w:tc>
          <w:tcPr>
            <w:tcW w:w="1967" w:type="dxa"/>
            <w:noWrap w:val="0"/>
            <w:vAlign w:val="center"/>
          </w:tcPr>
          <w:p w14:paraId="4E480A30">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最高</w:t>
            </w:r>
            <w:r>
              <w:rPr>
                <w:rFonts w:hint="eastAsia" w:ascii="Times New Roman" w:hAnsi="Times New Roman" w:eastAsia="宋体" w:cs="Times New Roman"/>
                <w:color w:val="auto"/>
              </w:rPr>
              <w:t xml:space="preserve">限价  </w:t>
            </w:r>
          </w:p>
          <w:p w14:paraId="61822488">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实质性要求</w:t>
            </w:r>
            <w:r>
              <w:rPr>
                <w:rFonts w:hint="eastAsia" w:ascii="Times New Roman" w:hAnsi="Times New Roman" w:eastAsia="宋体" w:cs="Times New Roman"/>
                <w:color w:val="auto"/>
                <w:lang w:eastAsia="zh-CN"/>
              </w:rPr>
              <w:t>）</w:t>
            </w:r>
          </w:p>
        </w:tc>
        <w:tc>
          <w:tcPr>
            <w:tcW w:w="6783" w:type="dxa"/>
            <w:noWrap w:val="0"/>
            <w:vAlign w:val="center"/>
          </w:tcPr>
          <w:p w14:paraId="5D60F172">
            <w:pPr>
              <w:spacing w:line="360" w:lineRule="auto"/>
              <w:rPr>
                <w:rFonts w:hint="default"/>
                <w:color w:val="auto"/>
                <w:lang w:val="en-US" w:eastAsia="zh-CN"/>
              </w:rPr>
            </w:pPr>
            <w:r>
              <w:rPr>
                <w:rFonts w:hint="eastAsia"/>
                <w:color w:val="auto"/>
                <w:lang w:val="zh-CN" w:eastAsia="zh-CN"/>
              </w:rPr>
              <w:t>本项目最高限价：</w:t>
            </w:r>
            <w:bookmarkStart w:id="11" w:name="PO_默认文件内容_21"/>
            <w:r>
              <w:rPr>
                <w:rFonts w:hint="eastAsia"/>
                <w:color w:val="auto"/>
                <w:lang w:val="en-US" w:eastAsia="zh-CN"/>
              </w:rPr>
              <w:t>6.75万元</w:t>
            </w:r>
          </w:p>
          <w:p w14:paraId="4D4A9E8A">
            <w:pPr>
              <w:spacing w:line="360" w:lineRule="auto"/>
              <w:rPr>
                <w:rFonts w:hint="default"/>
                <w:color w:val="auto"/>
                <w:lang w:val="en-US" w:eastAsia="zh-CN"/>
              </w:rPr>
            </w:pPr>
            <w:r>
              <w:rPr>
                <w:rFonts w:hint="eastAsia"/>
                <w:color w:val="auto"/>
                <w:lang w:val="en-US" w:eastAsia="zh-CN"/>
              </w:rPr>
              <w:t>说明：</w:t>
            </w:r>
            <w:r>
              <w:rPr>
                <w:rFonts w:hint="eastAsia"/>
                <w:color w:val="auto"/>
                <w:lang w:val="zh-CN" w:eastAsia="zh-CN"/>
              </w:rPr>
              <w:t>超过最高限价的报价，其响应文件按无效处理。</w:t>
            </w:r>
            <w:bookmarkEnd w:id="11"/>
          </w:p>
        </w:tc>
      </w:tr>
      <w:tr w14:paraId="3AE0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noWrap w:val="0"/>
            <w:vAlign w:val="center"/>
          </w:tcPr>
          <w:p w14:paraId="2B71E24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5</w:t>
            </w:r>
          </w:p>
        </w:tc>
        <w:tc>
          <w:tcPr>
            <w:tcW w:w="1967" w:type="dxa"/>
            <w:noWrap w:val="0"/>
            <w:vAlign w:val="center"/>
          </w:tcPr>
          <w:p w14:paraId="52E8AA12">
            <w:pPr>
              <w:spacing w:line="360" w:lineRule="auto"/>
              <w:jc w:val="center"/>
              <w:rPr>
                <w:rFonts w:hint="eastAsia"/>
                <w:color w:val="auto"/>
              </w:rPr>
            </w:pPr>
            <w:r>
              <w:rPr>
                <w:rFonts w:hint="eastAsia"/>
                <w:color w:val="auto"/>
              </w:rPr>
              <w:t>比选申请人资质条件、能力和信誉</w:t>
            </w:r>
          </w:p>
        </w:tc>
        <w:tc>
          <w:tcPr>
            <w:tcW w:w="6783" w:type="dxa"/>
            <w:noWrap w:val="0"/>
            <w:vAlign w:val="center"/>
          </w:tcPr>
          <w:p w14:paraId="4C311766">
            <w:pPr>
              <w:spacing w:line="360" w:lineRule="auto"/>
              <w:rPr>
                <w:rFonts w:hint="eastAsia"/>
                <w:color w:val="auto"/>
              </w:rPr>
            </w:pPr>
            <w:r>
              <w:rPr>
                <w:rFonts w:hint="eastAsia"/>
                <w:color w:val="auto"/>
              </w:rPr>
              <w:t>同第一章比选公告“比选申请人资格要求”</w:t>
            </w:r>
          </w:p>
        </w:tc>
      </w:tr>
      <w:tr w14:paraId="2071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9" w:type="dxa"/>
            <w:noWrap w:val="0"/>
            <w:vAlign w:val="center"/>
          </w:tcPr>
          <w:p w14:paraId="193E6E7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6</w:t>
            </w:r>
          </w:p>
        </w:tc>
        <w:tc>
          <w:tcPr>
            <w:tcW w:w="1967" w:type="dxa"/>
            <w:noWrap w:val="0"/>
            <w:vAlign w:val="center"/>
          </w:tcPr>
          <w:p w14:paraId="1BC4E410">
            <w:pPr>
              <w:spacing w:line="360" w:lineRule="auto"/>
              <w:jc w:val="center"/>
              <w:rPr>
                <w:rFonts w:hint="eastAsia"/>
                <w:color w:val="auto"/>
              </w:rPr>
            </w:pPr>
            <w:r>
              <w:rPr>
                <w:rFonts w:hint="eastAsia"/>
                <w:color w:val="auto"/>
              </w:rPr>
              <w:t>是否接受联合体参选（实质性要求）</w:t>
            </w:r>
          </w:p>
        </w:tc>
        <w:tc>
          <w:tcPr>
            <w:tcW w:w="6783" w:type="dxa"/>
            <w:noWrap w:val="0"/>
            <w:vAlign w:val="center"/>
          </w:tcPr>
          <w:p w14:paraId="2E7B4A79">
            <w:pPr>
              <w:spacing w:line="360" w:lineRule="auto"/>
              <w:rPr>
                <w:rFonts w:hint="eastAsia"/>
                <w:color w:val="auto"/>
              </w:rPr>
            </w:pPr>
            <w:r>
              <w:rPr>
                <w:rFonts w:hint="eastAsia"/>
                <w:color w:val="auto"/>
              </w:rPr>
              <w:t>不接受</w:t>
            </w:r>
          </w:p>
        </w:tc>
      </w:tr>
      <w:tr w14:paraId="08A1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9" w:type="dxa"/>
            <w:noWrap w:val="0"/>
            <w:vAlign w:val="center"/>
          </w:tcPr>
          <w:p w14:paraId="27E2516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7</w:t>
            </w:r>
          </w:p>
        </w:tc>
        <w:tc>
          <w:tcPr>
            <w:tcW w:w="1967" w:type="dxa"/>
            <w:noWrap w:val="0"/>
            <w:vAlign w:val="center"/>
          </w:tcPr>
          <w:p w14:paraId="1FC9A6FF">
            <w:pPr>
              <w:jc w:val="center"/>
              <w:rPr>
                <w:rFonts w:hint="eastAsia"/>
                <w:color w:val="auto"/>
              </w:rPr>
            </w:pPr>
            <w:r>
              <w:rPr>
                <w:rFonts w:hint="eastAsia"/>
                <w:color w:val="auto"/>
              </w:rPr>
              <w:t>比选响应有效期</w:t>
            </w:r>
          </w:p>
          <w:p w14:paraId="6A7B7623">
            <w:pPr>
              <w:jc w:val="center"/>
              <w:rPr>
                <w:rFonts w:hint="eastAsia"/>
                <w:color w:val="auto"/>
              </w:rPr>
            </w:pPr>
            <w:r>
              <w:rPr>
                <w:rFonts w:hint="eastAsia"/>
                <w:color w:val="auto"/>
              </w:rPr>
              <w:t>（实质性要求）</w:t>
            </w:r>
          </w:p>
        </w:tc>
        <w:tc>
          <w:tcPr>
            <w:tcW w:w="6783" w:type="dxa"/>
            <w:noWrap w:val="0"/>
            <w:vAlign w:val="center"/>
          </w:tcPr>
          <w:p w14:paraId="66A123DD">
            <w:pPr>
              <w:spacing w:line="360" w:lineRule="auto"/>
              <w:rPr>
                <w:rFonts w:hint="eastAsia"/>
                <w:color w:val="auto"/>
              </w:rPr>
            </w:pPr>
            <w:r>
              <w:rPr>
                <w:rFonts w:hint="eastAsia"/>
                <w:color w:val="auto"/>
              </w:rPr>
              <w:t>递交比选申请文件截止时间起</w:t>
            </w:r>
            <w:r>
              <w:rPr>
                <w:rFonts w:hint="eastAsia"/>
                <w:b/>
                <w:bCs/>
                <w:color w:val="auto"/>
              </w:rPr>
              <w:t>120日</w:t>
            </w:r>
            <w:r>
              <w:rPr>
                <w:rFonts w:hint="eastAsia"/>
                <w:color w:val="auto"/>
              </w:rPr>
              <w:t>内有效。</w:t>
            </w:r>
          </w:p>
        </w:tc>
      </w:tr>
      <w:tr w14:paraId="2DBF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9" w:type="dxa"/>
            <w:noWrap w:val="0"/>
            <w:vAlign w:val="center"/>
          </w:tcPr>
          <w:p w14:paraId="492A844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8</w:t>
            </w:r>
          </w:p>
        </w:tc>
        <w:tc>
          <w:tcPr>
            <w:tcW w:w="1967" w:type="dxa"/>
            <w:noWrap w:val="0"/>
            <w:vAlign w:val="center"/>
          </w:tcPr>
          <w:p w14:paraId="74350E9B">
            <w:pPr>
              <w:spacing w:line="360" w:lineRule="auto"/>
              <w:jc w:val="center"/>
              <w:rPr>
                <w:rFonts w:hint="eastAsia"/>
                <w:color w:val="auto"/>
              </w:rPr>
            </w:pPr>
            <w:r>
              <w:rPr>
                <w:rFonts w:hint="eastAsia"/>
                <w:color w:val="auto"/>
              </w:rPr>
              <w:t>比选保证金</w:t>
            </w:r>
          </w:p>
        </w:tc>
        <w:tc>
          <w:tcPr>
            <w:tcW w:w="6783" w:type="dxa"/>
            <w:noWrap w:val="0"/>
            <w:vAlign w:val="center"/>
          </w:tcPr>
          <w:p w14:paraId="29E05000">
            <w:pPr>
              <w:spacing w:line="360" w:lineRule="auto"/>
              <w:rPr>
                <w:rFonts w:hint="eastAsia"/>
                <w:color w:val="auto"/>
              </w:rPr>
            </w:pPr>
            <w:r>
              <w:rPr>
                <w:rFonts w:hint="eastAsia"/>
                <w:color w:val="auto"/>
              </w:rPr>
              <w:t>本项目不适用</w:t>
            </w:r>
          </w:p>
        </w:tc>
      </w:tr>
      <w:tr w14:paraId="1301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054167F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9</w:t>
            </w:r>
          </w:p>
        </w:tc>
        <w:tc>
          <w:tcPr>
            <w:tcW w:w="1967" w:type="dxa"/>
            <w:noWrap w:val="0"/>
            <w:vAlign w:val="center"/>
          </w:tcPr>
          <w:p w14:paraId="59EF9CFF">
            <w:pPr>
              <w:spacing w:line="360" w:lineRule="auto"/>
              <w:jc w:val="center"/>
              <w:rPr>
                <w:rFonts w:hint="eastAsia"/>
                <w:color w:val="auto"/>
              </w:rPr>
            </w:pPr>
            <w:r>
              <w:rPr>
                <w:rFonts w:hint="eastAsia"/>
                <w:color w:val="auto"/>
              </w:rPr>
              <w:t>比选保证金的退还</w:t>
            </w:r>
          </w:p>
        </w:tc>
        <w:tc>
          <w:tcPr>
            <w:tcW w:w="6783" w:type="dxa"/>
            <w:noWrap w:val="0"/>
            <w:vAlign w:val="top"/>
          </w:tcPr>
          <w:p w14:paraId="68C32D59">
            <w:pPr>
              <w:spacing w:line="360" w:lineRule="auto"/>
              <w:rPr>
                <w:rFonts w:hint="eastAsia"/>
                <w:color w:val="auto"/>
              </w:rPr>
            </w:pPr>
            <w:r>
              <w:rPr>
                <w:rFonts w:hint="eastAsia"/>
                <w:color w:val="auto"/>
              </w:rPr>
              <w:t>本项目不适用</w:t>
            </w:r>
          </w:p>
        </w:tc>
      </w:tr>
      <w:tr w14:paraId="67CB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1532B5CF">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10</w:t>
            </w:r>
          </w:p>
        </w:tc>
        <w:tc>
          <w:tcPr>
            <w:tcW w:w="1967" w:type="dxa"/>
            <w:noWrap w:val="0"/>
            <w:vAlign w:val="center"/>
          </w:tcPr>
          <w:p w14:paraId="5189E31A">
            <w:pPr>
              <w:pStyle w:val="98"/>
              <w:ind w:left="96"/>
              <w:jc w:val="center"/>
              <w:rPr>
                <w:rFonts w:hint="eastAsia" w:ascii="Times New Roman" w:eastAsia="宋体" w:cs="Times New Roman"/>
                <w:color w:val="auto"/>
                <w:kern w:val="2"/>
                <w:sz w:val="21"/>
              </w:rPr>
            </w:pPr>
            <w:r>
              <w:rPr>
                <w:rFonts w:hint="eastAsia" w:ascii="Times New Roman" w:eastAsia="宋体" w:cs="Times New Roman"/>
                <w:color w:val="auto"/>
                <w:kern w:val="2"/>
                <w:sz w:val="21"/>
              </w:rPr>
              <w:t>履约保证金</w:t>
            </w:r>
          </w:p>
          <w:p w14:paraId="515B66F3">
            <w:pPr>
              <w:spacing w:line="360" w:lineRule="auto"/>
              <w:jc w:val="center"/>
              <w:rPr>
                <w:rFonts w:hint="eastAsia"/>
                <w:color w:val="auto"/>
              </w:rPr>
            </w:pPr>
            <w:r>
              <w:rPr>
                <w:rFonts w:hint="eastAsia"/>
                <w:color w:val="auto"/>
              </w:rPr>
              <w:t>（实质性要求）</w:t>
            </w:r>
          </w:p>
        </w:tc>
        <w:tc>
          <w:tcPr>
            <w:tcW w:w="6783" w:type="dxa"/>
            <w:noWrap w:val="0"/>
            <w:vAlign w:val="top"/>
          </w:tcPr>
          <w:p w14:paraId="7CC65F86">
            <w:pPr>
              <w:spacing w:line="360" w:lineRule="auto"/>
              <w:rPr>
                <w:rFonts w:hint="eastAsia"/>
                <w:color w:val="auto"/>
              </w:rPr>
            </w:pPr>
            <w:r>
              <w:rPr>
                <w:rFonts w:hint="eastAsia"/>
                <w:color w:val="auto"/>
              </w:rPr>
              <w:t>本项目不适用</w:t>
            </w:r>
          </w:p>
        </w:tc>
      </w:tr>
      <w:tr w14:paraId="0DA4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9" w:type="dxa"/>
            <w:noWrap w:val="0"/>
            <w:vAlign w:val="center"/>
          </w:tcPr>
          <w:p w14:paraId="49EF2D1A">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11</w:t>
            </w:r>
          </w:p>
        </w:tc>
        <w:tc>
          <w:tcPr>
            <w:tcW w:w="1967" w:type="dxa"/>
            <w:noWrap w:val="0"/>
            <w:vAlign w:val="center"/>
          </w:tcPr>
          <w:p w14:paraId="771505FC">
            <w:pPr>
              <w:spacing w:line="360" w:lineRule="auto"/>
              <w:jc w:val="center"/>
              <w:rPr>
                <w:rFonts w:hint="eastAsia"/>
                <w:color w:val="auto"/>
              </w:rPr>
            </w:pPr>
            <w:r>
              <w:rPr>
                <w:rFonts w:hint="eastAsia"/>
                <w:color w:val="auto"/>
              </w:rPr>
              <w:t>比选保证金不予退还的情形（实质性要求）</w:t>
            </w:r>
          </w:p>
        </w:tc>
        <w:tc>
          <w:tcPr>
            <w:tcW w:w="6783" w:type="dxa"/>
            <w:noWrap w:val="0"/>
            <w:vAlign w:val="center"/>
          </w:tcPr>
          <w:p w14:paraId="36309959">
            <w:pPr>
              <w:spacing w:line="360" w:lineRule="auto"/>
              <w:rPr>
                <w:rFonts w:hint="eastAsia"/>
                <w:color w:val="auto"/>
              </w:rPr>
            </w:pPr>
            <w:r>
              <w:rPr>
                <w:rFonts w:hint="eastAsia"/>
                <w:color w:val="auto"/>
              </w:rPr>
              <w:t>本项目不适用</w:t>
            </w:r>
          </w:p>
        </w:tc>
      </w:tr>
      <w:tr w14:paraId="365E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9" w:type="dxa"/>
            <w:noWrap w:val="0"/>
            <w:vAlign w:val="center"/>
          </w:tcPr>
          <w:p w14:paraId="24A68081">
            <w:pPr>
              <w:spacing w:line="360" w:lineRule="auto"/>
              <w:jc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rPr>
              <w:t>1</w:t>
            </w:r>
            <w:r>
              <w:rPr>
                <w:rFonts w:hint="eastAsia" w:ascii="Times New Roman" w:hAnsi="Times New Roman" w:eastAsia="宋体" w:cs="Times New Roman"/>
                <w:color w:val="auto"/>
                <w:sz w:val="21"/>
                <w:szCs w:val="24"/>
                <w:lang w:val="en-US" w:eastAsia="zh-CN"/>
              </w:rPr>
              <w:t>2</w:t>
            </w:r>
          </w:p>
        </w:tc>
        <w:tc>
          <w:tcPr>
            <w:tcW w:w="1967" w:type="dxa"/>
            <w:noWrap w:val="0"/>
            <w:vAlign w:val="center"/>
          </w:tcPr>
          <w:p w14:paraId="1062ED5B">
            <w:pPr>
              <w:spacing w:line="360" w:lineRule="auto"/>
              <w:jc w:val="center"/>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比选申请文件份数、包装及密封要求</w:t>
            </w:r>
            <w:r>
              <w:rPr>
                <w:rFonts w:hint="eastAsia" w:ascii="Times New Roman" w:hAnsi="Times New Roman" w:eastAsia="宋体" w:cs="Times New Roman"/>
                <w:color w:val="auto"/>
              </w:rPr>
              <w:t>（实质性要求）</w:t>
            </w:r>
          </w:p>
        </w:tc>
        <w:tc>
          <w:tcPr>
            <w:tcW w:w="6783" w:type="dxa"/>
            <w:noWrap w:val="0"/>
            <w:vAlign w:val="center"/>
          </w:tcPr>
          <w:p w14:paraId="285F8108">
            <w:pPr>
              <w:numPr>
                <w:ilvl w:val="0"/>
                <w:numId w:val="2"/>
              </w:numPr>
              <w:spacing w:line="360" w:lineRule="auto"/>
              <w:rPr>
                <w:color w:val="auto"/>
              </w:rPr>
            </w:pPr>
            <w:r>
              <w:rPr>
                <w:rFonts w:hint="eastAsia"/>
                <w:b/>
                <w:bCs/>
                <w:color w:val="auto"/>
              </w:rPr>
              <w:t>正本一份，副本一份，电子文档一份</w:t>
            </w:r>
            <w:r>
              <w:rPr>
                <w:rFonts w:hint="eastAsia"/>
                <w:b/>
                <w:bCs/>
                <w:color w:val="auto"/>
                <w:lang w:eastAsia="zh-CN"/>
              </w:rPr>
              <w:t>（</w:t>
            </w:r>
            <w:r>
              <w:rPr>
                <w:rFonts w:hint="eastAsia"/>
                <w:b/>
                <w:bCs/>
                <w:color w:val="auto"/>
                <w:lang w:val="en-US" w:eastAsia="zh-CN"/>
              </w:rPr>
              <w:t>电子文档应</w:t>
            </w:r>
            <w:r>
              <w:rPr>
                <w:rFonts w:hint="eastAsia" w:ascii="Times New Roman" w:hAnsi="Times New Roman" w:eastAsia="宋体" w:cs="Times New Roman"/>
                <w:b/>
                <w:bCs/>
                <w:color w:val="auto"/>
                <w:lang w:val="en-US" w:eastAsia="zh-CN"/>
              </w:rPr>
              <w:t>是</w:t>
            </w:r>
            <w:r>
              <w:rPr>
                <w:rFonts w:hint="eastAsia" w:ascii="Times New Roman" w:hAnsi="Times New Roman" w:eastAsia="宋体" w:cs="Times New Roman"/>
                <w:b/>
                <w:bCs/>
                <w:color w:val="auto"/>
              </w:rPr>
              <w:t>比选申请文件</w:t>
            </w:r>
            <w:r>
              <w:rPr>
                <w:rFonts w:hint="eastAsia" w:ascii="Times New Roman" w:hAnsi="Times New Roman" w:eastAsia="宋体" w:cs="Times New Roman"/>
                <w:b/>
                <w:bCs/>
                <w:color w:val="auto"/>
                <w:lang w:val="en-US" w:eastAsia="zh-CN"/>
              </w:rPr>
              <w:t>正本的扫描件</w:t>
            </w:r>
            <w:r>
              <w:rPr>
                <w:rFonts w:hint="eastAsia" w:ascii="Times New Roman" w:hAnsi="Times New Roman" w:eastAsia="宋体" w:cs="Times New Roman"/>
                <w:b/>
                <w:bCs/>
                <w:color w:val="auto"/>
                <w:lang w:eastAsia="zh-CN"/>
              </w:rPr>
              <w:t>）</w:t>
            </w:r>
            <w:r>
              <w:rPr>
                <w:rFonts w:hint="eastAsia"/>
                <w:color w:val="auto"/>
              </w:rPr>
              <w:t>，比选申请文件副本由其正本复制（复印）而成（包括证明文件）。当副本和正本不一致时，以正本为准，但副本和正本内容不一致造成的评审差错由比选申请人自行承担。</w:t>
            </w:r>
          </w:p>
          <w:p w14:paraId="2E5A68A7">
            <w:pPr>
              <w:numPr>
                <w:ilvl w:val="0"/>
                <w:numId w:val="2"/>
              </w:numPr>
              <w:spacing w:line="360" w:lineRule="auto"/>
              <w:rPr>
                <w:color w:val="auto"/>
              </w:rPr>
            </w:pPr>
            <w:r>
              <w:rPr>
                <w:rFonts w:hint="eastAsia"/>
                <w:color w:val="auto"/>
              </w:rPr>
              <w:t>比选申请文件的正本、副本和电子文档应密封包装。</w:t>
            </w:r>
          </w:p>
        </w:tc>
      </w:tr>
      <w:tr w14:paraId="32CC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9" w:type="dxa"/>
            <w:noWrap w:val="0"/>
            <w:vAlign w:val="center"/>
          </w:tcPr>
          <w:p w14:paraId="5DB2E375">
            <w:pPr>
              <w:spacing w:line="360" w:lineRule="auto"/>
              <w:jc w:val="center"/>
              <w:rPr>
                <w:rFonts w:hint="eastAsia" w:ascii="宋体" w:eastAsia="宋体"/>
                <w:color w:val="auto"/>
                <w:sz w:val="18"/>
                <w:szCs w:val="18"/>
                <w:lang w:val="en-US" w:eastAsia="zh-CN"/>
              </w:rPr>
            </w:pPr>
            <w:r>
              <w:rPr>
                <w:rFonts w:hint="eastAsia" w:ascii="宋体"/>
                <w:color w:val="auto"/>
                <w:sz w:val="18"/>
                <w:szCs w:val="18"/>
              </w:rPr>
              <w:t>1</w:t>
            </w:r>
            <w:r>
              <w:rPr>
                <w:rFonts w:hint="eastAsia" w:ascii="宋体"/>
                <w:color w:val="auto"/>
                <w:sz w:val="18"/>
                <w:szCs w:val="18"/>
                <w:lang w:val="en-US" w:eastAsia="zh-CN"/>
              </w:rPr>
              <w:t>3</w:t>
            </w:r>
          </w:p>
        </w:tc>
        <w:tc>
          <w:tcPr>
            <w:tcW w:w="1967" w:type="dxa"/>
            <w:noWrap w:val="0"/>
            <w:vAlign w:val="center"/>
          </w:tcPr>
          <w:p w14:paraId="0C1A47CA">
            <w:pPr>
              <w:spacing w:line="360" w:lineRule="auto"/>
              <w:jc w:val="center"/>
              <w:rPr>
                <w:rFonts w:hint="eastAsia"/>
                <w:color w:val="auto"/>
              </w:rPr>
            </w:pPr>
            <w:r>
              <w:rPr>
                <w:rFonts w:hint="eastAsia"/>
                <w:color w:val="auto"/>
              </w:rPr>
              <w:t>装订要求</w:t>
            </w:r>
          </w:p>
        </w:tc>
        <w:tc>
          <w:tcPr>
            <w:tcW w:w="6783" w:type="dxa"/>
            <w:noWrap w:val="0"/>
            <w:vAlign w:val="center"/>
          </w:tcPr>
          <w:p w14:paraId="6FCC4BC2">
            <w:pPr>
              <w:spacing w:line="360" w:lineRule="auto"/>
              <w:jc w:val="left"/>
              <w:rPr>
                <w:rFonts w:hint="eastAsia"/>
                <w:color w:val="auto"/>
              </w:rPr>
            </w:pPr>
            <w:r>
              <w:rPr>
                <w:rFonts w:hint="eastAsia"/>
                <w:color w:val="auto"/>
              </w:rPr>
              <w:t>比选申请文件的正本和副本一律用A4复印纸（图纸、表格及证件除外）编制和复制。</w:t>
            </w:r>
          </w:p>
          <w:p w14:paraId="419764B5">
            <w:pPr>
              <w:spacing w:line="360" w:lineRule="auto"/>
              <w:jc w:val="left"/>
              <w:rPr>
                <w:rFonts w:hint="eastAsia"/>
                <w:color w:val="auto"/>
              </w:rPr>
            </w:pPr>
            <w:r>
              <w:rPr>
                <w:rFonts w:hint="eastAsia"/>
                <w:color w:val="auto"/>
              </w:rPr>
              <w:t>比选申请文件的正本和副本应采用粘贴方式左侧装订，不得采用活页夹等可随时拆换的方式装订，不得有零散页。</w:t>
            </w:r>
          </w:p>
          <w:p w14:paraId="28D7BFDF">
            <w:pPr>
              <w:spacing w:line="360" w:lineRule="auto"/>
              <w:jc w:val="left"/>
              <w:rPr>
                <w:rFonts w:hint="eastAsia"/>
                <w:color w:val="auto"/>
              </w:rPr>
            </w:pPr>
            <w:r>
              <w:rPr>
                <w:rFonts w:hint="eastAsia"/>
                <w:color w:val="auto"/>
              </w:rPr>
              <w:t>比选申请文件若同一册的内容较多，可装订成若干分册，并在封面标明次序及册数。</w:t>
            </w:r>
          </w:p>
          <w:p w14:paraId="34E937A3">
            <w:pPr>
              <w:spacing w:line="360" w:lineRule="auto"/>
              <w:jc w:val="left"/>
              <w:rPr>
                <w:rFonts w:hint="eastAsia"/>
                <w:color w:val="auto"/>
              </w:rPr>
            </w:pPr>
            <w:r>
              <w:rPr>
                <w:rFonts w:hint="eastAsia"/>
                <w:color w:val="auto"/>
              </w:rPr>
              <w:t>比选申请文件中的证明、证件及附件等的复印件应集中紧附在相应正文后面，并尽量与前面正文部分的顺序相对应。修改的比选申请文件的装订也应按本要求办理。</w:t>
            </w:r>
          </w:p>
        </w:tc>
      </w:tr>
      <w:tr w14:paraId="2189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49" w:type="dxa"/>
            <w:noWrap w:val="0"/>
            <w:vAlign w:val="center"/>
          </w:tcPr>
          <w:p w14:paraId="7478F978">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4</w:t>
            </w:r>
          </w:p>
        </w:tc>
        <w:tc>
          <w:tcPr>
            <w:tcW w:w="1967" w:type="dxa"/>
            <w:noWrap w:val="0"/>
            <w:vAlign w:val="center"/>
          </w:tcPr>
          <w:p w14:paraId="2E1FCADB">
            <w:pPr>
              <w:spacing w:line="360" w:lineRule="auto"/>
              <w:jc w:val="center"/>
              <w:rPr>
                <w:rFonts w:hint="eastAsia"/>
                <w:color w:val="auto"/>
              </w:rPr>
            </w:pPr>
            <w:r>
              <w:rPr>
                <w:rFonts w:hint="eastAsia"/>
                <w:color w:val="auto"/>
              </w:rPr>
              <w:t>是否退还比选申请文件（实质性要求）</w:t>
            </w:r>
          </w:p>
        </w:tc>
        <w:tc>
          <w:tcPr>
            <w:tcW w:w="6783" w:type="dxa"/>
            <w:noWrap w:val="0"/>
            <w:vAlign w:val="center"/>
          </w:tcPr>
          <w:p w14:paraId="2D14FC6D">
            <w:pPr>
              <w:spacing w:line="360" w:lineRule="auto"/>
              <w:jc w:val="left"/>
              <w:rPr>
                <w:rFonts w:hint="eastAsia"/>
                <w:color w:val="auto"/>
              </w:rPr>
            </w:pPr>
            <w:r>
              <w:rPr>
                <w:rFonts w:hint="eastAsia"/>
                <w:color w:val="auto"/>
              </w:rPr>
              <w:t>否</w:t>
            </w:r>
          </w:p>
        </w:tc>
      </w:tr>
      <w:tr w14:paraId="215F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9" w:type="dxa"/>
            <w:noWrap w:val="0"/>
            <w:vAlign w:val="center"/>
          </w:tcPr>
          <w:p w14:paraId="6996CF7B">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5</w:t>
            </w:r>
          </w:p>
        </w:tc>
        <w:tc>
          <w:tcPr>
            <w:tcW w:w="1967" w:type="dxa"/>
            <w:noWrap w:val="0"/>
            <w:vAlign w:val="center"/>
          </w:tcPr>
          <w:p w14:paraId="714EE547">
            <w:pPr>
              <w:spacing w:line="360" w:lineRule="auto"/>
              <w:jc w:val="center"/>
              <w:rPr>
                <w:rFonts w:hint="eastAsia"/>
                <w:color w:val="auto"/>
              </w:rPr>
            </w:pPr>
            <w:r>
              <w:rPr>
                <w:rFonts w:hint="eastAsia"/>
                <w:color w:val="auto"/>
              </w:rPr>
              <w:t>评审方法</w:t>
            </w:r>
          </w:p>
          <w:p w14:paraId="7DAF9278">
            <w:pPr>
              <w:spacing w:line="360" w:lineRule="auto"/>
              <w:jc w:val="center"/>
              <w:rPr>
                <w:rFonts w:hint="eastAsia"/>
                <w:color w:val="auto"/>
              </w:rPr>
            </w:pPr>
            <w:r>
              <w:rPr>
                <w:rFonts w:hint="eastAsia"/>
                <w:color w:val="auto"/>
              </w:rPr>
              <w:t>及标准</w:t>
            </w:r>
          </w:p>
        </w:tc>
        <w:tc>
          <w:tcPr>
            <w:tcW w:w="6783" w:type="dxa"/>
            <w:noWrap w:val="0"/>
            <w:vAlign w:val="center"/>
          </w:tcPr>
          <w:p w14:paraId="1554B4DB">
            <w:pPr>
              <w:spacing w:line="360" w:lineRule="auto"/>
              <w:jc w:val="left"/>
              <w:rPr>
                <w:rFonts w:hint="eastAsia"/>
                <w:color w:val="auto"/>
              </w:rPr>
            </w:pPr>
            <w:r>
              <w:rPr>
                <w:rFonts w:hint="eastAsia"/>
                <w:color w:val="auto"/>
              </w:rPr>
              <w:t>综合评审法，具体详见第五章</w:t>
            </w:r>
          </w:p>
        </w:tc>
      </w:tr>
      <w:tr w14:paraId="4DDC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0C4689A0">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w:t>
            </w:r>
          </w:p>
        </w:tc>
        <w:tc>
          <w:tcPr>
            <w:tcW w:w="1967" w:type="dxa"/>
            <w:noWrap w:val="0"/>
            <w:vAlign w:val="center"/>
          </w:tcPr>
          <w:p w14:paraId="54E22056">
            <w:pPr>
              <w:spacing w:line="360" w:lineRule="auto"/>
              <w:jc w:val="center"/>
              <w:rPr>
                <w:rFonts w:hint="eastAsia"/>
                <w:color w:val="auto"/>
              </w:rPr>
            </w:pPr>
            <w:r>
              <w:rPr>
                <w:rFonts w:hint="eastAsia"/>
                <w:color w:val="auto"/>
              </w:rPr>
              <w:t>是否授权评审委员会确定中选人</w:t>
            </w:r>
          </w:p>
        </w:tc>
        <w:tc>
          <w:tcPr>
            <w:tcW w:w="6783" w:type="dxa"/>
            <w:noWrap w:val="0"/>
            <w:vAlign w:val="center"/>
          </w:tcPr>
          <w:p w14:paraId="4F729843">
            <w:pPr>
              <w:spacing w:line="360" w:lineRule="auto"/>
              <w:jc w:val="left"/>
              <w:rPr>
                <w:rFonts w:hint="eastAsia"/>
                <w:color w:val="auto"/>
              </w:rPr>
            </w:pPr>
            <w:bookmarkStart w:id="12" w:name="_Toc365040661"/>
            <w:r>
              <w:rPr>
                <w:rFonts w:hint="eastAsia"/>
                <w:color w:val="auto"/>
              </w:rPr>
              <w:t>否，推荐的中选候选人数：1-3名。</w:t>
            </w:r>
            <w:bookmarkEnd w:id="12"/>
          </w:p>
        </w:tc>
      </w:tr>
      <w:tr w14:paraId="70DD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08C94FEA">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7</w:t>
            </w:r>
          </w:p>
        </w:tc>
        <w:tc>
          <w:tcPr>
            <w:tcW w:w="8750" w:type="dxa"/>
            <w:gridSpan w:val="2"/>
            <w:noWrap w:val="0"/>
            <w:vAlign w:val="center"/>
          </w:tcPr>
          <w:p w14:paraId="60A082D7">
            <w:pPr>
              <w:spacing w:line="360" w:lineRule="auto"/>
              <w:jc w:val="center"/>
              <w:rPr>
                <w:rFonts w:hint="eastAsia"/>
                <w:color w:val="auto"/>
              </w:rPr>
            </w:pPr>
            <w:r>
              <w:rPr>
                <w:rFonts w:hint="eastAsia"/>
                <w:color w:val="auto"/>
              </w:rPr>
              <w:t>对比选文件的澄清及答疑</w:t>
            </w:r>
          </w:p>
        </w:tc>
      </w:tr>
      <w:tr w14:paraId="3570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1324686F">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.1</w:t>
            </w:r>
          </w:p>
        </w:tc>
        <w:tc>
          <w:tcPr>
            <w:tcW w:w="1967" w:type="dxa"/>
            <w:noWrap w:val="0"/>
            <w:vAlign w:val="center"/>
          </w:tcPr>
          <w:p w14:paraId="1F627D81">
            <w:pPr>
              <w:spacing w:line="360" w:lineRule="auto"/>
              <w:jc w:val="left"/>
              <w:rPr>
                <w:rFonts w:hint="eastAsia"/>
                <w:color w:val="auto"/>
              </w:rPr>
            </w:pPr>
            <w:r>
              <w:rPr>
                <w:rFonts w:hint="eastAsia"/>
                <w:color w:val="auto"/>
              </w:rPr>
              <w:t>比选人对比选文件的澄清或修改</w:t>
            </w:r>
          </w:p>
        </w:tc>
        <w:tc>
          <w:tcPr>
            <w:tcW w:w="6783" w:type="dxa"/>
            <w:noWrap w:val="0"/>
            <w:vAlign w:val="center"/>
          </w:tcPr>
          <w:p w14:paraId="5DA75D0A">
            <w:pPr>
              <w:spacing w:line="360" w:lineRule="auto"/>
              <w:jc w:val="left"/>
              <w:rPr>
                <w:rFonts w:hint="eastAsia"/>
                <w:color w:val="auto"/>
              </w:rPr>
            </w:pPr>
            <w:r>
              <w:rPr>
                <w:rFonts w:hint="eastAsia"/>
                <w:color w:val="auto"/>
              </w:rPr>
              <w:t>比选人无论出于何种原因，在递交比选申请文件截止时间1日前，均可以对比选文件进行澄清或修改，澄清或修改的内容为比选文件的组成部分，对比选人和比选申请人均起约束作用</w:t>
            </w:r>
          </w:p>
        </w:tc>
      </w:tr>
      <w:tr w14:paraId="56B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7050298B">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.2</w:t>
            </w:r>
          </w:p>
        </w:tc>
        <w:tc>
          <w:tcPr>
            <w:tcW w:w="1967" w:type="dxa"/>
            <w:noWrap w:val="0"/>
            <w:vAlign w:val="center"/>
          </w:tcPr>
          <w:p w14:paraId="20FE9629">
            <w:pPr>
              <w:spacing w:line="360" w:lineRule="auto"/>
              <w:jc w:val="left"/>
              <w:rPr>
                <w:rFonts w:hint="eastAsia"/>
                <w:color w:val="auto"/>
              </w:rPr>
            </w:pPr>
            <w:r>
              <w:rPr>
                <w:rFonts w:hint="eastAsia"/>
                <w:color w:val="auto"/>
              </w:rPr>
              <w:t>申请人对比选文件提出异议的截止时间和方式</w:t>
            </w:r>
          </w:p>
        </w:tc>
        <w:tc>
          <w:tcPr>
            <w:tcW w:w="6783" w:type="dxa"/>
            <w:noWrap w:val="0"/>
            <w:vAlign w:val="center"/>
          </w:tcPr>
          <w:p w14:paraId="4D0C81E1">
            <w:pPr>
              <w:spacing w:line="360" w:lineRule="auto"/>
              <w:jc w:val="left"/>
              <w:rPr>
                <w:rFonts w:hint="eastAsia"/>
                <w:color w:val="auto"/>
              </w:rPr>
            </w:pPr>
            <w:r>
              <w:rPr>
                <w:rFonts w:hint="eastAsia"/>
                <w:color w:val="auto"/>
              </w:rPr>
              <w:t>申请人如有异议，应在递交比选申请文件截止时间1日前，以书面形式向比选人提出（在以上规定的时间内未提出异议的，将视为完全认同本项目比选文件的全部内容和要求）。</w:t>
            </w:r>
          </w:p>
        </w:tc>
      </w:tr>
      <w:tr w14:paraId="73F5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751C825">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8</w:t>
            </w:r>
          </w:p>
        </w:tc>
        <w:tc>
          <w:tcPr>
            <w:tcW w:w="8750" w:type="dxa"/>
            <w:gridSpan w:val="2"/>
            <w:noWrap w:val="0"/>
            <w:vAlign w:val="center"/>
          </w:tcPr>
          <w:p w14:paraId="74097DF2">
            <w:pPr>
              <w:spacing w:line="360" w:lineRule="exact"/>
              <w:jc w:val="center"/>
              <w:rPr>
                <w:rFonts w:ascii="宋体"/>
                <w:color w:val="auto"/>
                <w:sz w:val="18"/>
                <w:szCs w:val="18"/>
              </w:rPr>
            </w:pPr>
            <w:r>
              <w:rPr>
                <w:rFonts w:hint="eastAsia"/>
                <w:color w:val="auto"/>
              </w:rPr>
              <w:t>对比选评审结果的异议</w:t>
            </w:r>
          </w:p>
        </w:tc>
      </w:tr>
      <w:tr w14:paraId="6AF2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3EC27E5">
            <w:pPr>
              <w:spacing w:line="360" w:lineRule="auto"/>
              <w:jc w:val="center"/>
              <w:rPr>
                <w:rFonts w:hint="eastAsia"/>
                <w:color w:val="auto"/>
              </w:rPr>
            </w:pPr>
            <w:r>
              <w:rPr>
                <w:rFonts w:hint="eastAsia"/>
                <w:color w:val="auto"/>
              </w:rPr>
              <w:t>1</w:t>
            </w:r>
            <w:r>
              <w:rPr>
                <w:rFonts w:hint="eastAsia"/>
                <w:color w:val="auto"/>
                <w:lang w:val="en-US" w:eastAsia="zh-CN"/>
              </w:rPr>
              <w:t>8</w:t>
            </w:r>
            <w:r>
              <w:rPr>
                <w:rFonts w:hint="eastAsia"/>
                <w:color w:val="auto"/>
              </w:rPr>
              <w:t>.1</w:t>
            </w:r>
          </w:p>
        </w:tc>
        <w:tc>
          <w:tcPr>
            <w:tcW w:w="1967" w:type="dxa"/>
            <w:noWrap w:val="0"/>
            <w:vAlign w:val="center"/>
          </w:tcPr>
          <w:p w14:paraId="7961B449">
            <w:pPr>
              <w:spacing w:line="360" w:lineRule="auto"/>
              <w:jc w:val="left"/>
              <w:rPr>
                <w:rFonts w:hint="eastAsia"/>
                <w:color w:val="auto"/>
              </w:rPr>
            </w:pPr>
            <w:r>
              <w:rPr>
                <w:rFonts w:hint="eastAsia"/>
                <w:color w:val="auto"/>
              </w:rPr>
              <w:t>申请人对比选评审结果提出异议的截止时间和方式</w:t>
            </w:r>
          </w:p>
        </w:tc>
        <w:tc>
          <w:tcPr>
            <w:tcW w:w="6783" w:type="dxa"/>
            <w:noWrap w:val="0"/>
            <w:vAlign w:val="center"/>
          </w:tcPr>
          <w:p w14:paraId="162DECCA">
            <w:pPr>
              <w:spacing w:line="360" w:lineRule="exact"/>
              <w:rPr>
                <w:rFonts w:ascii="宋体"/>
                <w:color w:val="auto"/>
                <w:sz w:val="18"/>
                <w:szCs w:val="18"/>
              </w:rPr>
            </w:pPr>
            <w:r>
              <w:rPr>
                <w:rFonts w:hint="eastAsia"/>
                <w:color w:val="auto"/>
              </w:rPr>
              <w:t>比选申请人对本项目的比选结果有异议的，应当在比选结果公示期间（公示期为</w:t>
            </w:r>
            <w:r>
              <w:rPr>
                <w:rFonts w:hint="eastAsia"/>
                <w:color w:val="auto"/>
                <w:lang w:val="en-US" w:eastAsia="zh-CN"/>
              </w:rPr>
              <w:t>1个工作</w:t>
            </w:r>
            <w:r>
              <w:rPr>
                <w:rFonts w:hint="eastAsia"/>
                <w:color w:val="auto"/>
              </w:rPr>
              <w:t>日）以书面形式（加盖比选申请人公章（鲜章）并由法定代表人或代理人签字）提出。</w:t>
            </w:r>
          </w:p>
        </w:tc>
      </w:tr>
      <w:tr w14:paraId="2EBC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9" w:type="dxa"/>
            <w:noWrap w:val="0"/>
            <w:vAlign w:val="center"/>
          </w:tcPr>
          <w:p w14:paraId="69B80633">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9</w:t>
            </w:r>
          </w:p>
        </w:tc>
        <w:tc>
          <w:tcPr>
            <w:tcW w:w="8750" w:type="dxa"/>
            <w:gridSpan w:val="2"/>
            <w:noWrap w:val="0"/>
            <w:vAlign w:val="center"/>
          </w:tcPr>
          <w:p w14:paraId="5C4681F0">
            <w:pPr>
              <w:spacing w:line="360" w:lineRule="auto"/>
              <w:jc w:val="center"/>
              <w:rPr>
                <w:color w:val="auto"/>
                <w:sz w:val="18"/>
                <w:szCs w:val="18"/>
              </w:rPr>
            </w:pPr>
            <w:r>
              <w:rPr>
                <w:rFonts w:hint="eastAsia"/>
                <w:color w:val="auto"/>
              </w:rPr>
              <w:t>需要补充的其他内容</w:t>
            </w:r>
          </w:p>
        </w:tc>
      </w:tr>
      <w:tr w14:paraId="2103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9" w:type="dxa"/>
            <w:noWrap w:val="0"/>
            <w:vAlign w:val="center"/>
          </w:tcPr>
          <w:p w14:paraId="776702CF">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.1</w:t>
            </w:r>
          </w:p>
        </w:tc>
        <w:tc>
          <w:tcPr>
            <w:tcW w:w="1967" w:type="dxa"/>
            <w:noWrap w:val="0"/>
            <w:vAlign w:val="center"/>
          </w:tcPr>
          <w:p w14:paraId="370EEEFB">
            <w:pPr>
              <w:spacing w:line="360" w:lineRule="exact"/>
              <w:rPr>
                <w:rFonts w:hint="eastAsia"/>
                <w:color w:val="auto"/>
              </w:rPr>
            </w:pPr>
            <w:r>
              <w:rPr>
                <w:rFonts w:hint="eastAsia"/>
                <w:color w:val="auto"/>
              </w:rPr>
              <w:t>严禁转包和违法分包</w:t>
            </w:r>
          </w:p>
          <w:p w14:paraId="4AFCD059">
            <w:pPr>
              <w:spacing w:line="360" w:lineRule="exact"/>
              <w:rPr>
                <w:rFonts w:hint="eastAsia"/>
                <w:color w:val="auto"/>
              </w:rPr>
            </w:pPr>
            <w:r>
              <w:rPr>
                <w:rFonts w:hint="eastAsia"/>
                <w:color w:val="auto"/>
              </w:rPr>
              <w:t>（实质性要求）</w:t>
            </w:r>
          </w:p>
        </w:tc>
        <w:tc>
          <w:tcPr>
            <w:tcW w:w="6783" w:type="dxa"/>
            <w:noWrap w:val="0"/>
            <w:vAlign w:val="center"/>
          </w:tcPr>
          <w:p w14:paraId="3C68250C">
            <w:pPr>
              <w:spacing w:line="360" w:lineRule="exact"/>
              <w:rPr>
                <w:rFonts w:hint="eastAsia"/>
                <w:color w:val="auto"/>
              </w:rPr>
            </w:pPr>
            <w:r>
              <w:rPr>
                <w:rFonts w:hint="eastAsia"/>
                <w:color w:val="auto"/>
              </w:rPr>
              <w:t>严禁转包和违法分包。未经比选人书面同意，中选人不得变更项目负责人。</w:t>
            </w:r>
          </w:p>
          <w:p w14:paraId="1FACBF5E">
            <w:pPr>
              <w:spacing w:line="360" w:lineRule="exact"/>
              <w:rPr>
                <w:rFonts w:hint="eastAsia"/>
                <w:color w:val="auto"/>
              </w:rPr>
            </w:pPr>
            <w:r>
              <w:rPr>
                <w:rFonts w:hint="eastAsia"/>
                <w:color w:val="auto"/>
              </w:rPr>
              <w:t>凡比选文件未明确可以分包的，中选人不得进行任何形式的分包。</w:t>
            </w:r>
          </w:p>
        </w:tc>
      </w:tr>
      <w:tr w14:paraId="1B7D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49" w:type="dxa"/>
            <w:noWrap w:val="0"/>
            <w:vAlign w:val="center"/>
          </w:tcPr>
          <w:p w14:paraId="63DCB327">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.2</w:t>
            </w:r>
          </w:p>
        </w:tc>
        <w:tc>
          <w:tcPr>
            <w:tcW w:w="1967" w:type="dxa"/>
            <w:noWrap w:val="0"/>
            <w:vAlign w:val="center"/>
          </w:tcPr>
          <w:p w14:paraId="5093A052">
            <w:pPr>
              <w:spacing w:line="360" w:lineRule="exact"/>
              <w:rPr>
                <w:rFonts w:hint="eastAsia"/>
                <w:color w:val="auto"/>
              </w:rPr>
            </w:pPr>
            <w:r>
              <w:rPr>
                <w:rFonts w:hint="eastAsia"/>
                <w:color w:val="auto"/>
              </w:rPr>
              <w:t>比选文件的解释</w:t>
            </w:r>
          </w:p>
        </w:tc>
        <w:tc>
          <w:tcPr>
            <w:tcW w:w="6783" w:type="dxa"/>
            <w:noWrap w:val="0"/>
            <w:vAlign w:val="center"/>
          </w:tcPr>
          <w:p w14:paraId="21A7F508">
            <w:pPr>
              <w:spacing w:line="360" w:lineRule="exact"/>
              <w:rPr>
                <w:rFonts w:hint="eastAsia"/>
                <w:color w:val="auto"/>
              </w:rPr>
            </w:pPr>
            <w:r>
              <w:rPr>
                <w:rFonts w:hint="eastAsia"/>
                <w:color w:val="auto"/>
              </w:rPr>
              <w:t>由比选人解释。</w:t>
            </w:r>
          </w:p>
        </w:tc>
      </w:tr>
      <w:tr w14:paraId="07D8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57B06F77">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.3</w:t>
            </w:r>
          </w:p>
        </w:tc>
        <w:tc>
          <w:tcPr>
            <w:tcW w:w="1967" w:type="dxa"/>
            <w:noWrap w:val="0"/>
            <w:vAlign w:val="center"/>
          </w:tcPr>
          <w:p w14:paraId="2859123E">
            <w:pPr>
              <w:spacing w:line="360" w:lineRule="exact"/>
              <w:rPr>
                <w:rFonts w:hint="eastAsia"/>
                <w:color w:val="auto"/>
              </w:rPr>
            </w:pPr>
            <w:r>
              <w:rPr>
                <w:rFonts w:hint="eastAsia"/>
                <w:color w:val="auto"/>
              </w:rPr>
              <w:t>比选文件内容冲突的解决及优先适用次序</w:t>
            </w:r>
          </w:p>
        </w:tc>
        <w:tc>
          <w:tcPr>
            <w:tcW w:w="6783" w:type="dxa"/>
            <w:noWrap w:val="0"/>
            <w:vAlign w:val="center"/>
          </w:tcPr>
          <w:p w14:paraId="6F89C00E">
            <w:pPr>
              <w:spacing w:line="360" w:lineRule="exact"/>
              <w:rPr>
                <w:rFonts w:hint="eastAsia"/>
                <w:color w:val="auto"/>
              </w:rPr>
            </w:pPr>
            <w:r>
              <w:rPr>
                <w:rFonts w:hint="eastAsia"/>
                <w:color w:val="auto"/>
              </w:rPr>
              <w:t>比选文件中比选人编制的内容前后有矛盾或不一致，有时间先后顺序的，以时间在后的修改、澄清或补正文件为准；没有时间先后顺序的，以公平的原则进行处理。</w:t>
            </w:r>
          </w:p>
        </w:tc>
      </w:tr>
      <w:tr w14:paraId="08E7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008786B7">
            <w:pPr>
              <w:spacing w:line="360" w:lineRule="exact"/>
              <w:jc w:val="center"/>
              <w:rPr>
                <w:color w:val="auto"/>
              </w:rPr>
            </w:pPr>
            <w:r>
              <w:rPr>
                <w:rFonts w:hint="eastAsia"/>
                <w:color w:val="auto"/>
              </w:rPr>
              <w:t>1</w:t>
            </w:r>
            <w:r>
              <w:rPr>
                <w:rFonts w:hint="eastAsia"/>
                <w:color w:val="auto"/>
                <w:lang w:val="en-US" w:eastAsia="zh-CN"/>
              </w:rPr>
              <w:t>9</w:t>
            </w:r>
            <w:r>
              <w:rPr>
                <w:rFonts w:hint="eastAsia"/>
                <w:color w:val="auto"/>
              </w:rPr>
              <w:t>.4</w:t>
            </w:r>
          </w:p>
        </w:tc>
        <w:tc>
          <w:tcPr>
            <w:tcW w:w="1967" w:type="dxa"/>
            <w:noWrap w:val="0"/>
            <w:vAlign w:val="center"/>
          </w:tcPr>
          <w:p w14:paraId="2B1F16DA">
            <w:pPr>
              <w:spacing w:line="360" w:lineRule="exact"/>
              <w:rPr>
                <w:rFonts w:hint="eastAsia"/>
                <w:color w:val="auto"/>
              </w:rPr>
            </w:pPr>
            <w:r>
              <w:rPr>
                <w:rFonts w:hint="eastAsia"/>
                <w:color w:val="auto"/>
              </w:rPr>
              <w:t>进口产品</w:t>
            </w:r>
          </w:p>
        </w:tc>
        <w:tc>
          <w:tcPr>
            <w:tcW w:w="6783" w:type="dxa"/>
            <w:noWrap w:val="0"/>
            <w:vAlign w:val="center"/>
          </w:tcPr>
          <w:p w14:paraId="18AD07E0">
            <w:pPr>
              <w:spacing w:line="360" w:lineRule="exact"/>
              <w:rPr>
                <w:rFonts w:hint="eastAsia" w:eastAsia="宋体"/>
                <w:color w:val="auto"/>
                <w:lang w:eastAsia="zh-CN"/>
              </w:rPr>
            </w:pPr>
            <w:r>
              <w:rPr>
                <w:rFonts w:hint="eastAsia"/>
                <w:color w:val="auto"/>
              </w:rPr>
              <w:t>不</w:t>
            </w:r>
            <w:r>
              <w:rPr>
                <w:rFonts w:hint="eastAsia"/>
                <w:color w:val="auto"/>
                <w:lang w:val="en-US" w:eastAsia="zh-CN"/>
              </w:rPr>
              <w:t>涉及</w:t>
            </w:r>
          </w:p>
        </w:tc>
      </w:tr>
      <w:tr w14:paraId="5417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599" w:type="dxa"/>
            <w:gridSpan w:val="3"/>
            <w:noWrap w:val="0"/>
            <w:vAlign w:val="top"/>
          </w:tcPr>
          <w:p w14:paraId="3F8E4C9F">
            <w:pPr>
              <w:spacing w:line="300" w:lineRule="exact"/>
              <w:jc w:val="left"/>
              <w:rPr>
                <w:rFonts w:ascii="宋体" w:hAnsi="宋体"/>
                <w:b/>
                <w:color w:val="auto"/>
                <w:sz w:val="18"/>
                <w:szCs w:val="18"/>
              </w:rPr>
            </w:pPr>
            <w:r>
              <w:rPr>
                <w:rFonts w:hint="eastAsia"/>
                <w:color w:val="auto"/>
              </w:rPr>
              <w:t>注：本比选申请人须知前附表与比选文件的其他内容不一致时，以本表内容为准</w:t>
            </w:r>
          </w:p>
        </w:tc>
      </w:tr>
    </w:tbl>
    <w:p w14:paraId="06113AB2">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w:t>
      </w:r>
      <w:r>
        <w:rPr>
          <w:rFonts w:ascii="宋体" w:hAnsi="宋体" w:eastAsia="宋体"/>
          <w:b/>
          <w:color w:val="auto"/>
          <w:sz w:val="24"/>
          <w:szCs w:val="24"/>
        </w:rPr>
        <w:t xml:space="preserve">   </w:t>
      </w:r>
      <w:r>
        <w:rPr>
          <w:rFonts w:hint="eastAsia" w:ascii="宋体" w:hAnsi="宋体" w:eastAsia="宋体"/>
          <w:b/>
          <w:color w:val="auto"/>
          <w:sz w:val="24"/>
          <w:szCs w:val="24"/>
        </w:rPr>
        <w:t>则</w:t>
      </w:r>
    </w:p>
    <w:p w14:paraId="4A020C23">
      <w:pPr>
        <w:pStyle w:val="6"/>
        <w:ind w:firstLine="0"/>
        <w:rPr>
          <w:bCs/>
          <w:color w:val="auto"/>
          <w:szCs w:val="24"/>
        </w:rPr>
      </w:pPr>
      <w:r>
        <w:rPr>
          <w:rFonts w:hint="eastAsia"/>
          <w:bCs/>
          <w:color w:val="auto"/>
          <w:szCs w:val="24"/>
        </w:rPr>
        <w:t>1、说明</w:t>
      </w:r>
    </w:p>
    <w:p w14:paraId="6C2359C9">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“比选人”系指</w:t>
      </w:r>
      <w:r>
        <w:rPr>
          <w:rFonts w:ascii="宋体" w:hAnsi="宋体"/>
          <w:color w:val="auto"/>
          <w:sz w:val="24"/>
        </w:rPr>
        <w:t>提出</w:t>
      </w:r>
      <w:r>
        <w:rPr>
          <w:rFonts w:hint="eastAsia" w:ascii="宋体" w:hAnsi="宋体"/>
          <w:color w:val="auto"/>
          <w:sz w:val="24"/>
        </w:rPr>
        <w:t>比选</w:t>
      </w:r>
      <w:r>
        <w:rPr>
          <w:rFonts w:ascii="宋体" w:hAnsi="宋体"/>
          <w:color w:val="auto"/>
          <w:sz w:val="24"/>
        </w:rPr>
        <w:t>项目、进行</w:t>
      </w:r>
      <w:r>
        <w:rPr>
          <w:rFonts w:hint="eastAsia" w:ascii="宋体" w:hAnsi="宋体"/>
          <w:color w:val="auto"/>
          <w:sz w:val="24"/>
        </w:rPr>
        <w:t>比选</w:t>
      </w:r>
      <w:r>
        <w:rPr>
          <w:rFonts w:ascii="宋体" w:hAnsi="宋体"/>
          <w:color w:val="auto"/>
          <w:sz w:val="24"/>
        </w:rPr>
        <w:t>的法人</w:t>
      </w:r>
      <w:r>
        <w:rPr>
          <w:rFonts w:hint="eastAsia" w:ascii="宋体" w:hAnsi="宋体"/>
          <w:color w:val="auto"/>
          <w:sz w:val="24"/>
        </w:rPr>
        <w:t>。本次项目的比选人是</w:t>
      </w:r>
      <w:r>
        <w:rPr>
          <w:rFonts w:hint="eastAsia" w:ascii="宋体" w:hAnsi="宋体"/>
          <w:color w:val="auto"/>
          <w:sz w:val="24"/>
          <w:u w:val="single"/>
        </w:rPr>
        <w:t>金堂县第一人民医院</w:t>
      </w:r>
      <w:r>
        <w:rPr>
          <w:rFonts w:hint="eastAsia" w:ascii="宋体" w:hAnsi="宋体"/>
          <w:color w:val="auto"/>
          <w:sz w:val="24"/>
        </w:rPr>
        <w:t>。</w:t>
      </w:r>
    </w:p>
    <w:p w14:paraId="6D05BF8F">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“比选申请人”系指</w:t>
      </w:r>
      <w:r>
        <w:rPr>
          <w:rFonts w:ascii="宋体" w:hAnsi="宋体"/>
          <w:color w:val="auto"/>
          <w:sz w:val="24"/>
        </w:rPr>
        <w:t>响应</w:t>
      </w:r>
      <w:r>
        <w:rPr>
          <w:rFonts w:hint="eastAsia" w:ascii="宋体" w:hAnsi="宋体"/>
          <w:color w:val="auto"/>
          <w:sz w:val="24"/>
        </w:rPr>
        <w:t>比选</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28FA433F">
      <w:pPr>
        <w:pStyle w:val="6"/>
        <w:ind w:firstLine="0"/>
        <w:rPr>
          <w:bCs/>
          <w:color w:val="auto"/>
          <w:szCs w:val="24"/>
        </w:rPr>
      </w:pPr>
      <w:r>
        <w:rPr>
          <w:bCs/>
          <w:color w:val="auto"/>
          <w:szCs w:val="24"/>
        </w:rPr>
        <w:t>2</w:t>
      </w:r>
      <w:r>
        <w:rPr>
          <w:rFonts w:hint="eastAsia"/>
          <w:bCs/>
          <w:color w:val="auto"/>
          <w:szCs w:val="24"/>
        </w:rPr>
        <w:t>、</w:t>
      </w:r>
      <w:r>
        <w:rPr>
          <w:bCs/>
          <w:color w:val="auto"/>
          <w:szCs w:val="24"/>
        </w:rPr>
        <w:t>比选</w:t>
      </w:r>
      <w:r>
        <w:rPr>
          <w:rFonts w:hint="eastAsia"/>
          <w:bCs/>
          <w:color w:val="auto"/>
          <w:szCs w:val="24"/>
        </w:rPr>
        <w:t>概况</w:t>
      </w:r>
    </w:p>
    <w:p w14:paraId="18C3725C">
      <w:pPr>
        <w:spacing w:line="360" w:lineRule="auto"/>
        <w:ind w:firstLine="480" w:firstLineChars="200"/>
        <w:rPr>
          <w:rFonts w:ascii="宋体" w:hAnsi="宋体"/>
          <w:color w:val="auto"/>
          <w:sz w:val="24"/>
        </w:rPr>
      </w:pPr>
      <w:r>
        <w:rPr>
          <w:rFonts w:hint="eastAsia" w:ascii="宋体" w:hAnsi="宋体"/>
          <w:color w:val="auto"/>
          <w:sz w:val="24"/>
        </w:rPr>
        <w:t>详见第一章比选公告。</w:t>
      </w:r>
    </w:p>
    <w:p w14:paraId="41A02926">
      <w:pPr>
        <w:pStyle w:val="6"/>
        <w:ind w:firstLine="0"/>
        <w:rPr>
          <w:bCs/>
          <w:color w:val="auto"/>
          <w:szCs w:val="24"/>
        </w:rPr>
      </w:pPr>
      <w:r>
        <w:rPr>
          <w:bCs/>
          <w:color w:val="auto"/>
          <w:szCs w:val="24"/>
        </w:rPr>
        <w:t>3</w:t>
      </w:r>
      <w:r>
        <w:rPr>
          <w:rFonts w:hint="eastAsia"/>
          <w:bCs/>
          <w:color w:val="auto"/>
          <w:szCs w:val="24"/>
        </w:rPr>
        <w:t>、合格的比选申请人（实质性要求）</w:t>
      </w:r>
    </w:p>
    <w:p w14:paraId="2DBBA08A">
      <w:pPr>
        <w:tabs>
          <w:tab w:val="left" w:pos="720"/>
        </w:tabs>
        <w:spacing w:line="360" w:lineRule="auto"/>
        <w:rPr>
          <w:rFonts w:ascii="宋体" w:hAnsi="宋体"/>
          <w:color w:val="auto"/>
          <w:sz w:val="24"/>
        </w:rPr>
      </w:pPr>
      <w:r>
        <w:rPr>
          <w:rFonts w:hint="eastAsia" w:ascii="宋体" w:hAnsi="宋体"/>
          <w:color w:val="auto"/>
          <w:sz w:val="24"/>
        </w:rPr>
        <w:t>合格的比选申请人应具备以下条件：</w:t>
      </w:r>
    </w:p>
    <w:p w14:paraId="21A4D931">
      <w:pPr>
        <w:tabs>
          <w:tab w:val="left" w:pos="720"/>
        </w:tabs>
        <w:spacing w:line="360" w:lineRule="auto"/>
        <w:rPr>
          <w:rFonts w:ascii="宋体" w:hAnsi="宋体"/>
          <w:color w:val="auto"/>
          <w:sz w:val="24"/>
        </w:rPr>
      </w:pPr>
      <w:r>
        <w:rPr>
          <w:rFonts w:hint="eastAsia" w:ascii="宋体" w:hAnsi="宋体"/>
          <w:color w:val="auto"/>
          <w:sz w:val="24"/>
        </w:rPr>
        <w:t>（1）本比选文件“比选公告”中“比选申请人资格要求”的条件；</w:t>
      </w:r>
    </w:p>
    <w:p w14:paraId="7504374A">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648F1AAF">
      <w:pPr>
        <w:tabs>
          <w:tab w:val="left" w:pos="720"/>
        </w:tabs>
        <w:spacing w:line="360" w:lineRule="auto"/>
        <w:rPr>
          <w:rFonts w:ascii="宋体" w:hAnsi="宋体"/>
          <w:color w:val="auto"/>
          <w:sz w:val="24"/>
        </w:rPr>
      </w:pPr>
      <w:r>
        <w:rPr>
          <w:rFonts w:hint="eastAsia" w:ascii="宋体" w:hAnsi="宋体"/>
          <w:color w:val="auto"/>
          <w:sz w:val="24"/>
        </w:rPr>
        <w:t>（3）向采购人进行了报名并登记备案。</w:t>
      </w:r>
    </w:p>
    <w:p w14:paraId="6799E091">
      <w:pPr>
        <w:pStyle w:val="6"/>
        <w:ind w:firstLine="0"/>
        <w:rPr>
          <w:bCs/>
          <w:color w:val="auto"/>
          <w:szCs w:val="24"/>
        </w:rPr>
      </w:pPr>
      <w:r>
        <w:rPr>
          <w:rFonts w:hint="eastAsia"/>
          <w:bCs/>
          <w:color w:val="auto"/>
          <w:szCs w:val="24"/>
        </w:rPr>
        <w:t>4、</w:t>
      </w:r>
      <w:r>
        <w:rPr>
          <w:bCs/>
          <w:color w:val="auto"/>
          <w:szCs w:val="24"/>
        </w:rPr>
        <w:t>踏勘现场</w:t>
      </w:r>
    </w:p>
    <w:p w14:paraId="4C72E49E">
      <w:pPr>
        <w:tabs>
          <w:tab w:val="left" w:pos="720"/>
        </w:tabs>
        <w:spacing w:line="360" w:lineRule="auto"/>
        <w:rPr>
          <w:rFonts w:ascii="宋体" w:hAnsi="宋体"/>
          <w:color w:val="auto"/>
          <w:sz w:val="24"/>
        </w:rPr>
      </w:pPr>
      <w:r>
        <w:rPr>
          <w:rFonts w:hint="eastAsia" w:ascii="宋体" w:hAnsi="宋体"/>
          <w:color w:val="auto"/>
          <w:sz w:val="24"/>
        </w:rPr>
        <w:t>4.1 比选人不统一组织踏勘现场。比选申请人可自行对项目现场及其周围环境进行考察，以便获取有关编制比选申请文件和签订合同所涉及现场的资料，比选人不对未进行现场踏勘产生的后果负责。</w:t>
      </w:r>
    </w:p>
    <w:p w14:paraId="2003D708">
      <w:pPr>
        <w:tabs>
          <w:tab w:val="left" w:pos="720"/>
        </w:tabs>
        <w:spacing w:line="360" w:lineRule="auto"/>
        <w:rPr>
          <w:rFonts w:ascii="宋体" w:hAnsi="宋体"/>
          <w:color w:val="auto"/>
          <w:sz w:val="24"/>
        </w:rPr>
      </w:pPr>
      <w:r>
        <w:rPr>
          <w:rFonts w:hint="eastAsia" w:ascii="宋体" w:hAnsi="宋体"/>
          <w:color w:val="auto"/>
          <w:sz w:val="24"/>
        </w:rPr>
        <w:t>4.2 在现场踏勘过程中，比选申请人应注意安全，如果发生人身伤亡、财物或其他损失，不论何种原因所造成，比选人概不负责。</w:t>
      </w:r>
    </w:p>
    <w:p w14:paraId="6EEE18DA">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4.3现场踏勘发生的一切相关费用由各比选申请人自行承担。</w:t>
      </w:r>
    </w:p>
    <w:p w14:paraId="705EF236">
      <w:pPr>
        <w:pStyle w:val="6"/>
        <w:ind w:firstLine="0"/>
        <w:rPr>
          <w:bCs/>
          <w:color w:val="auto"/>
          <w:szCs w:val="24"/>
        </w:rPr>
      </w:pPr>
      <w:r>
        <w:rPr>
          <w:rFonts w:hint="eastAsia"/>
          <w:bCs/>
          <w:color w:val="auto"/>
          <w:szCs w:val="24"/>
        </w:rPr>
        <w:t>5、</w:t>
      </w:r>
      <w:r>
        <w:rPr>
          <w:bCs/>
          <w:color w:val="auto"/>
          <w:szCs w:val="24"/>
        </w:rPr>
        <w:t>参选费用</w:t>
      </w:r>
    </w:p>
    <w:p w14:paraId="7C600FC0">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比选申请人承担其编制比选申请文件及递交所涉及的一切费用。无论参选结果如何，比选人对上述费用不负任何责任。</w:t>
      </w:r>
    </w:p>
    <w:p w14:paraId="4EB0F3BA">
      <w:pPr>
        <w:pStyle w:val="5"/>
        <w:rPr>
          <w:rFonts w:ascii="宋体" w:hAnsi="宋体" w:eastAsia="宋体"/>
          <w:b/>
          <w:color w:val="auto"/>
          <w:sz w:val="24"/>
          <w:szCs w:val="24"/>
        </w:rPr>
      </w:pPr>
      <w:r>
        <w:rPr>
          <w:rFonts w:hint="eastAsia" w:ascii="宋体" w:hAnsi="宋体" w:eastAsia="宋体"/>
          <w:b/>
          <w:color w:val="auto"/>
          <w:sz w:val="24"/>
          <w:szCs w:val="24"/>
        </w:rPr>
        <w:t>（三）</w:t>
      </w:r>
      <w:r>
        <w:rPr>
          <w:rFonts w:ascii="宋体" w:hAnsi="宋体" w:eastAsia="宋体"/>
          <w:b/>
          <w:color w:val="auto"/>
          <w:sz w:val="24"/>
          <w:szCs w:val="24"/>
        </w:rPr>
        <w:t xml:space="preserve"> </w:t>
      </w:r>
      <w:r>
        <w:rPr>
          <w:rFonts w:hint="eastAsia" w:ascii="宋体" w:hAnsi="宋体" w:eastAsia="宋体"/>
          <w:b/>
          <w:color w:val="auto"/>
          <w:sz w:val="24"/>
          <w:szCs w:val="24"/>
        </w:rPr>
        <w:t>比选文件</w:t>
      </w:r>
    </w:p>
    <w:p w14:paraId="324C1176">
      <w:pPr>
        <w:pStyle w:val="6"/>
        <w:tabs>
          <w:tab w:val="left" w:pos="1000"/>
        </w:tabs>
        <w:ind w:firstLine="0"/>
        <w:rPr>
          <w:bCs/>
          <w:color w:val="auto"/>
          <w:szCs w:val="24"/>
        </w:rPr>
      </w:pPr>
      <w:r>
        <w:rPr>
          <w:rFonts w:hint="eastAsia"/>
          <w:bCs/>
          <w:color w:val="auto"/>
          <w:szCs w:val="24"/>
        </w:rPr>
        <w:t>6、</w:t>
      </w:r>
      <w:r>
        <w:rPr>
          <w:bCs/>
          <w:color w:val="auto"/>
          <w:szCs w:val="24"/>
        </w:rPr>
        <w:t>比选文件的组成</w:t>
      </w:r>
    </w:p>
    <w:p w14:paraId="29F98A2A">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.1比选文件包括下列内容：</w:t>
      </w:r>
    </w:p>
    <w:p w14:paraId="4F9C1E44">
      <w:pPr>
        <w:tabs>
          <w:tab w:val="left" w:pos="720"/>
        </w:tabs>
        <w:spacing w:line="360" w:lineRule="auto"/>
        <w:rPr>
          <w:rFonts w:ascii="宋体" w:hAnsi="宋体"/>
          <w:color w:val="auto"/>
          <w:sz w:val="24"/>
        </w:rPr>
      </w:pPr>
      <w:r>
        <w:rPr>
          <w:rFonts w:hint="eastAsia" w:ascii="宋体" w:hAnsi="宋体"/>
          <w:color w:val="auto"/>
          <w:sz w:val="24"/>
        </w:rPr>
        <w:t>第一章  比选公告</w:t>
      </w:r>
    </w:p>
    <w:p w14:paraId="44B3ABFC">
      <w:pPr>
        <w:tabs>
          <w:tab w:val="left" w:pos="720"/>
        </w:tabs>
        <w:spacing w:line="360" w:lineRule="auto"/>
        <w:rPr>
          <w:rFonts w:ascii="宋体" w:hAnsi="宋体"/>
          <w:color w:val="auto"/>
          <w:sz w:val="24"/>
        </w:rPr>
      </w:pPr>
      <w:r>
        <w:rPr>
          <w:rFonts w:hint="eastAsia" w:ascii="宋体" w:hAnsi="宋体"/>
          <w:color w:val="auto"/>
          <w:sz w:val="24"/>
        </w:rPr>
        <w:t>第二章</w:t>
      </w:r>
      <w:r>
        <w:rPr>
          <w:rFonts w:ascii="宋体" w:hAnsi="宋体"/>
          <w:color w:val="auto"/>
          <w:sz w:val="24"/>
        </w:rPr>
        <w:t xml:space="preserve"> </w:t>
      </w:r>
      <w:r>
        <w:rPr>
          <w:rFonts w:hint="eastAsia" w:ascii="宋体" w:hAnsi="宋体"/>
          <w:color w:val="auto"/>
          <w:sz w:val="24"/>
        </w:rPr>
        <w:t xml:space="preserve"> 比选须知</w:t>
      </w:r>
    </w:p>
    <w:p w14:paraId="75CE1CE9">
      <w:pPr>
        <w:tabs>
          <w:tab w:val="left" w:pos="720"/>
        </w:tabs>
        <w:spacing w:line="360" w:lineRule="auto"/>
        <w:rPr>
          <w:rFonts w:ascii="宋体" w:hAnsi="宋体"/>
          <w:color w:val="auto"/>
          <w:sz w:val="24"/>
        </w:rPr>
      </w:pPr>
      <w:r>
        <w:rPr>
          <w:rFonts w:hint="eastAsia" w:ascii="宋体" w:hAnsi="宋体"/>
          <w:color w:val="auto"/>
          <w:sz w:val="24"/>
        </w:rPr>
        <w:t>第三章  比选申请文件格式</w:t>
      </w:r>
    </w:p>
    <w:p w14:paraId="36FD0B35">
      <w:pPr>
        <w:tabs>
          <w:tab w:val="left" w:pos="720"/>
        </w:tabs>
        <w:spacing w:line="360" w:lineRule="auto"/>
        <w:rPr>
          <w:rFonts w:ascii="宋体" w:hAnsi="宋体"/>
          <w:color w:val="auto"/>
          <w:sz w:val="24"/>
        </w:rPr>
      </w:pPr>
      <w:r>
        <w:rPr>
          <w:rFonts w:hint="eastAsia" w:ascii="宋体" w:hAnsi="宋体"/>
          <w:color w:val="auto"/>
          <w:sz w:val="24"/>
        </w:rPr>
        <w:t>第四章  比选需求</w:t>
      </w:r>
    </w:p>
    <w:p w14:paraId="1DCFE061">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68D3F803">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7F1D74D6">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除6.1条列明的内容外，比选人对比选文件的澄清或修改内容均为比选文件的组成部分，对比选人和比选申请人均起约束作用。</w:t>
      </w:r>
    </w:p>
    <w:p w14:paraId="0D06EB57">
      <w:pPr>
        <w:tabs>
          <w:tab w:val="left" w:pos="720"/>
        </w:tabs>
        <w:spacing w:line="360" w:lineRule="auto"/>
        <w:rPr>
          <w:rFonts w:ascii="宋体" w:hAnsi="宋体"/>
          <w:color w:val="auto"/>
          <w:sz w:val="24"/>
        </w:rPr>
      </w:pPr>
      <w:r>
        <w:rPr>
          <w:rFonts w:hint="eastAsia" w:ascii="宋体" w:hAnsi="宋体"/>
          <w:color w:val="auto"/>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14:paraId="4662E09B">
      <w:pPr>
        <w:tabs>
          <w:tab w:val="left" w:pos="720"/>
        </w:tabs>
        <w:spacing w:line="360" w:lineRule="auto"/>
        <w:rPr>
          <w:rFonts w:ascii="宋体" w:hAnsi="宋体"/>
          <w:color w:val="auto"/>
          <w:sz w:val="24"/>
        </w:rPr>
      </w:pPr>
      <w:r>
        <w:rPr>
          <w:rFonts w:hint="eastAsia" w:ascii="宋体" w:hAnsi="宋体"/>
          <w:color w:val="auto"/>
          <w:sz w:val="24"/>
        </w:rPr>
        <w:t>6.4比选文件及补充资料前后有矛盾的，以时间在后的为准。</w:t>
      </w:r>
    </w:p>
    <w:p w14:paraId="466A6382">
      <w:pPr>
        <w:tabs>
          <w:tab w:val="left" w:pos="720"/>
        </w:tabs>
        <w:spacing w:line="360" w:lineRule="auto"/>
        <w:rPr>
          <w:rFonts w:ascii="宋体" w:hAnsi="宋体"/>
          <w:color w:val="auto"/>
          <w:sz w:val="24"/>
        </w:rPr>
      </w:pPr>
      <w:r>
        <w:rPr>
          <w:rFonts w:hint="eastAsia" w:ascii="宋体" w:hAnsi="宋体"/>
          <w:color w:val="auto"/>
          <w:sz w:val="24"/>
        </w:rPr>
        <w:t xml:space="preserve">6.5本比选文件由比选人负责解释。 </w:t>
      </w:r>
    </w:p>
    <w:p w14:paraId="656717C9">
      <w:pPr>
        <w:pStyle w:val="6"/>
        <w:tabs>
          <w:tab w:val="left" w:pos="1000"/>
        </w:tabs>
        <w:ind w:firstLine="0"/>
        <w:rPr>
          <w:bCs/>
          <w:color w:val="auto"/>
          <w:szCs w:val="24"/>
        </w:rPr>
      </w:pPr>
      <w:r>
        <w:rPr>
          <w:rFonts w:hint="eastAsia"/>
          <w:bCs/>
          <w:color w:val="auto"/>
          <w:szCs w:val="24"/>
        </w:rPr>
        <w:t>7、比选</w:t>
      </w:r>
      <w:r>
        <w:rPr>
          <w:bCs/>
          <w:color w:val="auto"/>
          <w:szCs w:val="24"/>
        </w:rPr>
        <w:t>文件的澄清</w:t>
      </w:r>
    </w:p>
    <w:p w14:paraId="3596546C">
      <w:pPr>
        <w:tabs>
          <w:tab w:val="left" w:pos="720"/>
        </w:tabs>
        <w:spacing w:line="360" w:lineRule="auto"/>
        <w:rPr>
          <w:rFonts w:ascii="宋体" w:hAnsi="宋体"/>
          <w:color w:val="auto"/>
          <w:sz w:val="24"/>
        </w:rPr>
      </w:pPr>
      <w:r>
        <w:rPr>
          <w:rFonts w:hint="eastAsia" w:ascii="宋体" w:hAnsi="宋体"/>
          <w:color w:val="auto"/>
          <w:sz w:val="24"/>
        </w:rPr>
        <w:t xml:space="preserve">7.1 任何对比选文件提出澄清的比选申请人，应以书面形式提出。比选人对规定时间内收到的澄清要求，将以书面形式，回复比选申请人。 </w:t>
      </w:r>
    </w:p>
    <w:p w14:paraId="30C8D5F8">
      <w:pPr>
        <w:pStyle w:val="5"/>
        <w:rPr>
          <w:rFonts w:ascii="宋体" w:hAnsi="宋体" w:eastAsia="宋体"/>
          <w:b/>
          <w:color w:val="auto"/>
          <w:sz w:val="24"/>
          <w:szCs w:val="24"/>
        </w:rPr>
      </w:pPr>
      <w:r>
        <w:rPr>
          <w:rFonts w:hint="eastAsia" w:ascii="宋体" w:hAnsi="宋体" w:eastAsia="宋体"/>
          <w:b/>
          <w:color w:val="auto"/>
          <w:sz w:val="24"/>
          <w:szCs w:val="24"/>
        </w:rPr>
        <w:t>（四）比选申请文件的编制</w:t>
      </w:r>
    </w:p>
    <w:p w14:paraId="5D8678E6">
      <w:pPr>
        <w:pStyle w:val="6"/>
        <w:tabs>
          <w:tab w:val="left" w:pos="1000"/>
        </w:tabs>
        <w:ind w:firstLine="0"/>
        <w:rPr>
          <w:bCs/>
          <w:color w:val="auto"/>
          <w:szCs w:val="24"/>
        </w:rPr>
      </w:pPr>
      <w:r>
        <w:rPr>
          <w:rFonts w:hint="eastAsia"/>
          <w:bCs/>
          <w:color w:val="auto"/>
          <w:szCs w:val="24"/>
        </w:rPr>
        <w:t>8、比选申请文件</w:t>
      </w:r>
      <w:r>
        <w:rPr>
          <w:bCs/>
          <w:color w:val="auto"/>
          <w:szCs w:val="24"/>
        </w:rPr>
        <w:t>的语言</w:t>
      </w:r>
    </w:p>
    <w:p w14:paraId="02D3CAFA">
      <w:pPr>
        <w:tabs>
          <w:tab w:val="left" w:pos="720"/>
        </w:tabs>
        <w:spacing w:line="360" w:lineRule="auto"/>
        <w:rPr>
          <w:rFonts w:ascii="宋体" w:hAnsi="宋体"/>
          <w:color w:val="auto"/>
          <w:sz w:val="24"/>
        </w:rPr>
      </w:pPr>
      <w:r>
        <w:rPr>
          <w:rFonts w:hint="eastAsia" w:ascii="宋体" w:hAnsi="宋体"/>
          <w:color w:val="auto"/>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14:paraId="4862DED0">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44AE4D05">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如因未翻译而造成的一切相关责任与后果，由比选申请人自行承担。</w:t>
      </w:r>
    </w:p>
    <w:p w14:paraId="4B2C5ED5">
      <w:pPr>
        <w:pStyle w:val="6"/>
        <w:tabs>
          <w:tab w:val="left" w:pos="1000"/>
        </w:tabs>
        <w:ind w:firstLine="0"/>
        <w:rPr>
          <w:bCs/>
          <w:color w:val="auto"/>
          <w:szCs w:val="24"/>
        </w:rPr>
      </w:pPr>
      <w:r>
        <w:rPr>
          <w:rFonts w:hint="eastAsia"/>
          <w:bCs/>
          <w:color w:val="auto"/>
          <w:szCs w:val="24"/>
        </w:rPr>
        <w:t>9、比选申请文件</w:t>
      </w:r>
      <w:r>
        <w:rPr>
          <w:bCs/>
          <w:color w:val="auto"/>
          <w:szCs w:val="24"/>
        </w:rPr>
        <w:t>的组成</w:t>
      </w:r>
    </w:p>
    <w:p w14:paraId="6ECB468E">
      <w:pPr>
        <w:tabs>
          <w:tab w:val="left" w:pos="720"/>
        </w:tabs>
        <w:spacing w:line="360" w:lineRule="auto"/>
        <w:rPr>
          <w:rFonts w:ascii="宋体" w:hAnsi="宋体"/>
          <w:color w:val="auto"/>
          <w:sz w:val="24"/>
        </w:rPr>
      </w:pPr>
      <w:r>
        <w:rPr>
          <w:rFonts w:hint="eastAsia" w:ascii="宋体" w:hAnsi="宋体"/>
          <w:color w:val="auto"/>
          <w:sz w:val="24"/>
        </w:rPr>
        <w:t>比选申请人应按照比选文件的规定和要求编制比选申请文件。比选申请人编写的比选申请文件应包括下列部分：</w:t>
      </w:r>
    </w:p>
    <w:p w14:paraId="511E8187">
      <w:pPr>
        <w:tabs>
          <w:tab w:val="left" w:pos="720"/>
        </w:tabs>
        <w:spacing w:line="360" w:lineRule="auto"/>
        <w:rPr>
          <w:rFonts w:ascii="宋体" w:hAnsi="宋体"/>
          <w:color w:val="auto"/>
          <w:sz w:val="24"/>
        </w:rPr>
      </w:pPr>
      <w:r>
        <w:rPr>
          <w:rFonts w:hint="eastAsia" w:ascii="宋体" w:hAnsi="宋体"/>
          <w:color w:val="auto"/>
          <w:sz w:val="24"/>
        </w:rPr>
        <w:t>9.1服务部分。比选申请人按照比选文件要求做出的服务应答，主要是针对比选项目的比选需求做出的响应和满足。</w:t>
      </w:r>
    </w:p>
    <w:p w14:paraId="6EFEEDC4">
      <w:pPr>
        <w:tabs>
          <w:tab w:val="left" w:pos="720"/>
        </w:tabs>
        <w:spacing w:line="360" w:lineRule="auto"/>
        <w:rPr>
          <w:rFonts w:ascii="宋体" w:hAnsi="宋体"/>
          <w:color w:val="auto"/>
          <w:sz w:val="24"/>
        </w:rPr>
      </w:pPr>
      <w:r>
        <w:rPr>
          <w:rFonts w:hint="eastAsia" w:ascii="宋体" w:hAnsi="宋体"/>
          <w:color w:val="auto"/>
          <w:sz w:val="24"/>
        </w:rPr>
        <w:t>9.2商务部分。比选申请人按照比选文件要求提供的有关证明材料及优惠承诺。包括以下内容：</w:t>
      </w:r>
    </w:p>
    <w:p w14:paraId="1775806E">
      <w:pPr>
        <w:tabs>
          <w:tab w:val="left" w:pos="720"/>
        </w:tabs>
        <w:spacing w:line="360" w:lineRule="auto"/>
        <w:rPr>
          <w:rFonts w:ascii="宋体" w:hAnsi="宋体"/>
          <w:color w:val="auto"/>
          <w:sz w:val="24"/>
        </w:rPr>
      </w:pPr>
      <w:r>
        <w:rPr>
          <w:rFonts w:hint="eastAsia" w:ascii="宋体" w:hAnsi="宋体"/>
          <w:color w:val="auto"/>
          <w:sz w:val="24"/>
        </w:rPr>
        <w:t>（1）比选申请函；</w:t>
      </w:r>
    </w:p>
    <w:p w14:paraId="7469DDA5">
      <w:pPr>
        <w:tabs>
          <w:tab w:val="left" w:pos="720"/>
        </w:tabs>
        <w:spacing w:line="360" w:lineRule="auto"/>
        <w:rPr>
          <w:rFonts w:ascii="宋体" w:hAnsi="宋体"/>
          <w:color w:val="auto"/>
          <w:sz w:val="24"/>
        </w:rPr>
      </w:pPr>
      <w:r>
        <w:rPr>
          <w:rFonts w:hint="eastAsia" w:ascii="宋体" w:hAnsi="宋体"/>
          <w:color w:val="auto"/>
          <w:sz w:val="24"/>
        </w:rPr>
        <w:t>（2）比选人基本情况表；</w:t>
      </w:r>
    </w:p>
    <w:p w14:paraId="34C47E2E">
      <w:pPr>
        <w:tabs>
          <w:tab w:val="left" w:pos="720"/>
        </w:tabs>
        <w:spacing w:line="360" w:lineRule="auto"/>
        <w:rPr>
          <w:rFonts w:ascii="宋体" w:hAnsi="宋体"/>
          <w:color w:val="auto"/>
          <w:sz w:val="24"/>
        </w:rPr>
      </w:pPr>
      <w:r>
        <w:rPr>
          <w:rFonts w:hint="eastAsia" w:ascii="宋体" w:hAnsi="宋体"/>
          <w:color w:val="auto"/>
          <w:sz w:val="24"/>
        </w:rPr>
        <w:t>（3）项目管理机构；</w:t>
      </w:r>
    </w:p>
    <w:p w14:paraId="75F78BFA">
      <w:pPr>
        <w:tabs>
          <w:tab w:val="left" w:pos="720"/>
        </w:tabs>
        <w:spacing w:line="360" w:lineRule="auto"/>
        <w:rPr>
          <w:rFonts w:ascii="宋体" w:hAnsi="宋体"/>
          <w:color w:val="auto"/>
          <w:sz w:val="24"/>
        </w:rPr>
      </w:pPr>
      <w:r>
        <w:rPr>
          <w:rFonts w:hint="eastAsia" w:ascii="宋体" w:hAnsi="宋体"/>
          <w:color w:val="auto"/>
          <w:sz w:val="24"/>
        </w:rPr>
        <w:t>（4）证明比选申请人业绩、经验的有关材料；</w:t>
      </w:r>
    </w:p>
    <w:p w14:paraId="75AA8708">
      <w:pPr>
        <w:tabs>
          <w:tab w:val="left" w:pos="720"/>
        </w:tabs>
        <w:spacing w:line="360" w:lineRule="auto"/>
        <w:rPr>
          <w:rFonts w:ascii="宋体" w:hAnsi="宋体"/>
          <w:color w:val="auto"/>
          <w:sz w:val="24"/>
        </w:rPr>
      </w:pPr>
      <w:r>
        <w:rPr>
          <w:rFonts w:hint="eastAsia" w:ascii="宋体" w:hAnsi="宋体"/>
          <w:color w:val="auto"/>
          <w:sz w:val="24"/>
        </w:rPr>
        <w:t>（5）比选申请人符合比选文件第一章规定的“比选申请人资格要求”的相关资格证明材料，包含以下材料：</w:t>
      </w:r>
    </w:p>
    <w:p w14:paraId="3018D1A6">
      <w:pPr>
        <w:tabs>
          <w:tab w:val="left" w:pos="720"/>
        </w:tabs>
        <w:spacing w:line="360" w:lineRule="auto"/>
        <w:rPr>
          <w:rFonts w:ascii="宋体" w:hAnsi="宋体"/>
          <w:color w:val="auto"/>
          <w:sz w:val="24"/>
        </w:rPr>
      </w:pPr>
      <w:r>
        <w:rPr>
          <w:rFonts w:hint="eastAsia" w:ascii="宋体" w:hAnsi="宋体"/>
          <w:color w:val="auto"/>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26A52D4D">
      <w:pPr>
        <w:tabs>
          <w:tab w:val="left" w:pos="720"/>
        </w:tabs>
        <w:spacing w:line="360" w:lineRule="auto"/>
        <w:rPr>
          <w:rFonts w:ascii="宋体" w:hAnsi="宋体"/>
          <w:color w:val="auto"/>
          <w:sz w:val="24"/>
        </w:rPr>
      </w:pPr>
      <w:r>
        <w:rPr>
          <w:rFonts w:hint="eastAsia" w:ascii="宋体" w:hAnsi="宋体"/>
          <w:color w:val="auto"/>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14:paraId="048B4C44">
      <w:pPr>
        <w:tabs>
          <w:tab w:val="left" w:pos="720"/>
        </w:tabs>
        <w:spacing w:line="360" w:lineRule="auto"/>
        <w:rPr>
          <w:rFonts w:ascii="宋体" w:hAnsi="宋体"/>
          <w:color w:val="auto"/>
          <w:sz w:val="24"/>
        </w:rPr>
      </w:pPr>
      <w:r>
        <w:rPr>
          <w:rFonts w:hint="eastAsia" w:ascii="宋体" w:hAnsi="宋体"/>
          <w:color w:val="auto"/>
          <w:sz w:val="24"/>
        </w:rPr>
        <w:t>C.具有良好的商业信誉和健全的财务会计制度的证明材料（须提供承诺函原件，具体格式详见第三章格式九）</w:t>
      </w:r>
    </w:p>
    <w:p w14:paraId="61FB9B84">
      <w:pPr>
        <w:spacing w:before="156" w:beforeLines="50" w:after="156" w:afterLines="50" w:line="360" w:lineRule="auto"/>
        <w:rPr>
          <w:rFonts w:ascii="宋体" w:hAnsi="宋体"/>
          <w:color w:val="auto"/>
          <w:sz w:val="24"/>
        </w:rPr>
      </w:pPr>
      <w:r>
        <w:rPr>
          <w:rFonts w:hint="eastAsia" w:ascii="宋体" w:hAnsi="宋体"/>
          <w:color w:val="auto"/>
          <w:sz w:val="24"/>
        </w:rPr>
        <w:t>D.具有依法缴纳税收和社会保障资金的良好记录（须提供承诺函原件，具体格式详见第三章格式九）；</w:t>
      </w:r>
    </w:p>
    <w:p w14:paraId="6A775AFB">
      <w:pPr>
        <w:spacing w:before="156" w:beforeLines="50" w:after="156" w:afterLines="50" w:line="360" w:lineRule="auto"/>
        <w:rPr>
          <w:rFonts w:ascii="宋体" w:hAnsi="宋体"/>
          <w:color w:val="auto"/>
          <w:sz w:val="24"/>
        </w:rPr>
      </w:pPr>
      <w:r>
        <w:rPr>
          <w:rFonts w:hint="eastAsia" w:ascii="宋体" w:hAnsi="宋体"/>
          <w:color w:val="auto"/>
          <w:sz w:val="24"/>
        </w:rPr>
        <w:t>E.具备履行合同所必需的专业技术能力的证明材料（须提供承诺函原件，具体格式详见第三章格式九）</w:t>
      </w:r>
    </w:p>
    <w:p w14:paraId="0C04831A">
      <w:pPr>
        <w:spacing w:before="156" w:beforeLines="50" w:after="156" w:afterLines="50" w:line="360" w:lineRule="auto"/>
        <w:rPr>
          <w:rFonts w:ascii="宋体" w:hAnsi="宋体"/>
          <w:color w:val="auto"/>
          <w:sz w:val="24"/>
        </w:rPr>
      </w:pPr>
      <w:r>
        <w:rPr>
          <w:rFonts w:hint="eastAsia" w:ascii="宋体" w:hAnsi="宋体"/>
          <w:color w:val="auto"/>
          <w:sz w:val="24"/>
        </w:rPr>
        <w:t>F.比选申请人还满足法律、行政法规规定的其他强制性条件的证明材料（须提供承诺函原件，具体格式详见第三章格式九）</w:t>
      </w:r>
    </w:p>
    <w:p w14:paraId="1E444250">
      <w:pPr>
        <w:tabs>
          <w:tab w:val="left" w:pos="720"/>
        </w:tabs>
        <w:spacing w:line="360" w:lineRule="auto"/>
        <w:rPr>
          <w:rFonts w:hint="eastAsia" w:ascii="宋体" w:hAnsi="宋体"/>
          <w:color w:val="auto"/>
          <w:sz w:val="24"/>
        </w:rPr>
      </w:pPr>
      <w:r>
        <w:rPr>
          <w:rFonts w:hint="eastAsia" w:ascii="宋体" w:hAnsi="宋体"/>
          <w:color w:val="auto"/>
          <w:sz w:val="24"/>
        </w:rPr>
        <w:t>G.参加本次比选活动前三年内，比选申请人在经营活动中没有重大违法记录（须提供承诺函原件，具体格式详见第三章格式九）；</w:t>
      </w:r>
    </w:p>
    <w:p w14:paraId="69611C30">
      <w:pPr>
        <w:tabs>
          <w:tab w:val="left" w:pos="720"/>
        </w:tabs>
        <w:spacing w:line="360" w:lineRule="auto"/>
        <w:rPr>
          <w:rFonts w:ascii="宋体" w:hAnsi="宋体"/>
          <w:color w:val="auto"/>
          <w:sz w:val="24"/>
        </w:rPr>
      </w:pPr>
      <w:r>
        <w:rPr>
          <w:rFonts w:hint="eastAsia" w:ascii="宋体" w:hAnsi="宋体"/>
          <w:color w:val="auto"/>
          <w:sz w:val="24"/>
        </w:rPr>
        <w:t>a.以上相关资格证明材料中要求提供的复印件均须加盖申请企业公章（鲜章），否则不予认可；</w:t>
      </w:r>
    </w:p>
    <w:p w14:paraId="33E601E4">
      <w:pPr>
        <w:spacing w:line="360" w:lineRule="auto"/>
        <w:rPr>
          <w:rFonts w:hint="eastAsia" w:hAnsi="宋体"/>
          <w:color w:val="auto"/>
          <w:sz w:val="24"/>
        </w:rPr>
      </w:pPr>
      <w:r>
        <w:rPr>
          <w:rFonts w:hint="eastAsia" w:ascii="宋体" w:hAnsi="宋体"/>
          <w:color w:val="auto"/>
          <w:sz w:val="24"/>
        </w:rPr>
        <w:t>b.针对以上</w:t>
      </w:r>
      <w:r>
        <w:rPr>
          <w:rFonts w:hint="eastAsia" w:hAnsi="宋体"/>
          <w:bCs/>
          <w:color w:val="auto"/>
          <w:sz w:val="24"/>
        </w:rPr>
        <w:t>所称“重大违法记录”：是指比选申请人因违法经营受到刑事处罚或者责令停产停业、吊销许可证或者执照、较大数额罚款等行政处罚；（</w:t>
      </w:r>
      <w:r>
        <w:rPr>
          <w:rFonts w:hint="eastAsia" w:hAnsi="宋体"/>
          <w:color w:val="auto"/>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color w:val="auto"/>
          <w:sz w:val="24"/>
        </w:rPr>
        <w:t>）</w:t>
      </w:r>
      <w:r>
        <w:rPr>
          <w:rFonts w:hint="eastAsia" w:hAnsi="宋体"/>
          <w:color w:val="auto"/>
          <w:sz w:val="24"/>
        </w:rPr>
        <w:t>；</w:t>
      </w:r>
    </w:p>
    <w:p w14:paraId="405D7FCF">
      <w:pPr>
        <w:tabs>
          <w:tab w:val="left" w:pos="720"/>
        </w:tabs>
        <w:spacing w:line="360" w:lineRule="auto"/>
        <w:rPr>
          <w:rFonts w:ascii="宋体" w:hAnsi="宋体"/>
          <w:color w:val="auto"/>
          <w:sz w:val="24"/>
        </w:rPr>
      </w:pPr>
      <w:r>
        <w:rPr>
          <w:rFonts w:hint="eastAsia" w:ascii="宋体" w:hAnsi="宋体"/>
          <w:color w:val="auto"/>
          <w:sz w:val="24"/>
        </w:rPr>
        <w:t>（6）其他比选申请人认为需要提供的文件和资料。</w:t>
      </w:r>
    </w:p>
    <w:p w14:paraId="4857B59F">
      <w:pPr>
        <w:tabs>
          <w:tab w:val="left" w:pos="720"/>
        </w:tabs>
        <w:spacing w:line="360" w:lineRule="auto"/>
        <w:rPr>
          <w:rFonts w:ascii="宋体" w:hAnsi="宋体"/>
          <w:color w:val="auto"/>
          <w:sz w:val="24"/>
        </w:rPr>
      </w:pPr>
      <w:r>
        <w:rPr>
          <w:rFonts w:hint="eastAsia" w:ascii="宋体" w:hAnsi="宋体"/>
          <w:color w:val="auto"/>
          <w:sz w:val="24"/>
        </w:rPr>
        <w:t>9.3其他部分。比选申请人按照比选文件要求作出的其他应答和承诺</w:t>
      </w:r>
    </w:p>
    <w:p w14:paraId="426D19B6">
      <w:pPr>
        <w:pStyle w:val="6"/>
        <w:tabs>
          <w:tab w:val="left" w:pos="1000"/>
        </w:tabs>
        <w:ind w:firstLine="0"/>
        <w:rPr>
          <w:bCs/>
          <w:color w:val="auto"/>
          <w:szCs w:val="24"/>
        </w:rPr>
      </w:pPr>
      <w:r>
        <w:rPr>
          <w:rFonts w:hint="eastAsia"/>
          <w:bCs/>
          <w:color w:val="auto"/>
          <w:szCs w:val="24"/>
        </w:rPr>
        <w:t>10、比选申请文件格式</w:t>
      </w:r>
    </w:p>
    <w:p w14:paraId="6E63D3F0">
      <w:pPr>
        <w:tabs>
          <w:tab w:val="left" w:pos="720"/>
        </w:tabs>
        <w:spacing w:line="360" w:lineRule="auto"/>
        <w:rPr>
          <w:rFonts w:ascii="宋体" w:hAnsi="宋体"/>
          <w:color w:val="auto"/>
          <w:sz w:val="24"/>
        </w:rPr>
      </w:pPr>
      <w:r>
        <w:rPr>
          <w:rFonts w:hint="eastAsia" w:ascii="宋体" w:hAnsi="宋体"/>
          <w:color w:val="auto"/>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14:paraId="6515577E">
      <w:pPr>
        <w:tabs>
          <w:tab w:val="left" w:pos="720"/>
        </w:tabs>
        <w:spacing w:line="360" w:lineRule="auto"/>
        <w:rPr>
          <w:rFonts w:ascii="宋体" w:hAnsi="宋体"/>
          <w:color w:val="auto"/>
          <w:sz w:val="24"/>
        </w:rPr>
      </w:pPr>
      <w:r>
        <w:rPr>
          <w:rFonts w:hint="eastAsia" w:ascii="宋体" w:hAnsi="宋体"/>
          <w:color w:val="auto"/>
          <w:sz w:val="24"/>
        </w:rPr>
        <w:t>10.2 对于没有格式要求的比选申请文件由比选申请人自行编写。</w:t>
      </w:r>
    </w:p>
    <w:p w14:paraId="19FFB0A6">
      <w:pPr>
        <w:pStyle w:val="6"/>
        <w:tabs>
          <w:tab w:val="left" w:pos="1000"/>
        </w:tabs>
        <w:ind w:firstLine="0"/>
        <w:rPr>
          <w:bCs/>
          <w:color w:val="auto"/>
          <w:szCs w:val="24"/>
        </w:rPr>
      </w:pPr>
      <w:r>
        <w:rPr>
          <w:rFonts w:hint="eastAsia"/>
          <w:bCs/>
          <w:color w:val="auto"/>
          <w:szCs w:val="24"/>
        </w:rPr>
        <w:t>11．计量单位</w:t>
      </w:r>
    </w:p>
    <w:p w14:paraId="7F088A7C">
      <w:pPr>
        <w:tabs>
          <w:tab w:val="left" w:pos="720"/>
        </w:tabs>
        <w:spacing w:line="360" w:lineRule="auto"/>
        <w:rPr>
          <w:rFonts w:ascii="宋体" w:hAnsi="宋体"/>
          <w:color w:val="auto"/>
          <w:sz w:val="24"/>
        </w:rPr>
      </w:pPr>
      <w:r>
        <w:rPr>
          <w:rFonts w:hint="eastAsia" w:ascii="宋体" w:hAnsi="宋体"/>
          <w:color w:val="auto"/>
          <w:sz w:val="24"/>
        </w:rPr>
        <w:t>11.1除比选文件中另有规定外，本次比选项目所有合同项下的比选申请均采用国家法定的计量单位。</w:t>
      </w:r>
    </w:p>
    <w:p w14:paraId="5B9EDFA6">
      <w:pPr>
        <w:pStyle w:val="6"/>
        <w:tabs>
          <w:tab w:val="left" w:pos="1000"/>
        </w:tabs>
        <w:ind w:firstLine="0"/>
        <w:rPr>
          <w:bCs/>
          <w:color w:val="auto"/>
          <w:szCs w:val="24"/>
        </w:rPr>
      </w:pPr>
      <w:r>
        <w:rPr>
          <w:rFonts w:hint="eastAsia"/>
          <w:bCs/>
          <w:color w:val="auto"/>
          <w:szCs w:val="24"/>
        </w:rPr>
        <w:t>12、比选货币（实质性要求）</w:t>
      </w:r>
    </w:p>
    <w:p w14:paraId="7F8462E3">
      <w:pPr>
        <w:spacing w:line="360" w:lineRule="auto"/>
        <w:rPr>
          <w:rFonts w:ascii="宋体" w:hAnsi="宋体"/>
          <w:color w:val="auto"/>
          <w:sz w:val="24"/>
        </w:rPr>
      </w:pPr>
      <w:r>
        <w:rPr>
          <w:rFonts w:hint="eastAsia" w:ascii="宋体" w:hAnsi="宋体"/>
          <w:color w:val="auto"/>
          <w:sz w:val="24"/>
        </w:rPr>
        <w:t>12.1 本项目比选申请报价采用的币种为人民币。</w:t>
      </w:r>
    </w:p>
    <w:p w14:paraId="666054B7">
      <w:pPr>
        <w:pStyle w:val="6"/>
        <w:tabs>
          <w:tab w:val="left" w:pos="1000"/>
        </w:tabs>
        <w:ind w:firstLine="0"/>
        <w:rPr>
          <w:bCs/>
          <w:color w:val="auto"/>
          <w:szCs w:val="24"/>
        </w:rPr>
      </w:pPr>
      <w:r>
        <w:rPr>
          <w:rFonts w:hint="eastAsia"/>
          <w:bCs/>
          <w:color w:val="auto"/>
          <w:szCs w:val="24"/>
        </w:rPr>
        <w:t>13、比选响应有效期（实质性要求）</w:t>
      </w:r>
    </w:p>
    <w:p w14:paraId="01843DCC">
      <w:pPr>
        <w:tabs>
          <w:tab w:val="left" w:pos="720"/>
        </w:tabs>
        <w:spacing w:line="360" w:lineRule="auto"/>
        <w:rPr>
          <w:rFonts w:ascii="宋体" w:hAnsi="宋体"/>
          <w:color w:val="auto"/>
          <w:sz w:val="24"/>
        </w:rPr>
      </w:pPr>
      <w:r>
        <w:rPr>
          <w:rFonts w:hint="eastAsia" w:ascii="宋体" w:hAnsi="宋体"/>
          <w:color w:val="auto"/>
          <w:sz w:val="24"/>
        </w:rPr>
        <w:t>13.1比选响应有效期详见“比选须知前附表”。</w:t>
      </w:r>
    </w:p>
    <w:p w14:paraId="468F41E5">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w:t>
      </w:r>
    </w:p>
    <w:p w14:paraId="4CE7025C">
      <w:pPr>
        <w:tabs>
          <w:tab w:val="left" w:pos="720"/>
        </w:tabs>
        <w:spacing w:line="360" w:lineRule="auto"/>
        <w:rPr>
          <w:rFonts w:ascii="宋体" w:hAnsi="宋体"/>
          <w:color w:val="auto"/>
          <w:sz w:val="24"/>
        </w:rPr>
      </w:pPr>
      <w:r>
        <w:rPr>
          <w:rFonts w:hint="eastAsia" w:ascii="宋体" w:hAnsi="宋体"/>
          <w:color w:val="auto"/>
          <w:sz w:val="24"/>
        </w:rPr>
        <w:t>13.3 在比选响应有效期内，比选申请人将依法接受其比选申请文件的约束。</w:t>
      </w:r>
    </w:p>
    <w:p w14:paraId="36533AA0">
      <w:pPr>
        <w:pStyle w:val="6"/>
        <w:tabs>
          <w:tab w:val="left" w:pos="1000"/>
        </w:tabs>
        <w:ind w:firstLine="0"/>
        <w:rPr>
          <w:bCs/>
          <w:color w:val="auto"/>
          <w:szCs w:val="24"/>
        </w:rPr>
      </w:pPr>
      <w:r>
        <w:rPr>
          <w:rFonts w:hint="eastAsia"/>
          <w:bCs/>
          <w:color w:val="auto"/>
          <w:szCs w:val="24"/>
        </w:rPr>
        <w:t>14、比选申请文件的份数和签署</w:t>
      </w:r>
    </w:p>
    <w:p w14:paraId="192466DB">
      <w:pPr>
        <w:tabs>
          <w:tab w:val="left" w:pos="720"/>
        </w:tabs>
        <w:spacing w:line="360" w:lineRule="auto"/>
        <w:rPr>
          <w:rFonts w:ascii="宋体" w:hAnsi="宋体"/>
          <w:color w:val="auto"/>
          <w:sz w:val="24"/>
        </w:rPr>
      </w:pPr>
      <w:r>
        <w:rPr>
          <w:rFonts w:hint="eastAsia" w:ascii="宋体" w:hAnsi="宋体"/>
          <w:color w:val="auto"/>
          <w:sz w:val="24"/>
        </w:rPr>
        <w:t>14.1 比选申请人应按照“比选须知前附表”要求的数量准备比选申请文件，在每一份比选申请文件上要明确注明“正本”或“副本”字样，一旦正本和副本有差异，以正本为准。（实质性要求）</w:t>
      </w:r>
    </w:p>
    <w:p w14:paraId="7A6682F9">
      <w:pPr>
        <w:tabs>
          <w:tab w:val="left" w:pos="720"/>
        </w:tabs>
        <w:spacing w:line="360" w:lineRule="auto"/>
        <w:rPr>
          <w:rFonts w:ascii="宋体" w:hAnsi="宋体"/>
          <w:color w:val="auto"/>
          <w:sz w:val="24"/>
        </w:rPr>
      </w:pPr>
      <w:r>
        <w:rPr>
          <w:rFonts w:hint="eastAsia" w:ascii="宋体" w:hAnsi="宋体"/>
          <w:color w:val="auto"/>
          <w:sz w:val="24"/>
        </w:rPr>
        <w:t>14.2 比选申请文件正本须打印并按比选文件的规定由比选申请单位法定代表人或经其授权的代理人签字。由代理人签字的须随比选申请文件递交法定代表人授权书。比选申请文件副本由其正本复制（复印）而成（包括证明文件）。</w:t>
      </w:r>
    </w:p>
    <w:p w14:paraId="4E54188C">
      <w:pPr>
        <w:tabs>
          <w:tab w:val="left" w:pos="720"/>
        </w:tabs>
        <w:spacing w:line="360" w:lineRule="auto"/>
        <w:rPr>
          <w:rFonts w:ascii="宋体" w:hAnsi="宋体"/>
          <w:color w:val="auto"/>
          <w:sz w:val="24"/>
        </w:rPr>
      </w:pPr>
      <w:r>
        <w:rPr>
          <w:rFonts w:hint="eastAsia" w:ascii="宋体" w:hAnsi="宋体"/>
          <w:color w:val="auto"/>
          <w:sz w:val="24"/>
        </w:rPr>
        <w:t>14.3比选申请文件中不许有加行、涂抹或改写。若有修改，须由法定代表人或其代理人签字。</w:t>
      </w:r>
    </w:p>
    <w:p w14:paraId="2CE20159">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14.4不接受电话、传真及电子邮件形式的比选申请文件。</w:t>
      </w:r>
    </w:p>
    <w:p w14:paraId="6DD5105E">
      <w:pPr>
        <w:pStyle w:val="5"/>
        <w:rPr>
          <w:rFonts w:ascii="宋体" w:hAnsi="宋体" w:eastAsia="宋体"/>
          <w:b/>
          <w:color w:val="auto"/>
          <w:sz w:val="24"/>
          <w:szCs w:val="24"/>
        </w:rPr>
      </w:pPr>
      <w:r>
        <w:rPr>
          <w:rFonts w:hint="eastAsia" w:ascii="宋体" w:hAnsi="宋体" w:eastAsia="宋体"/>
          <w:b/>
          <w:color w:val="auto"/>
          <w:sz w:val="24"/>
          <w:szCs w:val="24"/>
        </w:rPr>
        <w:t>（五）比选申请文件的递交</w:t>
      </w:r>
    </w:p>
    <w:p w14:paraId="39D4B847">
      <w:pPr>
        <w:pStyle w:val="6"/>
        <w:tabs>
          <w:tab w:val="left" w:pos="1000"/>
        </w:tabs>
        <w:ind w:firstLine="0"/>
        <w:rPr>
          <w:bCs/>
          <w:color w:val="auto"/>
          <w:szCs w:val="24"/>
        </w:rPr>
      </w:pPr>
      <w:r>
        <w:rPr>
          <w:rFonts w:hint="eastAsia"/>
          <w:bCs/>
          <w:color w:val="auto"/>
          <w:szCs w:val="24"/>
        </w:rPr>
        <w:t>15、比选申请文件的装订、包装、密封及标注</w:t>
      </w:r>
    </w:p>
    <w:p w14:paraId="6DF53CC9">
      <w:pPr>
        <w:tabs>
          <w:tab w:val="left" w:pos="720"/>
        </w:tabs>
        <w:spacing w:line="360" w:lineRule="auto"/>
        <w:rPr>
          <w:rFonts w:ascii="宋体" w:hAnsi="宋体"/>
          <w:color w:val="auto"/>
          <w:sz w:val="24"/>
        </w:rPr>
      </w:pPr>
      <w:r>
        <w:rPr>
          <w:rFonts w:hint="eastAsia" w:ascii="宋体" w:hAnsi="宋体"/>
          <w:color w:val="auto"/>
          <w:sz w:val="24"/>
        </w:rPr>
        <w:t>15.1比选申请文件应按照“比选须知前附表”的要求进行装订、包装、密封和标注。</w:t>
      </w:r>
    </w:p>
    <w:p w14:paraId="0CA5ABAB">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注：如果未按上述规定进行装订、包装、密封和标注的，比选人可以不接受比选申请文件。</w:t>
      </w:r>
    </w:p>
    <w:p w14:paraId="2F9DC968">
      <w:pPr>
        <w:pStyle w:val="6"/>
        <w:tabs>
          <w:tab w:val="left" w:pos="1000"/>
        </w:tabs>
        <w:ind w:firstLine="0"/>
        <w:rPr>
          <w:bCs/>
          <w:color w:val="auto"/>
          <w:szCs w:val="24"/>
        </w:rPr>
      </w:pPr>
      <w:r>
        <w:rPr>
          <w:rFonts w:hint="eastAsia"/>
          <w:bCs/>
          <w:color w:val="auto"/>
          <w:szCs w:val="24"/>
        </w:rPr>
        <w:t>16、比选申请文件的递交和截止时间</w:t>
      </w:r>
    </w:p>
    <w:p w14:paraId="448B3CB3">
      <w:pPr>
        <w:tabs>
          <w:tab w:val="left" w:pos="720"/>
        </w:tabs>
        <w:spacing w:line="360" w:lineRule="auto"/>
        <w:rPr>
          <w:rFonts w:ascii="宋体" w:hAnsi="宋体"/>
          <w:color w:val="auto"/>
          <w:sz w:val="24"/>
        </w:rPr>
      </w:pPr>
      <w:r>
        <w:rPr>
          <w:rFonts w:hint="eastAsia" w:ascii="宋体" w:hAnsi="宋体"/>
          <w:color w:val="auto"/>
          <w:sz w:val="24"/>
        </w:rPr>
        <w:t>16.1 比选申请文件递交的截止时间见本须知前附表规定。</w:t>
      </w:r>
    </w:p>
    <w:p w14:paraId="79A1E4A1">
      <w:pPr>
        <w:tabs>
          <w:tab w:val="left" w:pos="720"/>
        </w:tabs>
        <w:spacing w:line="360" w:lineRule="auto"/>
        <w:rPr>
          <w:rFonts w:ascii="宋体" w:hAnsi="宋体"/>
          <w:color w:val="auto"/>
          <w:sz w:val="24"/>
        </w:rPr>
      </w:pPr>
      <w:r>
        <w:rPr>
          <w:rFonts w:hint="eastAsia" w:ascii="宋体" w:hAnsi="宋体"/>
          <w:color w:val="auto"/>
          <w:sz w:val="24"/>
        </w:rPr>
        <w:t>16.2 比选人可按照本须知的规定以补充通知的方式，酌情延长递交比选申请文件的截止时间。</w:t>
      </w:r>
    </w:p>
    <w:p w14:paraId="2DB250FD">
      <w:pPr>
        <w:tabs>
          <w:tab w:val="left" w:pos="720"/>
        </w:tabs>
        <w:spacing w:line="360" w:lineRule="auto"/>
        <w:rPr>
          <w:rFonts w:ascii="宋体" w:hAnsi="宋体"/>
          <w:color w:val="auto"/>
          <w:sz w:val="24"/>
        </w:rPr>
      </w:pPr>
      <w:r>
        <w:rPr>
          <w:rFonts w:hint="eastAsia" w:ascii="宋体" w:hAnsi="宋体"/>
          <w:color w:val="auto"/>
          <w:sz w:val="24"/>
        </w:rPr>
        <w:t xml:space="preserve">16.3 比选人将拒绝接受任何晚于递交比选申请文件截止时间后递交的比选申请文件。（实质性要求） </w:t>
      </w:r>
    </w:p>
    <w:p w14:paraId="6077C78B">
      <w:pPr>
        <w:pStyle w:val="5"/>
        <w:rPr>
          <w:rFonts w:ascii="宋体" w:hAnsi="宋体" w:eastAsia="宋体"/>
          <w:b/>
          <w:color w:val="auto"/>
          <w:sz w:val="24"/>
          <w:szCs w:val="24"/>
        </w:rPr>
      </w:pPr>
      <w:r>
        <w:rPr>
          <w:rFonts w:hint="eastAsia" w:ascii="宋体" w:hAnsi="宋体" w:eastAsia="宋体"/>
          <w:b/>
          <w:color w:val="auto"/>
          <w:sz w:val="24"/>
          <w:szCs w:val="24"/>
        </w:rPr>
        <w:t>（六）比选会</w:t>
      </w:r>
    </w:p>
    <w:p w14:paraId="2385BBDA">
      <w:pPr>
        <w:pStyle w:val="6"/>
        <w:tabs>
          <w:tab w:val="left" w:pos="1000"/>
        </w:tabs>
        <w:ind w:firstLine="0"/>
        <w:rPr>
          <w:bCs/>
          <w:color w:val="auto"/>
          <w:szCs w:val="24"/>
        </w:rPr>
      </w:pPr>
      <w:r>
        <w:rPr>
          <w:rFonts w:hint="eastAsia"/>
          <w:bCs/>
          <w:color w:val="auto"/>
          <w:szCs w:val="24"/>
        </w:rPr>
        <w:t>17、程序</w:t>
      </w:r>
    </w:p>
    <w:p w14:paraId="65D344AC">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1 在比选文件规定的时间和地点组织比选会。</w:t>
      </w:r>
    </w:p>
    <w:p w14:paraId="00FD4681">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2 比选会上，比选人可以邀请有关监督管理部门对比选会进行现场监督。</w:t>
      </w:r>
    </w:p>
    <w:p w14:paraId="48C97714">
      <w:pPr>
        <w:tabs>
          <w:tab w:val="left" w:pos="720"/>
        </w:tabs>
        <w:spacing w:line="360" w:lineRule="auto"/>
        <w:rPr>
          <w:rFonts w:ascii="宋体" w:hAnsi="宋体"/>
          <w:color w:val="auto"/>
          <w:sz w:val="24"/>
        </w:rPr>
      </w:pPr>
      <w:r>
        <w:rPr>
          <w:rFonts w:hint="eastAsia" w:ascii="宋体" w:hAnsi="宋体"/>
          <w:color w:val="auto"/>
          <w:sz w:val="24"/>
        </w:rPr>
        <w:t>17.3比选会上，比选人组织对比选申请文件的密封情况进行检查。经确认无误后，将申请人递交的比选申请文件当众拆封。</w:t>
      </w:r>
    </w:p>
    <w:p w14:paraId="1911A0E5">
      <w:pPr>
        <w:tabs>
          <w:tab w:val="left" w:pos="720"/>
        </w:tabs>
        <w:spacing w:line="360" w:lineRule="auto"/>
        <w:rPr>
          <w:rFonts w:ascii="宋体" w:hAnsi="宋体"/>
          <w:color w:val="auto"/>
          <w:sz w:val="24"/>
        </w:rPr>
      </w:pPr>
      <w:r>
        <w:rPr>
          <w:rFonts w:hint="eastAsia" w:ascii="宋体" w:hAnsi="宋体"/>
          <w:color w:val="auto"/>
          <w:sz w:val="24"/>
        </w:rPr>
        <w:t>17.4 比选申请文件中不同文字文本对比选申请文件的解释发生异议的，以中文文本为准。</w:t>
      </w:r>
    </w:p>
    <w:p w14:paraId="3DAD518A">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22FC2EB3">
      <w:pPr>
        <w:pStyle w:val="6"/>
        <w:tabs>
          <w:tab w:val="left" w:pos="1000"/>
        </w:tabs>
        <w:ind w:firstLine="0"/>
        <w:rPr>
          <w:bCs/>
          <w:color w:val="auto"/>
          <w:szCs w:val="24"/>
        </w:rPr>
      </w:pPr>
      <w:r>
        <w:rPr>
          <w:rFonts w:hint="eastAsia"/>
          <w:bCs/>
          <w:color w:val="auto"/>
          <w:szCs w:val="24"/>
        </w:rPr>
        <w:t>18、评审原则</w:t>
      </w:r>
    </w:p>
    <w:p w14:paraId="11AF79C4">
      <w:pPr>
        <w:tabs>
          <w:tab w:val="left" w:pos="720"/>
        </w:tabs>
        <w:spacing w:line="360" w:lineRule="auto"/>
        <w:rPr>
          <w:rFonts w:ascii="宋体" w:hAnsi="宋体"/>
          <w:color w:val="auto"/>
          <w:sz w:val="24"/>
        </w:rPr>
      </w:pPr>
      <w:r>
        <w:rPr>
          <w:rFonts w:hint="eastAsia" w:ascii="宋体" w:hAnsi="宋体"/>
          <w:color w:val="auto"/>
          <w:sz w:val="24"/>
        </w:rPr>
        <w:t>18.1评审工作由比选人负责组织，具体评审事务由组建的评审委员会负责，评审委员会由三人及以上单数组成。</w:t>
      </w:r>
    </w:p>
    <w:p w14:paraId="7175DD21">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18.2评审工作应遵循公平、公正、科学及择优的原则，并以相同的评审程序和标准对待所有的比选申请人。</w:t>
      </w:r>
    </w:p>
    <w:p w14:paraId="1BAC4AAC">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18.3评委会决定申请文件的响应性，仅依据比选申请文件本身的内容，而不寻求外部的证据。</w:t>
      </w:r>
    </w:p>
    <w:p w14:paraId="402E33BD">
      <w:pPr>
        <w:spacing w:line="360" w:lineRule="auto"/>
        <w:rPr>
          <w:rFonts w:ascii="宋体" w:hAnsi="宋体"/>
          <w:color w:val="auto"/>
          <w:sz w:val="24"/>
        </w:rPr>
      </w:pPr>
      <w:r>
        <w:rPr>
          <w:rFonts w:hint="eastAsia" w:ascii="宋体" w:hAnsi="宋体"/>
          <w:color w:val="auto"/>
          <w:sz w:val="24"/>
        </w:rPr>
        <w:t>18.4评委会发现比选文件表述不明确或需要说明的事项，可提请比选人或者比选</w:t>
      </w:r>
      <w:r>
        <w:rPr>
          <w:rFonts w:hint="eastAsia" w:ascii="宋体" w:hAnsi="宋体"/>
          <w:color w:val="auto"/>
          <w:sz w:val="24"/>
          <w:lang w:eastAsia="zh-CN"/>
        </w:rPr>
        <w:t>人</w:t>
      </w:r>
      <w:r>
        <w:rPr>
          <w:rFonts w:hint="eastAsia" w:ascii="宋体" w:hAnsi="宋体"/>
          <w:color w:val="auto"/>
          <w:sz w:val="24"/>
        </w:rPr>
        <w:t>书面解释说明。</w:t>
      </w:r>
    </w:p>
    <w:p w14:paraId="0C3946D6">
      <w:pPr>
        <w:spacing w:line="360" w:lineRule="auto"/>
        <w:rPr>
          <w:rFonts w:ascii="宋体" w:hAnsi="宋体"/>
          <w:color w:val="auto"/>
          <w:sz w:val="24"/>
        </w:rPr>
      </w:pPr>
      <w:r>
        <w:rPr>
          <w:rFonts w:hint="eastAsia" w:ascii="宋体" w:hAnsi="宋体"/>
          <w:color w:val="auto"/>
          <w:sz w:val="24"/>
        </w:rPr>
        <w:t>18.5无论比选评审结果如何，比选人均不解释中选或落选原因，也不退回比选申请文件和其他申请相关资料。</w:t>
      </w:r>
    </w:p>
    <w:p w14:paraId="1E26B105">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3A2B6501">
      <w:pPr>
        <w:pStyle w:val="6"/>
        <w:tabs>
          <w:tab w:val="left" w:pos="1000"/>
        </w:tabs>
        <w:ind w:firstLine="0"/>
        <w:rPr>
          <w:bCs/>
          <w:color w:val="auto"/>
          <w:szCs w:val="24"/>
        </w:rPr>
      </w:pPr>
      <w:r>
        <w:rPr>
          <w:rFonts w:hint="eastAsia"/>
          <w:bCs/>
          <w:color w:val="auto"/>
          <w:szCs w:val="24"/>
        </w:rPr>
        <w:t>19.中选通知书</w:t>
      </w:r>
    </w:p>
    <w:p w14:paraId="6FE0F918">
      <w:pPr>
        <w:spacing w:line="360" w:lineRule="auto"/>
        <w:rPr>
          <w:rFonts w:ascii="宋体" w:hAnsi="宋体"/>
          <w:color w:val="auto"/>
          <w:sz w:val="24"/>
        </w:rPr>
      </w:pPr>
      <w:r>
        <w:rPr>
          <w:rFonts w:hint="eastAsia" w:ascii="宋体" w:hAnsi="宋体"/>
          <w:color w:val="auto"/>
          <w:sz w:val="24"/>
        </w:rPr>
        <w:t>19.1 中选通知书为签订合同的依据之一，是合同的有效组成部分。</w:t>
      </w:r>
    </w:p>
    <w:p w14:paraId="064A2C05">
      <w:pPr>
        <w:spacing w:line="360" w:lineRule="auto"/>
        <w:rPr>
          <w:rFonts w:ascii="宋体" w:hAnsi="宋体"/>
          <w:color w:val="auto"/>
          <w:sz w:val="24"/>
        </w:rPr>
      </w:pPr>
      <w:r>
        <w:rPr>
          <w:rFonts w:hint="eastAsia" w:ascii="宋体" w:hAnsi="宋体"/>
          <w:color w:val="auto"/>
          <w:sz w:val="24"/>
        </w:rPr>
        <w:t>19.2 中选通知书对比选人和中选人均具有法律效力。中选通知书发出后，比选人改变中选结果，或者中选人无正当理由放弃中选的，应当承担相应的法律责任。</w:t>
      </w:r>
    </w:p>
    <w:p w14:paraId="344962C9">
      <w:pPr>
        <w:spacing w:line="360" w:lineRule="auto"/>
        <w:rPr>
          <w:rFonts w:ascii="宋体" w:hAnsi="宋体"/>
          <w:color w:val="auto"/>
          <w:sz w:val="24"/>
        </w:rPr>
      </w:pPr>
      <w:r>
        <w:rPr>
          <w:rFonts w:hint="eastAsia" w:ascii="宋体" w:hAnsi="宋体"/>
          <w:color w:val="auto"/>
          <w:sz w:val="24"/>
        </w:rPr>
        <w:t>19.3结果公告在金堂县第一人民医院官方网站发出后，中选人自行领取中选通知书，凭介绍信和有效身份证联系比选人办理。</w:t>
      </w:r>
      <w:bookmarkStart w:id="13" w:name="_Toc217446065"/>
      <w:bookmarkStart w:id="14" w:name="_Toc308164811"/>
    </w:p>
    <w:p w14:paraId="68F26F30">
      <w:pPr>
        <w:pStyle w:val="6"/>
        <w:tabs>
          <w:tab w:val="left" w:pos="1000"/>
        </w:tabs>
        <w:ind w:firstLine="0"/>
        <w:rPr>
          <w:bCs/>
          <w:color w:val="auto"/>
          <w:szCs w:val="24"/>
        </w:rPr>
      </w:pPr>
      <w:r>
        <w:rPr>
          <w:rFonts w:hint="eastAsia"/>
          <w:bCs/>
          <w:color w:val="auto"/>
          <w:szCs w:val="24"/>
        </w:rPr>
        <w:t>20. 签订合同</w:t>
      </w:r>
      <w:bookmarkEnd w:id="13"/>
      <w:bookmarkEnd w:id="14"/>
    </w:p>
    <w:p w14:paraId="5583B467">
      <w:pPr>
        <w:spacing w:line="360" w:lineRule="auto"/>
        <w:rPr>
          <w:rFonts w:ascii="宋体" w:hAnsi="宋体"/>
          <w:color w:val="auto"/>
          <w:sz w:val="24"/>
        </w:rPr>
      </w:pPr>
      <w:r>
        <w:rPr>
          <w:rFonts w:hint="eastAsia" w:ascii="宋体" w:hAnsi="宋体"/>
          <w:color w:val="auto"/>
          <w:sz w:val="24"/>
        </w:rPr>
        <w:t>20.1 中选人应在中选通知书发出后尽快与比选人签订合同。由于中选人的原因未与比选人签订合同的，将视为放弃中选，取消其中选资格。</w:t>
      </w:r>
    </w:p>
    <w:p w14:paraId="39521719">
      <w:pPr>
        <w:spacing w:line="360" w:lineRule="auto"/>
        <w:rPr>
          <w:rFonts w:ascii="宋体" w:hAnsi="宋体"/>
          <w:color w:val="auto"/>
          <w:sz w:val="24"/>
        </w:rPr>
      </w:pPr>
      <w:r>
        <w:rPr>
          <w:rFonts w:hint="eastAsia" w:ascii="宋体" w:hAnsi="宋体"/>
          <w:color w:val="auto"/>
          <w:sz w:val="24"/>
        </w:rPr>
        <w:t>20.2 比选人不得向中选人提出任何不合理的要求，作为签订合同的条件，不得与中选人私下订立背离合同实质性内容的任何协议。</w:t>
      </w:r>
    </w:p>
    <w:p w14:paraId="795D687C">
      <w:pPr>
        <w:pStyle w:val="6"/>
        <w:tabs>
          <w:tab w:val="left" w:pos="1000"/>
        </w:tabs>
        <w:ind w:firstLine="0"/>
        <w:rPr>
          <w:bCs/>
          <w:color w:val="auto"/>
          <w:szCs w:val="24"/>
        </w:rPr>
      </w:pPr>
      <w:r>
        <w:rPr>
          <w:rFonts w:hint="eastAsia"/>
          <w:bCs/>
          <w:color w:val="auto"/>
          <w:szCs w:val="24"/>
        </w:rPr>
        <w:t>21. 履行合同</w:t>
      </w:r>
    </w:p>
    <w:p w14:paraId="5F5AC88E">
      <w:pPr>
        <w:spacing w:line="360" w:lineRule="auto"/>
        <w:rPr>
          <w:rFonts w:ascii="宋体" w:hAnsi="宋体"/>
          <w:color w:val="auto"/>
          <w:sz w:val="24"/>
        </w:rPr>
      </w:pPr>
      <w:r>
        <w:rPr>
          <w:rFonts w:hint="eastAsia" w:ascii="宋体" w:hAnsi="宋体"/>
          <w:color w:val="auto"/>
          <w:sz w:val="24"/>
        </w:rPr>
        <w:t>21.1中选人与比选人签订合同后，合同双方应严格执行合同条款，履行合同规定的义务，保证合同的顺利完成。</w:t>
      </w:r>
    </w:p>
    <w:p w14:paraId="6FF112B0">
      <w:pPr>
        <w:spacing w:line="360" w:lineRule="auto"/>
        <w:rPr>
          <w:rFonts w:ascii="宋体" w:hAnsi="宋体"/>
          <w:color w:val="auto"/>
          <w:sz w:val="24"/>
        </w:rPr>
      </w:pPr>
      <w:r>
        <w:rPr>
          <w:rFonts w:hint="eastAsia" w:ascii="宋体" w:hAnsi="宋体"/>
          <w:color w:val="auto"/>
          <w:sz w:val="24"/>
        </w:rPr>
        <w:t>21.2在合同履行过程中，如发生合同纠纷，合同双方应按照《</w:t>
      </w:r>
      <w:r>
        <w:rPr>
          <w:rFonts w:hint="eastAsia" w:ascii="宋体" w:hAnsi="宋体"/>
          <w:color w:val="auto"/>
          <w:sz w:val="24"/>
          <w:lang w:eastAsia="zh-CN"/>
        </w:rPr>
        <w:t>中华人民共和国民法典</w:t>
      </w:r>
      <w:r>
        <w:rPr>
          <w:rFonts w:hint="eastAsia" w:ascii="宋体" w:hAnsi="宋体"/>
          <w:color w:val="auto"/>
          <w:sz w:val="24"/>
        </w:rPr>
        <w:t>》的有关规定进行处理。</w:t>
      </w:r>
    </w:p>
    <w:p w14:paraId="25FEE93C">
      <w:pPr>
        <w:pStyle w:val="5"/>
        <w:rPr>
          <w:rFonts w:ascii="宋体" w:hAnsi="宋体" w:eastAsia="宋体"/>
          <w:b/>
          <w:color w:val="auto"/>
          <w:sz w:val="24"/>
          <w:szCs w:val="24"/>
        </w:rPr>
      </w:pPr>
      <w:r>
        <w:rPr>
          <w:rFonts w:hint="eastAsia" w:ascii="宋体" w:hAnsi="宋体" w:eastAsia="宋体"/>
          <w:b/>
          <w:color w:val="auto"/>
          <w:sz w:val="24"/>
          <w:szCs w:val="24"/>
        </w:rPr>
        <w:t>（九）回避</w:t>
      </w:r>
    </w:p>
    <w:p w14:paraId="3B8683BD">
      <w:pPr>
        <w:pStyle w:val="6"/>
        <w:tabs>
          <w:tab w:val="left" w:pos="1000"/>
        </w:tabs>
        <w:ind w:firstLine="0"/>
        <w:rPr>
          <w:bCs/>
          <w:color w:val="auto"/>
          <w:szCs w:val="24"/>
        </w:rPr>
      </w:pPr>
      <w:r>
        <w:rPr>
          <w:rFonts w:hint="eastAsia"/>
          <w:bCs/>
          <w:color w:val="auto"/>
          <w:szCs w:val="24"/>
        </w:rPr>
        <w:t>22. 在比选活动中，相关人员与比选申请人有下列利害关系之一的，应当回避：</w:t>
      </w:r>
    </w:p>
    <w:p w14:paraId="180DED9F">
      <w:pPr>
        <w:widowControl/>
        <w:spacing w:line="460" w:lineRule="exact"/>
        <w:rPr>
          <w:rFonts w:ascii="宋体" w:hAnsi="宋体"/>
          <w:color w:val="auto"/>
          <w:sz w:val="24"/>
        </w:rPr>
      </w:pPr>
      <w:r>
        <w:rPr>
          <w:rFonts w:hint="eastAsia" w:ascii="宋体" w:hAnsi="宋体"/>
          <w:color w:val="auto"/>
          <w:sz w:val="24"/>
        </w:rPr>
        <w:t>（1）参加比选活动前</w:t>
      </w:r>
      <w:r>
        <w:rPr>
          <w:rFonts w:ascii="宋体" w:hAnsi="宋体"/>
          <w:color w:val="auto"/>
          <w:sz w:val="24"/>
        </w:rPr>
        <w:t>3</w:t>
      </w:r>
      <w:r>
        <w:rPr>
          <w:rFonts w:hint="eastAsia" w:ascii="宋体" w:hAnsi="宋体"/>
          <w:color w:val="auto"/>
          <w:sz w:val="24"/>
        </w:rPr>
        <w:t>年内与比选申请人存在劳动关系；</w:t>
      </w:r>
    </w:p>
    <w:p w14:paraId="6ED254BA">
      <w:pPr>
        <w:widowControl/>
        <w:spacing w:line="460" w:lineRule="exact"/>
        <w:rPr>
          <w:rFonts w:ascii="宋体" w:hAnsi="宋体"/>
          <w:color w:val="auto"/>
          <w:sz w:val="24"/>
        </w:rPr>
      </w:pPr>
      <w:r>
        <w:rPr>
          <w:rFonts w:hint="eastAsia" w:ascii="宋体" w:hAnsi="宋体"/>
          <w:color w:val="auto"/>
          <w:sz w:val="24"/>
        </w:rPr>
        <w:t>（2）参加比选活动前</w:t>
      </w:r>
      <w:r>
        <w:rPr>
          <w:rFonts w:ascii="宋体" w:hAnsi="宋体"/>
          <w:color w:val="auto"/>
          <w:sz w:val="24"/>
        </w:rPr>
        <w:t>3</w:t>
      </w:r>
      <w:r>
        <w:rPr>
          <w:rFonts w:hint="eastAsia" w:ascii="宋体" w:hAnsi="宋体"/>
          <w:color w:val="auto"/>
          <w:sz w:val="24"/>
        </w:rPr>
        <w:t>年内担任比选申请人的董事、监事；</w:t>
      </w:r>
    </w:p>
    <w:p w14:paraId="6FE436EE">
      <w:pPr>
        <w:widowControl/>
        <w:spacing w:line="460" w:lineRule="exact"/>
        <w:rPr>
          <w:rFonts w:ascii="宋体" w:hAnsi="宋体"/>
          <w:color w:val="auto"/>
          <w:sz w:val="24"/>
        </w:rPr>
      </w:pPr>
      <w:r>
        <w:rPr>
          <w:rFonts w:hint="eastAsia" w:ascii="宋体" w:hAnsi="宋体"/>
          <w:color w:val="auto"/>
          <w:sz w:val="24"/>
        </w:rPr>
        <w:t>（3）参加比选活动前</w:t>
      </w:r>
      <w:r>
        <w:rPr>
          <w:rFonts w:ascii="宋体" w:hAnsi="宋体"/>
          <w:color w:val="auto"/>
          <w:sz w:val="24"/>
        </w:rPr>
        <w:t>3</w:t>
      </w:r>
      <w:r>
        <w:rPr>
          <w:rFonts w:hint="eastAsia" w:ascii="宋体" w:hAnsi="宋体"/>
          <w:color w:val="auto"/>
          <w:sz w:val="24"/>
        </w:rPr>
        <w:t>年内是比选申请人的控股股东或者实际控制人；</w:t>
      </w:r>
    </w:p>
    <w:p w14:paraId="7354041E">
      <w:pPr>
        <w:widowControl/>
        <w:spacing w:line="460" w:lineRule="exact"/>
        <w:rPr>
          <w:rFonts w:ascii="宋体" w:hAnsi="宋体"/>
          <w:color w:val="auto"/>
          <w:sz w:val="24"/>
        </w:rPr>
      </w:pPr>
      <w:r>
        <w:rPr>
          <w:rFonts w:hint="eastAsia" w:ascii="宋体" w:hAnsi="宋体"/>
          <w:color w:val="auto"/>
          <w:sz w:val="24"/>
        </w:rPr>
        <w:t>（4）与比选申请人的法定代表人或者负责人有夫妻、直系血亲、三代以内旁系血亲或者近姻亲关系；</w:t>
      </w:r>
    </w:p>
    <w:p w14:paraId="79CB7441">
      <w:pPr>
        <w:widowControl/>
        <w:spacing w:line="460" w:lineRule="exact"/>
        <w:rPr>
          <w:rFonts w:ascii="宋体" w:hAnsi="宋体"/>
          <w:color w:val="auto"/>
          <w:sz w:val="24"/>
        </w:rPr>
      </w:pPr>
      <w:r>
        <w:rPr>
          <w:rFonts w:hint="eastAsia" w:ascii="宋体" w:hAnsi="宋体"/>
          <w:color w:val="auto"/>
          <w:sz w:val="24"/>
        </w:rPr>
        <w:t>（5）与比选申请人有其他可能影响比选活动公平、公正进行的关系。</w:t>
      </w:r>
    </w:p>
    <w:p w14:paraId="39AC466F">
      <w:pPr>
        <w:spacing w:line="360" w:lineRule="auto"/>
        <w:rPr>
          <w:rFonts w:ascii="宋体" w:hAnsi="宋体"/>
          <w:color w:val="auto"/>
          <w:sz w:val="24"/>
        </w:rPr>
      </w:pPr>
      <w:r>
        <w:rPr>
          <w:rFonts w:hint="eastAsia" w:ascii="宋体" w:hAnsi="宋体"/>
          <w:color w:val="auto"/>
          <w:sz w:val="24"/>
        </w:rPr>
        <w:t>（6）比选申请人认为比选人相关人员与其他比选申请人有利害关系的，可以向比选人书面提出回避申请，并说明理由。比选人应当及时询问被申请回避人员，有利害关系的被申请回避人员应当回避。</w:t>
      </w:r>
    </w:p>
    <w:p w14:paraId="3D88008F">
      <w:pPr>
        <w:tabs>
          <w:tab w:val="left" w:pos="432"/>
        </w:tabs>
        <w:jc w:val="center"/>
        <w:outlineLvl w:val="0"/>
        <w:rPr>
          <w:rFonts w:ascii="华文中宋" w:hAnsi="华文中宋" w:eastAsia="华文中宋"/>
          <w:b/>
          <w:color w:val="auto"/>
          <w:sz w:val="36"/>
          <w:szCs w:val="36"/>
        </w:rPr>
      </w:pPr>
      <w:r>
        <w:rPr>
          <w:rFonts w:ascii="宋体" w:hAnsi="宋体"/>
          <w:color w:val="auto"/>
          <w:sz w:val="24"/>
        </w:rPr>
        <w:br w:type="page"/>
      </w:r>
      <w:bookmarkStart w:id="15" w:name="_Toc4211"/>
      <w:bookmarkStart w:id="16" w:name="_Toc146532506"/>
      <w:bookmarkStart w:id="17" w:name="_Toc150831011"/>
      <w:r>
        <w:rPr>
          <w:rFonts w:hint="eastAsia" w:ascii="华文中宋" w:hAnsi="华文中宋" w:eastAsia="华文中宋"/>
          <w:b/>
          <w:color w:val="auto"/>
          <w:sz w:val="36"/>
          <w:szCs w:val="36"/>
        </w:rPr>
        <w:t>第三章  比选申请文件格式</w:t>
      </w:r>
      <w:bookmarkEnd w:id="15"/>
      <w:bookmarkEnd w:id="16"/>
      <w:bookmarkEnd w:id="17"/>
    </w:p>
    <w:p w14:paraId="5831DD01">
      <w:pPr>
        <w:pStyle w:val="13"/>
        <w:rPr>
          <w:rFonts w:ascii="宋体" w:hAnsi="宋体"/>
          <w:b/>
          <w:color w:val="auto"/>
          <w:sz w:val="28"/>
          <w:szCs w:val="28"/>
        </w:rPr>
      </w:pPr>
      <w:r>
        <w:rPr>
          <w:rFonts w:hint="eastAsia" w:ascii="宋体" w:hAnsi="宋体"/>
          <w:b/>
          <w:color w:val="auto"/>
          <w:sz w:val="28"/>
          <w:szCs w:val="28"/>
        </w:rPr>
        <w:t>封面</w:t>
      </w:r>
    </w:p>
    <w:p w14:paraId="1446A768">
      <w:pPr>
        <w:pStyle w:val="13"/>
        <w:rPr>
          <w:rFonts w:ascii="宋体" w:hAnsi="宋体"/>
          <w:b/>
          <w:color w:val="auto"/>
          <w:sz w:val="24"/>
          <w:szCs w:val="24"/>
        </w:rPr>
      </w:pPr>
    </w:p>
    <w:p w14:paraId="1E6B5FF5">
      <w:pPr>
        <w:pStyle w:val="13"/>
        <w:rPr>
          <w:rFonts w:ascii="宋体" w:hAnsi="宋体"/>
          <w:b/>
          <w:color w:val="auto"/>
          <w:sz w:val="24"/>
          <w:szCs w:val="24"/>
        </w:rPr>
      </w:pPr>
    </w:p>
    <w:p w14:paraId="5E4DADD2">
      <w:pPr>
        <w:spacing w:line="480" w:lineRule="exact"/>
        <w:ind w:firstLine="1744" w:firstLineChars="543"/>
        <w:rPr>
          <w:rFonts w:ascii="宋体" w:hAnsi="宋体"/>
          <w:b/>
          <w:color w:val="auto"/>
          <w:sz w:val="32"/>
          <w:szCs w:val="32"/>
        </w:rPr>
      </w:pPr>
      <w:r>
        <w:rPr>
          <w:rFonts w:hint="eastAsia" w:ascii="宋体" w:hAnsi="宋体"/>
          <w:b/>
          <w:color w:val="auto"/>
          <w:sz w:val="32"/>
          <w:szCs w:val="32"/>
          <w:u w:val="single"/>
        </w:rPr>
        <w:t xml:space="preserve">                               </w:t>
      </w:r>
      <w:bookmarkStart w:id="18" w:name="_Toc185047513"/>
      <w:r>
        <w:rPr>
          <w:rFonts w:hint="eastAsia" w:ascii="宋体" w:hAnsi="宋体"/>
          <w:b/>
          <w:color w:val="auto"/>
          <w:sz w:val="32"/>
          <w:szCs w:val="32"/>
        </w:rPr>
        <w:t>（项目名称）</w:t>
      </w:r>
    </w:p>
    <w:p w14:paraId="0EB7ED10">
      <w:pPr>
        <w:spacing w:line="480" w:lineRule="exact"/>
        <w:ind w:firstLine="482" w:firstLineChars="200"/>
        <w:jc w:val="center"/>
        <w:rPr>
          <w:rFonts w:ascii="宋体" w:hAnsi="宋体"/>
          <w:b/>
          <w:color w:val="auto"/>
          <w:sz w:val="24"/>
        </w:rPr>
      </w:pPr>
    </w:p>
    <w:p w14:paraId="712EAF9A">
      <w:pPr>
        <w:spacing w:line="480" w:lineRule="exact"/>
        <w:ind w:firstLine="482" w:firstLineChars="200"/>
        <w:jc w:val="center"/>
        <w:rPr>
          <w:rFonts w:ascii="宋体" w:hAnsi="宋体"/>
          <w:b/>
          <w:color w:val="auto"/>
          <w:sz w:val="24"/>
        </w:rPr>
      </w:pPr>
    </w:p>
    <w:p w14:paraId="2522CBD5">
      <w:pPr>
        <w:spacing w:line="480" w:lineRule="exact"/>
        <w:ind w:firstLine="482" w:firstLineChars="200"/>
        <w:jc w:val="center"/>
        <w:rPr>
          <w:rFonts w:ascii="宋体" w:hAnsi="宋体"/>
          <w:b/>
          <w:color w:val="auto"/>
          <w:sz w:val="24"/>
        </w:rPr>
      </w:pPr>
    </w:p>
    <w:p w14:paraId="380CBC8A">
      <w:pPr>
        <w:spacing w:line="480" w:lineRule="exact"/>
        <w:ind w:firstLine="482" w:firstLineChars="200"/>
        <w:jc w:val="center"/>
        <w:rPr>
          <w:rFonts w:ascii="宋体" w:hAnsi="宋体"/>
          <w:b/>
          <w:color w:val="auto"/>
          <w:sz w:val="24"/>
        </w:rPr>
      </w:pPr>
    </w:p>
    <w:p w14:paraId="6AF8E6AE">
      <w:pPr>
        <w:spacing w:line="480" w:lineRule="exact"/>
        <w:ind w:firstLine="482" w:firstLineChars="200"/>
        <w:jc w:val="center"/>
        <w:rPr>
          <w:rFonts w:ascii="宋体" w:hAnsi="宋体"/>
          <w:b/>
          <w:color w:val="auto"/>
          <w:sz w:val="24"/>
        </w:rPr>
      </w:pPr>
    </w:p>
    <w:p w14:paraId="0400ADD5">
      <w:pPr>
        <w:spacing w:line="480" w:lineRule="exact"/>
        <w:ind w:firstLine="482" w:firstLineChars="200"/>
        <w:jc w:val="center"/>
        <w:rPr>
          <w:rFonts w:ascii="宋体" w:hAnsi="宋体"/>
          <w:b/>
          <w:color w:val="auto"/>
          <w:sz w:val="24"/>
        </w:rPr>
      </w:pPr>
    </w:p>
    <w:p w14:paraId="65B2F6FE">
      <w:pPr>
        <w:spacing w:line="360" w:lineRule="auto"/>
        <w:jc w:val="center"/>
        <w:rPr>
          <w:rFonts w:ascii="宋体" w:hAnsi="宋体"/>
          <w:b/>
          <w:color w:val="auto"/>
          <w:sz w:val="52"/>
          <w:szCs w:val="52"/>
        </w:rPr>
      </w:pPr>
      <w:r>
        <w:rPr>
          <w:rFonts w:hint="eastAsia" w:ascii="宋体" w:hAnsi="宋体"/>
          <w:b/>
          <w:color w:val="auto"/>
          <w:sz w:val="52"/>
          <w:szCs w:val="52"/>
        </w:rPr>
        <w:t>比选申请文件</w:t>
      </w:r>
    </w:p>
    <w:p w14:paraId="52E52888">
      <w:pPr>
        <w:spacing w:line="480" w:lineRule="exact"/>
        <w:jc w:val="center"/>
        <w:rPr>
          <w:rFonts w:ascii="宋体" w:hAnsi="宋体"/>
          <w:b/>
          <w:color w:val="auto"/>
          <w:sz w:val="48"/>
          <w:szCs w:val="48"/>
        </w:rPr>
      </w:pPr>
    </w:p>
    <w:p w14:paraId="575BE841">
      <w:pPr>
        <w:spacing w:line="480" w:lineRule="exact"/>
        <w:ind w:firstLine="480" w:firstLineChars="200"/>
        <w:rPr>
          <w:rFonts w:ascii="宋体" w:hAnsi="宋体"/>
          <w:color w:val="auto"/>
          <w:sz w:val="24"/>
        </w:rPr>
      </w:pPr>
    </w:p>
    <w:p w14:paraId="021F15AA">
      <w:pPr>
        <w:spacing w:line="480" w:lineRule="exact"/>
        <w:ind w:firstLine="480" w:firstLineChars="200"/>
        <w:rPr>
          <w:rFonts w:ascii="宋体" w:hAnsi="宋体"/>
          <w:color w:val="auto"/>
          <w:sz w:val="24"/>
        </w:rPr>
      </w:pPr>
    </w:p>
    <w:p w14:paraId="3179CAA7">
      <w:pPr>
        <w:spacing w:line="480" w:lineRule="exact"/>
        <w:ind w:firstLine="480" w:firstLineChars="200"/>
        <w:rPr>
          <w:rFonts w:ascii="宋体" w:hAnsi="宋体"/>
          <w:color w:val="auto"/>
          <w:sz w:val="24"/>
        </w:rPr>
      </w:pPr>
    </w:p>
    <w:p w14:paraId="274A2B15">
      <w:pPr>
        <w:spacing w:line="480" w:lineRule="exact"/>
        <w:ind w:firstLine="480" w:firstLineChars="200"/>
        <w:rPr>
          <w:rFonts w:ascii="宋体" w:hAnsi="宋体"/>
          <w:color w:val="auto"/>
          <w:sz w:val="24"/>
        </w:rPr>
      </w:pPr>
    </w:p>
    <w:p w14:paraId="1C329A4E">
      <w:pPr>
        <w:spacing w:line="480" w:lineRule="exact"/>
        <w:ind w:firstLine="480" w:firstLineChars="200"/>
        <w:rPr>
          <w:rFonts w:ascii="宋体" w:hAnsi="宋体"/>
          <w:color w:val="auto"/>
          <w:sz w:val="24"/>
        </w:rPr>
      </w:pPr>
    </w:p>
    <w:p w14:paraId="43E48D2F">
      <w:pPr>
        <w:spacing w:line="480" w:lineRule="exact"/>
        <w:rPr>
          <w:rFonts w:ascii="宋体" w:hAnsi="宋体"/>
          <w:color w:val="auto"/>
          <w:sz w:val="24"/>
        </w:rPr>
      </w:pPr>
    </w:p>
    <w:p w14:paraId="05F14ABC">
      <w:pPr>
        <w:spacing w:line="480" w:lineRule="exact"/>
        <w:ind w:firstLine="480" w:firstLineChars="200"/>
        <w:rPr>
          <w:rFonts w:ascii="宋体" w:hAnsi="宋体"/>
          <w:color w:val="auto"/>
          <w:sz w:val="24"/>
        </w:rPr>
      </w:pPr>
    </w:p>
    <w:p w14:paraId="14998687">
      <w:pPr>
        <w:spacing w:line="480" w:lineRule="exact"/>
        <w:ind w:firstLine="1771" w:firstLineChars="735"/>
        <w:rPr>
          <w:rFonts w:ascii="宋体" w:hAnsi="宋体"/>
          <w:b/>
          <w:color w:val="auto"/>
          <w:sz w:val="24"/>
        </w:rPr>
      </w:pPr>
      <w:r>
        <w:rPr>
          <w:rFonts w:hint="eastAsia" w:ascii="宋体" w:hAnsi="宋体"/>
          <w:b/>
          <w:color w:val="auto"/>
          <w:sz w:val="24"/>
        </w:rPr>
        <w:t>比选申请人：</w:t>
      </w:r>
      <w:r>
        <w:rPr>
          <w:rFonts w:hint="eastAsia" w:ascii="宋体" w:hAnsi="宋体"/>
          <w:b/>
          <w:color w:val="auto"/>
          <w:sz w:val="24"/>
          <w:u w:val="single"/>
        </w:rPr>
        <w:t xml:space="preserve">                                        </w:t>
      </w:r>
      <w:r>
        <w:rPr>
          <w:rFonts w:hint="eastAsia" w:ascii="宋体" w:hAnsi="宋体"/>
          <w:b/>
          <w:color w:val="auto"/>
          <w:sz w:val="24"/>
        </w:rPr>
        <w:t>（盖单位章）</w:t>
      </w:r>
    </w:p>
    <w:p w14:paraId="778D3121">
      <w:pPr>
        <w:spacing w:line="480" w:lineRule="exact"/>
        <w:ind w:firstLine="482" w:firstLineChars="200"/>
        <w:jc w:val="center"/>
        <w:rPr>
          <w:rFonts w:ascii="宋体" w:hAnsi="宋体"/>
          <w:b/>
          <w:color w:val="auto"/>
          <w:sz w:val="24"/>
        </w:rPr>
      </w:pPr>
    </w:p>
    <w:p w14:paraId="1AE7BAFA">
      <w:pPr>
        <w:spacing w:line="480" w:lineRule="exact"/>
        <w:ind w:firstLine="200"/>
        <w:jc w:val="center"/>
        <w:rPr>
          <w:rFonts w:ascii="宋体" w:hAnsi="宋体"/>
          <w:b/>
          <w:color w:val="auto"/>
          <w:sz w:val="24"/>
          <w:u w:val="single"/>
        </w:rPr>
      </w:pPr>
    </w:p>
    <w:p w14:paraId="2F34F888">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bookmarkEnd w:id="18"/>
    <w:p w14:paraId="020126AB">
      <w:pPr>
        <w:pStyle w:val="3"/>
        <w:jc w:val="center"/>
        <w:rPr>
          <w:rFonts w:ascii="宋体" w:hAnsi="宋体"/>
          <w:color w:val="auto"/>
          <w:sz w:val="28"/>
          <w:szCs w:val="28"/>
        </w:rPr>
      </w:pPr>
      <w:bookmarkStart w:id="19" w:name="_Toc325028467"/>
      <w:bookmarkStart w:id="20" w:name="_Toc476736016"/>
      <w:bookmarkStart w:id="21" w:name="_Toc453578485"/>
      <w:r>
        <w:rPr>
          <w:rFonts w:hint="eastAsia" w:ascii="宋体" w:hAnsi="宋体"/>
          <w:color w:val="auto"/>
          <w:sz w:val="28"/>
          <w:szCs w:val="28"/>
        </w:rPr>
        <w:t>格式一、比选申请函</w:t>
      </w:r>
      <w:bookmarkEnd w:id="19"/>
      <w:bookmarkEnd w:id="20"/>
      <w:bookmarkEnd w:id="21"/>
    </w:p>
    <w:p w14:paraId="7054555D">
      <w:pPr>
        <w:spacing w:line="360" w:lineRule="auto"/>
        <w:rPr>
          <w:rFonts w:ascii="宋体" w:hAnsi="宋体"/>
          <w:color w:val="auto"/>
          <w:sz w:val="24"/>
        </w:rPr>
      </w:pPr>
      <w:r>
        <w:rPr>
          <w:rFonts w:hint="eastAsia" w:ascii="宋体" w:hAnsi="宋体"/>
          <w:color w:val="auto"/>
          <w:sz w:val="24"/>
        </w:rPr>
        <w:t>金堂县第一人民医院：</w:t>
      </w:r>
    </w:p>
    <w:p w14:paraId="43916C89">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 xml:space="preserve">    （项目名称）（项目编号：</w:t>
      </w:r>
      <w:r>
        <w:rPr>
          <w:rFonts w:hint="eastAsia" w:ascii="宋体" w:hAnsi="宋体"/>
          <w:b/>
          <w:color w:val="auto"/>
          <w:sz w:val="24"/>
          <w:u w:val="single"/>
        </w:rPr>
        <w:t xml:space="preserve">  ）</w:t>
      </w:r>
      <w:r>
        <w:rPr>
          <w:rFonts w:hint="eastAsia" w:ascii="宋体" w:hAnsi="宋体"/>
          <w:color w:val="auto"/>
          <w:sz w:val="24"/>
        </w:rPr>
        <w:t>的比选文件及补充文件（如涉及）后，我单位承诺将遵照比选文件的要求，完成本项目的全部责任和义务。</w:t>
      </w:r>
    </w:p>
    <w:p w14:paraId="03B3B888">
      <w:pPr>
        <w:spacing w:line="480" w:lineRule="auto"/>
        <w:ind w:firstLine="454"/>
        <w:rPr>
          <w:rFonts w:ascii="宋体" w:hAnsi="宋体" w:cs="Arial"/>
          <w:color w:val="auto"/>
          <w:sz w:val="24"/>
        </w:rPr>
      </w:pPr>
      <w:r>
        <w:rPr>
          <w:rFonts w:ascii="宋体" w:hAnsi="宋体" w:cs="Arial"/>
          <w:color w:val="auto"/>
          <w:sz w:val="24"/>
        </w:rPr>
        <w:t>2.我方已详细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完全理解比选文件的全部内容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0431D216">
      <w:pPr>
        <w:spacing w:line="480" w:lineRule="auto"/>
        <w:ind w:firstLine="454"/>
        <w:rPr>
          <w:rFonts w:ascii="宋体" w:hAnsi="宋体" w:cs="Arial"/>
          <w:color w:val="auto"/>
          <w:sz w:val="24"/>
        </w:rPr>
      </w:pPr>
      <w:r>
        <w:rPr>
          <w:rFonts w:ascii="宋体" w:hAnsi="宋体" w:cs="Arial"/>
          <w:color w:val="auto"/>
          <w:sz w:val="24"/>
        </w:rPr>
        <w:t>3.一旦我方</w:t>
      </w:r>
      <w:r>
        <w:rPr>
          <w:rFonts w:hint="eastAsia" w:ascii="宋体" w:hAnsi="宋体" w:cs="Arial"/>
          <w:color w:val="auto"/>
          <w:sz w:val="24"/>
        </w:rPr>
        <w:t>中选</w:t>
      </w:r>
      <w:r>
        <w:rPr>
          <w:rFonts w:ascii="宋体" w:hAnsi="宋体" w:cs="Arial"/>
          <w:color w:val="auto"/>
          <w:sz w:val="24"/>
        </w:rPr>
        <w:t>，我方保证按</w:t>
      </w:r>
      <w:r>
        <w:rPr>
          <w:rFonts w:hint="eastAsia" w:ascii="宋体" w:hAnsi="宋体" w:cs="Arial"/>
          <w:color w:val="auto"/>
          <w:sz w:val="24"/>
        </w:rPr>
        <w:t>比选文件和我方申请文件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7EA80D65">
      <w:pPr>
        <w:spacing w:line="480" w:lineRule="auto"/>
        <w:ind w:firstLine="454"/>
        <w:rPr>
          <w:rFonts w:ascii="宋体" w:hAnsi="宋体" w:cs="Arial"/>
          <w:color w:val="auto"/>
          <w:sz w:val="24"/>
        </w:rPr>
      </w:pPr>
      <w:r>
        <w:rPr>
          <w:rFonts w:hint="eastAsia" w:ascii="宋体" w:hAnsi="宋体" w:cs="Arial"/>
          <w:color w:val="auto"/>
          <w:sz w:val="24"/>
        </w:rPr>
        <w:t>4</w:t>
      </w:r>
      <w:r>
        <w:rPr>
          <w:rFonts w:ascii="宋体" w:hAnsi="宋体" w:cs="Arial"/>
          <w:color w:val="auto"/>
          <w:sz w:val="24"/>
        </w:rPr>
        <w:t>.</w:t>
      </w:r>
      <w:r>
        <w:rPr>
          <w:rFonts w:hint="eastAsia" w:ascii="宋体" w:hAnsi="宋体" w:cs="Arial"/>
          <w:color w:val="auto"/>
          <w:sz w:val="24"/>
        </w:rPr>
        <w:t>我方同意并遵守本项目比选文件关于比选响应有效期的所有要求。我方响应的比选响应有效期为递交比选申请文件截止时间起120日。</w:t>
      </w:r>
    </w:p>
    <w:p w14:paraId="6E9321DD">
      <w:pPr>
        <w:spacing w:line="480" w:lineRule="auto"/>
        <w:ind w:firstLine="454"/>
        <w:rPr>
          <w:rFonts w:ascii="宋体" w:hAnsi="宋体" w:cs="Arial"/>
          <w:color w:val="auto"/>
          <w:sz w:val="24"/>
        </w:rPr>
      </w:pPr>
      <w:r>
        <w:rPr>
          <w:rFonts w:ascii="宋体" w:hAnsi="宋体" w:cs="Arial"/>
          <w:color w:val="auto"/>
          <w:sz w:val="24"/>
        </w:rPr>
        <w:t>5</w:t>
      </w:r>
      <w:r>
        <w:rPr>
          <w:rFonts w:hint="eastAsia" w:ascii="宋体" w:hAnsi="宋体" w:cs="Arial"/>
          <w:color w:val="auto"/>
          <w:sz w:val="24"/>
        </w:rPr>
        <w:t>.我方愿意提供贵单位可能另外要求的，与比选有关的文件资料，并保证我方已提供和将要提供的文件资料是真实、准确的。</w:t>
      </w:r>
    </w:p>
    <w:p w14:paraId="5AB54281">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.一旦我方中选，我方将严格履行本项目合同规定的责任和义务。</w:t>
      </w:r>
    </w:p>
    <w:p w14:paraId="4F6F5842">
      <w:pPr>
        <w:spacing w:line="360" w:lineRule="auto"/>
        <w:ind w:firstLine="454"/>
        <w:rPr>
          <w:rFonts w:ascii="宋体" w:hAnsi="宋体" w:cs="Arial"/>
          <w:color w:val="auto"/>
          <w:sz w:val="24"/>
        </w:rPr>
      </w:pPr>
    </w:p>
    <w:p w14:paraId="541C736B">
      <w:pPr>
        <w:spacing w:line="360" w:lineRule="auto"/>
        <w:ind w:left="239"/>
        <w:rPr>
          <w:rFonts w:ascii="宋体" w:hAnsi="宋体" w:cs="Arial"/>
          <w:color w:val="auto"/>
          <w:sz w:val="24"/>
        </w:rPr>
      </w:pPr>
      <w:r>
        <w:rPr>
          <w:rFonts w:hint="eastAsia" w:ascii="宋体" w:hAnsi="宋体" w:cs="Arial"/>
          <w:color w:val="auto"/>
          <w:sz w:val="24"/>
        </w:rPr>
        <w:t>比选申请人</w:t>
      </w:r>
      <w:r>
        <w:rPr>
          <w:rFonts w:ascii="宋体" w:hAnsi="宋体" w:cs="Arial"/>
          <w:color w:val="auto"/>
          <w:sz w:val="24"/>
        </w:rPr>
        <w:t>名称（全称、盖章）：</w:t>
      </w:r>
      <w:r>
        <w:rPr>
          <w:rFonts w:ascii="宋体" w:hAnsi="宋体" w:cs="Arial"/>
          <w:color w:val="auto"/>
          <w:sz w:val="24"/>
          <w:u w:val="single"/>
        </w:rPr>
        <w:t xml:space="preserve">                                          </w:t>
      </w:r>
    </w:p>
    <w:p w14:paraId="79C6C8A8">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r>
        <w:rPr>
          <w:rFonts w:ascii="宋体" w:hAnsi="宋体" w:cs="Arial"/>
          <w:color w:val="auto"/>
          <w:sz w:val="24"/>
          <w:u w:val="single"/>
        </w:rPr>
        <w:t xml:space="preserve">                                    </w:t>
      </w:r>
    </w:p>
    <w:p w14:paraId="2315B83C">
      <w:pPr>
        <w:spacing w:line="360" w:lineRule="auto"/>
        <w:ind w:firstLine="240"/>
        <w:rPr>
          <w:rFonts w:ascii="宋体" w:hAnsi="宋体" w:cs="Arial"/>
          <w:color w:val="auto"/>
          <w:sz w:val="24"/>
        </w:rPr>
      </w:pPr>
      <w:r>
        <w:rPr>
          <w:rFonts w:ascii="宋体" w:hAnsi="宋体" w:cs="Arial"/>
          <w:color w:val="auto"/>
          <w:sz w:val="24"/>
        </w:rPr>
        <w:t>地址：</w:t>
      </w:r>
      <w:r>
        <w:rPr>
          <w:rFonts w:ascii="宋体" w:hAnsi="宋体" w:cs="Arial"/>
          <w:color w:val="auto"/>
          <w:sz w:val="24"/>
          <w:u w:val="single"/>
        </w:rPr>
        <w:t xml:space="preserve">                              </w:t>
      </w:r>
      <w:r>
        <w:rPr>
          <w:rFonts w:ascii="宋体" w:hAnsi="宋体" w:cs="Arial"/>
          <w:color w:val="auto"/>
          <w:sz w:val="24"/>
        </w:rPr>
        <w:t xml:space="preserve">    邮编 ：</w:t>
      </w:r>
      <w:r>
        <w:rPr>
          <w:rFonts w:ascii="宋体" w:hAnsi="宋体" w:cs="Arial"/>
          <w:color w:val="auto"/>
          <w:sz w:val="24"/>
          <w:u w:val="single"/>
        </w:rPr>
        <w:t xml:space="preserve">                    </w:t>
      </w:r>
    </w:p>
    <w:p w14:paraId="363942FE">
      <w:pPr>
        <w:spacing w:line="360" w:lineRule="auto"/>
        <w:ind w:firstLine="240"/>
        <w:rPr>
          <w:rFonts w:ascii="宋体" w:hAnsi="宋体" w:cs="Arial"/>
          <w:color w:val="auto"/>
          <w:sz w:val="24"/>
        </w:rPr>
      </w:pPr>
      <w:r>
        <w:rPr>
          <w:rFonts w:ascii="宋体" w:hAnsi="宋体" w:cs="Arial"/>
          <w:color w:val="auto"/>
          <w:sz w:val="24"/>
        </w:rPr>
        <w:t>电话：</w:t>
      </w:r>
      <w:r>
        <w:rPr>
          <w:rFonts w:ascii="宋体" w:hAnsi="宋体" w:cs="Arial"/>
          <w:color w:val="auto"/>
          <w:sz w:val="24"/>
          <w:u w:val="single"/>
        </w:rPr>
        <w:t xml:space="preserve">                              </w:t>
      </w:r>
      <w:r>
        <w:rPr>
          <w:rFonts w:ascii="宋体" w:hAnsi="宋体" w:cs="Arial"/>
          <w:color w:val="auto"/>
          <w:sz w:val="24"/>
        </w:rPr>
        <w:t xml:space="preserve">    传真：</w:t>
      </w:r>
      <w:r>
        <w:rPr>
          <w:rFonts w:ascii="宋体" w:hAnsi="宋体" w:cs="Arial"/>
          <w:color w:val="auto"/>
          <w:sz w:val="24"/>
          <w:u w:val="single"/>
        </w:rPr>
        <w:t xml:space="preserve">                     </w:t>
      </w:r>
    </w:p>
    <w:p w14:paraId="2BBE542D">
      <w:pPr>
        <w:spacing w:line="360" w:lineRule="auto"/>
        <w:ind w:firstLine="240"/>
        <w:rPr>
          <w:rFonts w:ascii="宋体" w:hAnsi="宋体"/>
          <w:color w:val="auto"/>
        </w:rPr>
      </w:pPr>
      <w:r>
        <w:rPr>
          <w:rFonts w:hint="eastAsia" w:ascii="宋体" w:hAnsi="宋体" w:cs="Arial"/>
          <w:color w:val="auto"/>
          <w:sz w:val="24"/>
        </w:rPr>
        <w:t>比选</w:t>
      </w: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 xml:space="preserve"> 年</w:t>
      </w:r>
      <w:r>
        <w:rPr>
          <w:rFonts w:ascii="宋体" w:hAnsi="宋体" w:cs="Arial"/>
          <w:color w:val="auto"/>
          <w:sz w:val="24"/>
          <w:u w:val="single"/>
        </w:rPr>
        <w:t xml:space="preserve">     </w:t>
      </w:r>
      <w:r>
        <w:rPr>
          <w:rFonts w:ascii="宋体" w:hAnsi="宋体" w:cs="Arial"/>
          <w:color w:val="auto"/>
          <w:sz w:val="24"/>
        </w:rPr>
        <w:t xml:space="preserve"> 月</w:t>
      </w:r>
      <w:r>
        <w:rPr>
          <w:rFonts w:ascii="宋体" w:hAnsi="宋体" w:cs="Arial"/>
          <w:color w:val="auto"/>
          <w:sz w:val="24"/>
          <w:u w:val="single"/>
        </w:rPr>
        <w:t xml:space="preserve">     </w:t>
      </w:r>
      <w:r>
        <w:rPr>
          <w:rFonts w:ascii="宋体" w:hAnsi="宋体" w:cs="Arial"/>
          <w:color w:val="auto"/>
          <w:sz w:val="24"/>
        </w:rPr>
        <w:t>日</w:t>
      </w:r>
    </w:p>
    <w:p w14:paraId="150A329B">
      <w:pPr>
        <w:rPr>
          <w:rFonts w:ascii="宋体" w:hAnsi="宋体"/>
          <w:color w:val="auto"/>
        </w:rPr>
      </w:pPr>
    </w:p>
    <w:p w14:paraId="4D3EB9F3">
      <w:pPr>
        <w:rPr>
          <w:rFonts w:ascii="宋体" w:hAnsi="宋体"/>
          <w:color w:val="auto"/>
        </w:rPr>
      </w:pPr>
    </w:p>
    <w:p w14:paraId="37B264B5">
      <w:pPr>
        <w:rPr>
          <w:rFonts w:ascii="宋体" w:hAnsi="宋体"/>
          <w:color w:val="auto"/>
        </w:rPr>
      </w:pPr>
    </w:p>
    <w:p w14:paraId="0352A4A6">
      <w:pPr>
        <w:rPr>
          <w:rFonts w:ascii="宋体" w:hAnsi="宋体"/>
          <w:color w:val="auto"/>
        </w:rPr>
      </w:pPr>
    </w:p>
    <w:p w14:paraId="57AD7E1D">
      <w:pPr>
        <w:rPr>
          <w:rFonts w:ascii="宋体" w:hAnsi="宋体"/>
          <w:color w:val="auto"/>
        </w:rPr>
      </w:pPr>
    </w:p>
    <w:p w14:paraId="3F54E892">
      <w:pPr>
        <w:pStyle w:val="3"/>
        <w:jc w:val="center"/>
        <w:rPr>
          <w:rFonts w:ascii="宋体" w:hAnsi="宋体"/>
          <w:color w:val="auto"/>
          <w:sz w:val="28"/>
          <w:szCs w:val="28"/>
        </w:rPr>
      </w:pPr>
      <w:bookmarkStart w:id="22" w:name="_Toc184704625"/>
      <w:bookmarkStart w:id="23" w:name="_Toc460503083"/>
      <w:bookmarkStart w:id="24" w:name="_Toc217446083"/>
      <w:bookmarkStart w:id="25" w:name="_Toc300303160"/>
      <w:bookmarkStart w:id="26" w:name="_Toc280877425"/>
      <w:bookmarkStart w:id="27" w:name="_Toc321598257"/>
      <w:r>
        <w:rPr>
          <w:rFonts w:hint="eastAsia" w:ascii="宋体" w:hAnsi="宋体"/>
          <w:color w:val="auto"/>
          <w:sz w:val="28"/>
          <w:szCs w:val="28"/>
        </w:rPr>
        <w:br w:type="page"/>
      </w:r>
      <w:bookmarkEnd w:id="22"/>
      <w:bookmarkEnd w:id="23"/>
      <w:r>
        <w:rPr>
          <w:rFonts w:hint="eastAsia" w:ascii="宋体" w:hAnsi="宋体"/>
          <w:color w:val="auto"/>
          <w:sz w:val="28"/>
          <w:szCs w:val="28"/>
        </w:rPr>
        <w:t>格式二、法定代表人证明书（如涉及）</w:t>
      </w:r>
    </w:p>
    <w:p w14:paraId="2D349A64">
      <w:pPr>
        <w:spacing w:line="360" w:lineRule="auto"/>
        <w:ind w:firstLine="420" w:firstLineChars="200"/>
        <w:rPr>
          <w:rFonts w:hAnsi="宋体"/>
          <w:color w:val="auto"/>
        </w:rPr>
      </w:pPr>
    </w:p>
    <w:p w14:paraId="10E5B403">
      <w:pPr>
        <w:spacing w:line="360" w:lineRule="auto"/>
        <w:ind w:firstLine="480" w:firstLineChars="200"/>
        <w:rPr>
          <w:rFonts w:hAnsi="宋体"/>
          <w:color w:val="auto"/>
          <w:sz w:val="24"/>
        </w:rPr>
      </w:pPr>
      <w:r>
        <w:rPr>
          <w:rFonts w:hint="eastAsia" w:hAnsi="宋体"/>
          <w:color w:val="auto"/>
          <w:sz w:val="24"/>
        </w:rPr>
        <w:t>比选申请人名称：</w:t>
      </w:r>
      <w:r>
        <w:rPr>
          <w:rFonts w:hAnsi="宋体"/>
          <w:color w:val="auto"/>
          <w:sz w:val="24"/>
          <w:u w:val="single"/>
        </w:rPr>
        <w:t xml:space="preserve">                           </w:t>
      </w:r>
    </w:p>
    <w:p w14:paraId="19391F3B">
      <w:pPr>
        <w:spacing w:line="360" w:lineRule="auto"/>
        <w:ind w:firstLine="480" w:firstLineChars="200"/>
        <w:rPr>
          <w:rFonts w:hAnsi="宋体"/>
          <w:color w:val="auto"/>
          <w:sz w:val="24"/>
        </w:rPr>
      </w:pPr>
      <w:r>
        <w:rPr>
          <w:rFonts w:hint="eastAsia" w:hAnsi="宋体"/>
          <w:color w:val="auto"/>
          <w:sz w:val="24"/>
        </w:rPr>
        <w:t>单位性质：</w:t>
      </w:r>
      <w:r>
        <w:rPr>
          <w:rFonts w:hAnsi="宋体"/>
          <w:color w:val="auto"/>
          <w:sz w:val="24"/>
          <w:u w:val="single"/>
        </w:rPr>
        <w:t xml:space="preserve"> </w:t>
      </w:r>
      <w:r>
        <w:rPr>
          <w:rFonts w:hAnsi="宋体"/>
          <w:color w:val="auto"/>
          <w:sz w:val="24"/>
        </w:rPr>
        <w:t xml:space="preserve">              </w:t>
      </w:r>
      <w:r>
        <w:rPr>
          <w:rFonts w:hAnsi="宋体"/>
          <w:color w:val="auto"/>
          <w:sz w:val="24"/>
          <w:u w:val="single"/>
        </w:rPr>
        <w:t xml:space="preserve">              </w:t>
      </w:r>
    </w:p>
    <w:p w14:paraId="6138D888">
      <w:pPr>
        <w:spacing w:line="360" w:lineRule="auto"/>
        <w:ind w:firstLine="480" w:firstLineChars="200"/>
        <w:rPr>
          <w:rFonts w:hAnsi="宋体"/>
          <w:color w:val="auto"/>
          <w:sz w:val="24"/>
        </w:rPr>
      </w:pPr>
      <w:r>
        <w:rPr>
          <w:rFonts w:hint="eastAsia" w:hAnsi="宋体"/>
          <w:color w:val="auto"/>
          <w:sz w:val="24"/>
        </w:rPr>
        <w:t>成立时间：</w:t>
      </w:r>
      <w:r>
        <w:rPr>
          <w:rFonts w:hAnsi="宋体"/>
          <w:color w:val="auto"/>
          <w:sz w:val="24"/>
          <w:u w:val="single"/>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14:paraId="4631EF7A">
      <w:pPr>
        <w:spacing w:line="360" w:lineRule="auto"/>
        <w:ind w:firstLine="480" w:firstLineChars="200"/>
        <w:rPr>
          <w:rFonts w:hAnsi="宋体"/>
          <w:color w:val="auto"/>
          <w:sz w:val="24"/>
        </w:rPr>
      </w:pPr>
      <w:r>
        <w:rPr>
          <w:rFonts w:hint="eastAsia" w:hAnsi="宋体"/>
          <w:color w:val="auto"/>
          <w:sz w:val="24"/>
        </w:rPr>
        <w:t>经营期限：</w:t>
      </w:r>
      <w:r>
        <w:rPr>
          <w:rFonts w:hAnsi="宋体"/>
          <w:color w:val="auto"/>
          <w:sz w:val="24"/>
          <w:u w:val="single"/>
        </w:rPr>
        <w:t xml:space="preserve">                           </w:t>
      </w:r>
    </w:p>
    <w:p w14:paraId="29CD40CA">
      <w:pPr>
        <w:spacing w:line="360" w:lineRule="auto"/>
        <w:ind w:firstLine="480" w:firstLineChars="200"/>
        <w:rPr>
          <w:rFonts w:hAnsi="宋体"/>
          <w:color w:val="auto"/>
          <w:sz w:val="24"/>
        </w:rPr>
      </w:pPr>
      <w:r>
        <w:rPr>
          <w:rFonts w:hint="eastAsia" w:hAnsi="宋体"/>
          <w:color w:val="auto"/>
          <w:sz w:val="24"/>
        </w:rPr>
        <w:t>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p>
    <w:p w14:paraId="0266E399">
      <w:pPr>
        <w:spacing w:line="360" w:lineRule="auto"/>
        <w:ind w:firstLine="480" w:firstLineChars="200"/>
        <w:rPr>
          <w:rFonts w:hAnsi="宋体"/>
          <w:color w:val="auto"/>
          <w:sz w:val="24"/>
        </w:rPr>
      </w:pPr>
      <w:r>
        <w:rPr>
          <w:rFonts w:hint="eastAsia" w:hAnsi="宋体"/>
          <w:color w:val="auto"/>
          <w:sz w:val="24"/>
        </w:rPr>
        <w:t>系</w:t>
      </w:r>
      <w:r>
        <w:rPr>
          <w:rFonts w:hAnsi="宋体"/>
          <w:color w:val="auto"/>
          <w:sz w:val="24"/>
          <w:u w:val="single"/>
        </w:rPr>
        <w:t xml:space="preserve">                           </w:t>
      </w:r>
      <w:r>
        <w:rPr>
          <w:rFonts w:hint="eastAsia" w:hAnsi="宋体"/>
          <w:color w:val="auto"/>
          <w:sz w:val="24"/>
        </w:rPr>
        <w:t>（申请人名称）的法定代表人。</w:t>
      </w:r>
      <w:r>
        <w:rPr>
          <w:rFonts w:hint="eastAsia" w:ascii="宋体" w:hAnsi="宋体"/>
          <w:color w:val="auto"/>
          <w:sz w:val="28"/>
          <w:szCs w:val="28"/>
        </w:rPr>
        <w:t>（如涉及）</w:t>
      </w:r>
    </w:p>
    <w:p w14:paraId="7E305AFA">
      <w:pPr>
        <w:spacing w:line="360" w:lineRule="auto"/>
        <w:ind w:firstLine="960" w:firstLineChars="400"/>
        <w:rPr>
          <w:rFonts w:hAnsi="宋体"/>
          <w:color w:val="auto"/>
          <w:sz w:val="24"/>
        </w:rPr>
      </w:pPr>
      <w:r>
        <w:rPr>
          <w:rFonts w:hint="eastAsia" w:hAnsi="宋体"/>
          <w:color w:val="auto"/>
          <w:sz w:val="24"/>
        </w:rPr>
        <w:t>特此证明。</w:t>
      </w:r>
    </w:p>
    <w:p w14:paraId="1F7C083D">
      <w:pPr>
        <w:spacing w:line="360" w:lineRule="auto"/>
        <w:ind w:firstLine="480" w:firstLineChars="200"/>
        <w:rPr>
          <w:rFonts w:hAnsi="宋体"/>
          <w:color w:val="auto"/>
          <w:sz w:val="24"/>
        </w:rPr>
      </w:pPr>
    </w:p>
    <w:p w14:paraId="1BE3A188">
      <w:pPr>
        <w:spacing w:line="360" w:lineRule="auto"/>
        <w:ind w:firstLine="4920" w:firstLineChars="2050"/>
        <w:rPr>
          <w:rFonts w:hAnsi="宋体"/>
          <w:color w:val="auto"/>
          <w:sz w:val="24"/>
        </w:rPr>
      </w:pPr>
    </w:p>
    <w:p w14:paraId="16E45421">
      <w:pPr>
        <w:spacing w:line="360" w:lineRule="auto"/>
        <w:ind w:firstLine="484" w:firstLineChars="202"/>
        <w:jc w:val="left"/>
        <w:rPr>
          <w:rFonts w:hAnsi="宋体"/>
          <w:color w:val="auto"/>
          <w:sz w:val="24"/>
          <w:u w:val="single"/>
        </w:rPr>
      </w:pPr>
      <w:r>
        <w:rPr>
          <w:rFonts w:hint="eastAsia" w:hAnsi="宋体"/>
          <w:color w:val="auto"/>
          <w:sz w:val="24"/>
        </w:rPr>
        <w:t>比选申请人：</w:t>
      </w:r>
      <w:r>
        <w:rPr>
          <w:rFonts w:hAnsi="宋体"/>
          <w:color w:val="auto"/>
          <w:sz w:val="24"/>
          <w:u w:val="single"/>
        </w:rPr>
        <w:t xml:space="preserve">                           </w:t>
      </w:r>
      <w:r>
        <w:rPr>
          <w:rFonts w:hint="eastAsia" w:hAnsi="宋体"/>
          <w:color w:val="auto"/>
          <w:sz w:val="24"/>
          <w:u w:val="single"/>
        </w:rPr>
        <w:t>（加盖比选申请人公章（鲜章））</w:t>
      </w:r>
    </w:p>
    <w:p w14:paraId="726DA538">
      <w:pPr>
        <w:spacing w:line="360" w:lineRule="auto"/>
        <w:ind w:firstLine="484" w:firstLineChars="202"/>
        <w:jc w:val="left"/>
        <w:rPr>
          <w:rFonts w:hAnsi="宋体"/>
          <w:color w:val="auto"/>
          <w:sz w:val="24"/>
        </w:rPr>
      </w:pPr>
    </w:p>
    <w:p w14:paraId="552EC0B9">
      <w:pPr>
        <w:spacing w:line="360" w:lineRule="auto"/>
        <w:ind w:firstLine="484" w:firstLineChars="202"/>
        <w:jc w:val="right"/>
        <w:rPr>
          <w:rFonts w:hAnsi="宋体"/>
          <w:color w:val="auto"/>
          <w:sz w:val="24"/>
        </w:rPr>
      </w:pP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14:paraId="7F8796B8">
      <w:pPr>
        <w:spacing w:line="360" w:lineRule="auto"/>
        <w:ind w:firstLine="480" w:firstLineChars="200"/>
        <w:rPr>
          <w:rFonts w:hAnsi="宋体"/>
          <w:color w:val="auto"/>
          <w:sz w:val="24"/>
        </w:rPr>
      </w:pPr>
    </w:p>
    <w:p w14:paraId="013F5C7D">
      <w:pPr>
        <w:spacing w:line="360" w:lineRule="auto"/>
        <w:ind w:firstLine="480" w:firstLineChars="200"/>
        <w:rPr>
          <w:rFonts w:hAnsi="宋体"/>
          <w:color w:val="auto"/>
          <w:sz w:val="24"/>
        </w:rPr>
      </w:pPr>
    </w:p>
    <w:p w14:paraId="5EF682E0">
      <w:pPr>
        <w:spacing w:line="360" w:lineRule="auto"/>
        <w:ind w:firstLine="480" w:firstLineChars="200"/>
        <w:rPr>
          <w:rFonts w:hAnsi="宋体"/>
          <w:color w:val="auto"/>
          <w:sz w:val="24"/>
        </w:rPr>
      </w:pPr>
      <w:r>
        <w:rPr>
          <w:rFonts w:hint="eastAsia" w:hAnsi="宋体"/>
          <w:color w:val="auto"/>
          <w:sz w:val="24"/>
        </w:rPr>
        <w:t>注：</w:t>
      </w:r>
    </w:p>
    <w:p w14:paraId="2A262106">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37274BA1">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2、法定代表人直接参与比选并签署比选申请文件时提供。</w:t>
      </w:r>
    </w:p>
    <w:p w14:paraId="755B93CC">
      <w:pPr>
        <w:pStyle w:val="3"/>
        <w:jc w:val="center"/>
        <w:rPr>
          <w:rFonts w:ascii="宋体" w:hAnsi="宋体"/>
          <w:color w:val="auto"/>
          <w:sz w:val="28"/>
          <w:szCs w:val="28"/>
        </w:rPr>
      </w:pPr>
      <w:r>
        <w:rPr>
          <w:rFonts w:hint="eastAsia" w:ascii="宋体" w:hAnsi="宋体"/>
          <w:color w:val="auto"/>
          <w:sz w:val="28"/>
          <w:szCs w:val="28"/>
        </w:rPr>
        <w:t>法定代表人授权书</w:t>
      </w:r>
      <w:bookmarkEnd w:id="24"/>
      <w:r>
        <w:rPr>
          <w:rFonts w:hint="eastAsia" w:ascii="宋体" w:hAnsi="宋体"/>
          <w:color w:val="auto"/>
          <w:sz w:val="28"/>
          <w:szCs w:val="28"/>
        </w:rPr>
        <w:t>（如涉及）</w:t>
      </w:r>
    </w:p>
    <w:p w14:paraId="29639B5D">
      <w:pPr>
        <w:spacing w:line="400" w:lineRule="exact"/>
        <w:jc w:val="center"/>
        <w:rPr>
          <w:rFonts w:hAnsi="宋体"/>
          <w:b/>
          <w:bCs/>
          <w:color w:val="auto"/>
          <w:sz w:val="44"/>
          <w:szCs w:val="44"/>
        </w:rPr>
      </w:pPr>
    </w:p>
    <w:p w14:paraId="57643B8D">
      <w:pPr>
        <w:spacing w:line="360" w:lineRule="auto"/>
        <w:rPr>
          <w:rFonts w:hAnsi="宋体"/>
          <w:color w:val="auto"/>
          <w:sz w:val="24"/>
        </w:rPr>
      </w:pPr>
      <w:r>
        <w:rPr>
          <w:rFonts w:hint="eastAsia"/>
          <w:color w:val="auto"/>
          <w:sz w:val="24"/>
        </w:rPr>
        <w:t>金堂县第一人民医院</w:t>
      </w:r>
      <w:r>
        <w:rPr>
          <w:rFonts w:hint="eastAsia" w:hAnsi="宋体"/>
          <w:color w:val="auto"/>
          <w:sz w:val="24"/>
        </w:rPr>
        <w:t>：</w:t>
      </w:r>
    </w:p>
    <w:p w14:paraId="7DEC06D6">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（填比选单位名称）   </w:t>
      </w:r>
      <w:r>
        <w:rPr>
          <w:rFonts w:hint="eastAsia" w:hAnsi="宋体"/>
          <w:color w:val="auto"/>
          <w:sz w:val="24"/>
        </w:rPr>
        <w:t>的法定代表人，现授权</w:t>
      </w:r>
      <w:r>
        <w:rPr>
          <w:rFonts w:hAnsi="宋体"/>
          <w:color w:val="auto"/>
          <w:sz w:val="24"/>
          <w:u w:val="single"/>
        </w:rPr>
        <w:t xml:space="preserve">              </w:t>
      </w:r>
      <w:r>
        <w:rPr>
          <w:rFonts w:hint="eastAsia" w:hAnsi="宋体"/>
          <w:color w:val="auto"/>
          <w:sz w:val="24"/>
        </w:rPr>
        <w:t>（授权代表姓名、职务）为我方</w:t>
      </w:r>
      <w:r>
        <w:rPr>
          <w:rFonts w:hAnsi="宋体"/>
          <w:color w:val="auto"/>
          <w:sz w:val="24"/>
        </w:rPr>
        <w:t xml:space="preserve"> </w:t>
      </w:r>
      <w:r>
        <w:rPr>
          <w:rFonts w:hint="eastAsia" w:hAnsi="宋体"/>
          <w:color w:val="auto"/>
          <w:sz w:val="24"/>
        </w:rPr>
        <w:t>“</w:t>
      </w:r>
      <w:r>
        <w:rPr>
          <w:rFonts w:hint="eastAsia" w:hAnsi="宋体"/>
          <w:bCs/>
          <w:color w:val="auto"/>
          <w:sz w:val="24"/>
          <w:u w:val="single"/>
        </w:rPr>
        <w:t xml:space="preserve">  （项目名称）（项目编号：</w:t>
      </w:r>
      <w:r>
        <w:rPr>
          <w:rFonts w:hint="eastAsia" w:hAnsi="宋体"/>
          <w:b/>
          <w:bCs/>
          <w:color w:val="auto"/>
          <w:sz w:val="24"/>
          <w:u w:val="single"/>
        </w:rPr>
        <w:t xml:space="preserve">     </w:t>
      </w:r>
      <w:r>
        <w:rPr>
          <w:rFonts w:hint="eastAsia" w:hAnsi="宋体"/>
          <w:b/>
          <w:bCs/>
          <w:color w:val="auto"/>
          <w:sz w:val="24"/>
          <w:u w:val="single"/>
          <w:lang w:eastAsia="zh-CN"/>
        </w:rPr>
        <w:t>）</w:t>
      </w:r>
      <w:r>
        <w:rPr>
          <w:rFonts w:hint="eastAsia" w:hAnsi="宋体"/>
          <w:color w:val="auto"/>
          <w:sz w:val="24"/>
        </w:rPr>
        <w:t>”（项目名称及项目编号）比选活动的合法代表，以我方名义全权处理该项目有关比选、签订合同以及执行合同等一切事宜。</w:t>
      </w:r>
    </w:p>
    <w:p w14:paraId="483A547D">
      <w:pPr>
        <w:spacing w:line="360" w:lineRule="auto"/>
        <w:ind w:firstLine="480" w:firstLineChars="200"/>
        <w:rPr>
          <w:rFonts w:hAnsi="宋体"/>
          <w:color w:val="auto"/>
          <w:sz w:val="24"/>
        </w:rPr>
      </w:pPr>
      <w:r>
        <w:rPr>
          <w:rFonts w:hint="eastAsia" w:hAnsi="宋体"/>
          <w:color w:val="auto"/>
          <w:sz w:val="24"/>
        </w:rPr>
        <w:t>特此声明。</w:t>
      </w:r>
    </w:p>
    <w:p w14:paraId="3EE6CD02">
      <w:pPr>
        <w:spacing w:line="400" w:lineRule="exact"/>
        <w:ind w:firstLine="480" w:firstLineChars="200"/>
        <w:rPr>
          <w:rFonts w:hAnsi="宋体"/>
          <w:color w:val="auto"/>
          <w:sz w:val="24"/>
        </w:rPr>
      </w:pPr>
    </w:p>
    <w:p w14:paraId="19515182">
      <w:pPr>
        <w:spacing w:line="400" w:lineRule="exact"/>
        <w:ind w:firstLine="480" w:firstLineChars="200"/>
        <w:rPr>
          <w:rFonts w:hAnsi="宋体"/>
          <w:color w:val="auto"/>
          <w:sz w:val="24"/>
        </w:rPr>
      </w:pPr>
    </w:p>
    <w:p w14:paraId="546C975D">
      <w:pPr>
        <w:spacing w:line="400" w:lineRule="exact"/>
        <w:ind w:firstLine="480" w:firstLineChars="200"/>
        <w:rPr>
          <w:rFonts w:hAnsi="宋体"/>
          <w:color w:val="auto"/>
          <w:sz w:val="24"/>
          <w:u w:val="single"/>
        </w:rPr>
      </w:pPr>
      <w:r>
        <w:rPr>
          <w:rFonts w:hint="eastAsia" w:hAnsi="宋体"/>
          <w:color w:val="auto"/>
          <w:sz w:val="24"/>
        </w:rPr>
        <w:t>法定代表人签字：</w:t>
      </w:r>
      <w:r>
        <w:rPr>
          <w:rFonts w:hint="eastAsia" w:hAnsi="宋体"/>
          <w:color w:val="auto"/>
          <w:sz w:val="24"/>
          <w:u w:val="single"/>
        </w:rPr>
        <w:t xml:space="preserve">                   </w:t>
      </w:r>
    </w:p>
    <w:p w14:paraId="3CC0345E">
      <w:pPr>
        <w:spacing w:line="400" w:lineRule="exact"/>
        <w:ind w:firstLine="480" w:firstLineChars="200"/>
        <w:rPr>
          <w:rFonts w:hAnsi="宋体"/>
          <w:color w:val="auto"/>
          <w:sz w:val="24"/>
          <w:u w:val="single"/>
        </w:rPr>
      </w:pPr>
      <w:r>
        <w:rPr>
          <w:rFonts w:hint="eastAsia" w:hAnsi="宋体"/>
          <w:color w:val="auto"/>
          <w:sz w:val="24"/>
        </w:rPr>
        <w:t>授权代理人签字：</w:t>
      </w:r>
      <w:r>
        <w:rPr>
          <w:rFonts w:hint="eastAsia" w:hAnsi="宋体"/>
          <w:color w:val="auto"/>
          <w:sz w:val="24"/>
          <w:u w:val="single"/>
        </w:rPr>
        <w:t xml:space="preserve">                   </w:t>
      </w:r>
    </w:p>
    <w:p w14:paraId="175A1EF3">
      <w:pPr>
        <w:spacing w:line="400" w:lineRule="exact"/>
        <w:ind w:firstLine="480" w:firstLineChars="200"/>
        <w:rPr>
          <w:rFonts w:hAnsi="宋体"/>
          <w:color w:val="auto"/>
          <w:sz w:val="24"/>
          <w:u w:val="single"/>
        </w:rPr>
      </w:pPr>
      <w:r>
        <w:rPr>
          <w:rFonts w:hint="eastAsia" w:hAnsi="宋体"/>
          <w:color w:val="auto"/>
          <w:sz w:val="24"/>
        </w:rPr>
        <w:t>比选申请人名称：</w:t>
      </w:r>
      <w:r>
        <w:rPr>
          <w:rFonts w:hAnsi="宋体"/>
          <w:color w:val="auto"/>
          <w:sz w:val="24"/>
          <w:u w:val="single"/>
        </w:rPr>
        <w:t xml:space="preserve">         </w:t>
      </w:r>
      <w:r>
        <w:rPr>
          <w:rFonts w:hint="eastAsia" w:hAnsi="宋体"/>
          <w:color w:val="auto"/>
          <w:sz w:val="24"/>
          <w:u w:val="single"/>
        </w:rPr>
        <w:t xml:space="preserve">（盖章）  </w:t>
      </w:r>
    </w:p>
    <w:p w14:paraId="13FE289E">
      <w:pPr>
        <w:adjustRightInd w:val="0"/>
        <w:spacing w:line="400" w:lineRule="exact"/>
        <w:ind w:firstLine="480"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27316085">
      <w:pPr>
        <w:spacing w:line="400" w:lineRule="exact"/>
        <w:rPr>
          <w:rFonts w:hAnsi="宋体"/>
          <w:color w:val="auto"/>
          <w:sz w:val="32"/>
          <w:szCs w:val="32"/>
        </w:rPr>
      </w:pPr>
    </w:p>
    <w:p w14:paraId="1EE59286">
      <w:pPr>
        <w:spacing w:line="400" w:lineRule="exact"/>
        <w:ind w:left="840" w:hanging="840" w:hangingChars="350"/>
        <w:jc w:val="left"/>
        <w:rPr>
          <w:rFonts w:hAnsi="宋体"/>
          <w:color w:val="auto"/>
          <w:sz w:val="24"/>
        </w:rPr>
      </w:pPr>
      <w:r>
        <w:rPr>
          <w:rFonts w:hint="eastAsia" w:hAnsi="宋体"/>
          <w:color w:val="auto"/>
          <w:sz w:val="24"/>
        </w:rPr>
        <w:t>附：</w:t>
      </w:r>
    </w:p>
    <w:p w14:paraId="22368EF0">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、法定代表人身份证复印件（提供正反面）</w:t>
      </w:r>
    </w:p>
    <w:p w14:paraId="29B70EA2">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、授权代表身份证复印件（提供正反面）</w:t>
      </w:r>
    </w:p>
    <w:p w14:paraId="15B68C6F">
      <w:pPr>
        <w:spacing w:line="400" w:lineRule="exact"/>
        <w:ind w:firstLine="480" w:firstLineChars="200"/>
        <w:rPr>
          <w:rFonts w:hAnsi="宋体"/>
          <w:color w:val="auto"/>
          <w:sz w:val="24"/>
        </w:rPr>
      </w:pPr>
      <w:r>
        <w:rPr>
          <w:rFonts w:hint="eastAsia" w:hAnsi="宋体"/>
          <w:color w:val="auto"/>
          <w:sz w:val="24"/>
        </w:rPr>
        <w:t>3、非法定代表人参与比选并签署比选申请文件时提供</w:t>
      </w:r>
    </w:p>
    <w:bookmarkEnd w:id="25"/>
    <w:bookmarkEnd w:id="26"/>
    <w:bookmarkEnd w:id="27"/>
    <w:p w14:paraId="615F2799">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8" w:name="_Toc237145385"/>
      <w:bookmarkStart w:id="29" w:name="_Toc263768864"/>
      <w:bookmarkStart w:id="30" w:name="_Toc263753600"/>
      <w:bookmarkStart w:id="31" w:name="_Toc256175382"/>
      <w:bookmarkStart w:id="32" w:name="_Toc250041691"/>
      <w:bookmarkStart w:id="33" w:name="_Toc297204985"/>
    </w:p>
    <w:bookmarkEnd w:id="28"/>
    <w:bookmarkEnd w:id="29"/>
    <w:bookmarkEnd w:id="30"/>
    <w:bookmarkEnd w:id="31"/>
    <w:bookmarkEnd w:id="32"/>
    <w:bookmarkEnd w:id="33"/>
    <w:p w14:paraId="5CD92FF3">
      <w:pPr>
        <w:pStyle w:val="3"/>
        <w:jc w:val="center"/>
        <w:rPr>
          <w:rFonts w:ascii="宋体" w:hAnsi="宋体"/>
          <w:color w:val="auto"/>
          <w:sz w:val="28"/>
          <w:szCs w:val="28"/>
        </w:rPr>
      </w:pPr>
      <w:bookmarkStart w:id="34" w:name="_Toc476736023"/>
      <w:r>
        <w:rPr>
          <w:rFonts w:hint="eastAsia" w:ascii="宋体" w:hAnsi="宋体"/>
          <w:color w:val="auto"/>
          <w:sz w:val="28"/>
          <w:szCs w:val="28"/>
        </w:rPr>
        <w:t>格式三、报价一览表</w:t>
      </w:r>
    </w:p>
    <w:tbl>
      <w:tblPr>
        <w:tblStyle w:val="44"/>
        <w:tblW w:w="0" w:type="auto"/>
        <w:jc w:val="center"/>
        <w:tblLayout w:type="fixed"/>
        <w:tblCellMar>
          <w:top w:w="0" w:type="dxa"/>
          <w:left w:w="108" w:type="dxa"/>
          <w:bottom w:w="0" w:type="dxa"/>
          <w:right w:w="108" w:type="dxa"/>
        </w:tblCellMar>
      </w:tblPr>
      <w:tblGrid>
        <w:gridCol w:w="2998"/>
        <w:gridCol w:w="5520"/>
      </w:tblGrid>
      <w:tr w14:paraId="7E564626">
        <w:tblPrEx>
          <w:tblCellMar>
            <w:top w:w="0" w:type="dxa"/>
            <w:left w:w="108" w:type="dxa"/>
            <w:bottom w:w="0" w:type="dxa"/>
            <w:right w:w="108" w:type="dxa"/>
          </w:tblCellMar>
        </w:tblPrEx>
        <w:trPr>
          <w:trHeight w:val="766" w:hRule="atLeast"/>
          <w:jc w:val="center"/>
        </w:trPr>
        <w:tc>
          <w:tcPr>
            <w:tcW w:w="2998" w:type="dxa"/>
            <w:tcBorders>
              <w:top w:val="single" w:color="auto" w:sz="4" w:space="0"/>
              <w:left w:val="single" w:color="auto" w:sz="4" w:space="0"/>
              <w:bottom w:val="single" w:color="auto" w:sz="4" w:space="0"/>
              <w:right w:val="single" w:color="auto" w:sz="4" w:space="0"/>
            </w:tcBorders>
            <w:noWrap w:val="0"/>
            <w:vAlign w:val="center"/>
          </w:tcPr>
          <w:p w14:paraId="5C510405">
            <w:pPr>
              <w:spacing w:line="500" w:lineRule="exact"/>
              <w:jc w:val="left"/>
              <w:rPr>
                <w:rFonts w:hint="eastAsia" w:ascii="宋体" w:hAnsi="宋体" w:cs="宋体"/>
                <w:color w:val="auto"/>
                <w:sz w:val="24"/>
              </w:rPr>
            </w:pPr>
            <w:r>
              <w:rPr>
                <w:rFonts w:hint="eastAsia" w:ascii="宋体" w:hAnsi="宋体" w:cs="宋体"/>
                <w:color w:val="auto"/>
                <w:sz w:val="24"/>
              </w:rPr>
              <w:t>项目名称</w:t>
            </w:r>
          </w:p>
        </w:tc>
        <w:tc>
          <w:tcPr>
            <w:tcW w:w="5520" w:type="dxa"/>
            <w:tcBorders>
              <w:top w:val="single" w:color="auto" w:sz="4" w:space="0"/>
              <w:left w:val="nil"/>
              <w:bottom w:val="single" w:color="auto" w:sz="4" w:space="0"/>
              <w:right w:val="single" w:color="auto" w:sz="4" w:space="0"/>
            </w:tcBorders>
            <w:noWrap w:val="0"/>
            <w:vAlign w:val="center"/>
          </w:tcPr>
          <w:p w14:paraId="59E94104">
            <w:pPr>
              <w:spacing w:line="500" w:lineRule="exact"/>
              <w:rPr>
                <w:rFonts w:hint="eastAsia" w:ascii="宋体" w:hAnsi="宋体" w:cs="宋体"/>
                <w:color w:val="auto"/>
                <w:sz w:val="24"/>
              </w:rPr>
            </w:pPr>
          </w:p>
        </w:tc>
      </w:tr>
      <w:tr w14:paraId="059BC7D4">
        <w:tblPrEx>
          <w:tblCellMar>
            <w:top w:w="0" w:type="dxa"/>
            <w:left w:w="108" w:type="dxa"/>
            <w:bottom w:w="0" w:type="dxa"/>
            <w:right w:w="108" w:type="dxa"/>
          </w:tblCellMar>
        </w:tblPrEx>
        <w:trPr>
          <w:trHeight w:val="836" w:hRule="atLeast"/>
          <w:jc w:val="center"/>
        </w:trPr>
        <w:tc>
          <w:tcPr>
            <w:tcW w:w="2998" w:type="dxa"/>
            <w:tcBorders>
              <w:top w:val="single" w:color="auto" w:sz="4" w:space="0"/>
              <w:left w:val="single" w:color="auto" w:sz="4" w:space="0"/>
              <w:bottom w:val="single" w:color="auto" w:sz="4" w:space="0"/>
              <w:right w:val="single" w:color="auto" w:sz="4" w:space="0"/>
            </w:tcBorders>
            <w:noWrap w:val="0"/>
            <w:vAlign w:val="center"/>
          </w:tcPr>
          <w:p w14:paraId="533A0593">
            <w:pPr>
              <w:spacing w:line="500" w:lineRule="exact"/>
              <w:jc w:val="left"/>
              <w:rPr>
                <w:rFonts w:hint="eastAsia" w:ascii="宋体" w:hAnsi="宋体" w:cs="宋体"/>
                <w:color w:val="auto"/>
                <w:sz w:val="24"/>
              </w:rPr>
            </w:pPr>
            <w:r>
              <w:rPr>
                <w:rFonts w:hint="eastAsia" w:ascii="宋体" w:hAnsi="宋体" w:cs="宋体"/>
                <w:color w:val="auto"/>
                <w:sz w:val="24"/>
              </w:rPr>
              <w:t>项目编号</w:t>
            </w:r>
          </w:p>
        </w:tc>
        <w:tc>
          <w:tcPr>
            <w:tcW w:w="5520" w:type="dxa"/>
            <w:tcBorders>
              <w:top w:val="single" w:color="auto" w:sz="4" w:space="0"/>
              <w:left w:val="nil"/>
              <w:bottom w:val="single" w:color="auto" w:sz="4" w:space="0"/>
              <w:right w:val="single" w:color="auto" w:sz="4" w:space="0"/>
            </w:tcBorders>
            <w:noWrap w:val="0"/>
            <w:vAlign w:val="center"/>
          </w:tcPr>
          <w:p w14:paraId="1E457D34">
            <w:pPr>
              <w:spacing w:line="500" w:lineRule="exact"/>
              <w:rPr>
                <w:rFonts w:hint="eastAsia" w:ascii="宋体" w:hAnsi="宋体" w:cs="宋体"/>
                <w:color w:val="auto"/>
                <w:sz w:val="24"/>
              </w:rPr>
            </w:pPr>
          </w:p>
        </w:tc>
      </w:tr>
      <w:tr w14:paraId="3A0BE778">
        <w:tblPrEx>
          <w:tblCellMar>
            <w:top w:w="0" w:type="dxa"/>
            <w:left w:w="108" w:type="dxa"/>
            <w:bottom w:w="0" w:type="dxa"/>
            <w:right w:w="108" w:type="dxa"/>
          </w:tblCellMar>
        </w:tblPrEx>
        <w:trPr>
          <w:trHeight w:val="1328" w:hRule="atLeast"/>
          <w:jc w:val="center"/>
        </w:trPr>
        <w:tc>
          <w:tcPr>
            <w:tcW w:w="2998" w:type="dxa"/>
            <w:tcBorders>
              <w:top w:val="single" w:color="auto" w:sz="4" w:space="0"/>
              <w:left w:val="single" w:color="auto" w:sz="4" w:space="0"/>
              <w:bottom w:val="single" w:color="auto" w:sz="4" w:space="0"/>
              <w:right w:val="single" w:color="auto" w:sz="4" w:space="0"/>
            </w:tcBorders>
            <w:noWrap w:val="0"/>
            <w:vAlign w:val="center"/>
          </w:tcPr>
          <w:p w14:paraId="64B7022B">
            <w:pPr>
              <w:spacing w:line="500" w:lineRule="exact"/>
              <w:jc w:val="left"/>
              <w:rPr>
                <w:rFonts w:hint="eastAsia" w:ascii="宋体" w:hAnsi="宋体" w:cs="宋体"/>
                <w:color w:val="auto"/>
                <w:sz w:val="24"/>
              </w:rPr>
            </w:pPr>
            <w:r>
              <w:rPr>
                <w:rFonts w:hint="eastAsia" w:ascii="宋体" w:hAnsi="宋体" w:cs="宋体"/>
                <w:color w:val="auto"/>
                <w:sz w:val="24"/>
              </w:rPr>
              <w:t>报价</w:t>
            </w:r>
          </w:p>
        </w:tc>
        <w:tc>
          <w:tcPr>
            <w:tcW w:w="5520" w:type="dxa"/>
            <w:tcBorders>
              <w:top w:val="single" w:color="auto" w:sz="4" w:space="0"/>
              <w:left w:val="nil"/>
              <w:bottom w:val="single" w:color="auto" w:sz="4" w:space="0"/>
              <w:right w:val="single" w:color="auto" w:sz="4" w:space="0"/>
            </w:tcBorders>
            <w:noWrap w:val="0"/>
            <w:vAlign w:val="center"/>
          </w:tcPr>
          <w:p w14:paraId="21CE02F6">
            <w:pPr>
              <w:spacing w:line="500" w:lineRule="exact"/>
              <w:rPr>
                <w:rFonts w:hint="eastAsia" w:ascii="宋体" w:hAnsi="宋体" w:cs="宋体"/>
                <w:color w:val="auto"/>
                <w:sz w:val="24"/>
              </w:rPr>
            </w:pPr>
            <w:r>
              <w:rPr>
                <w:rFonts w:hint="eastAsia" w:ascii="宋体" w:hAnsi="宋体" w:cs="宋体"/>
                <w:color w:val="auto"/>
                <w:sz w:val="24"/>
                <w:u w:val="single"/>
              </w:rPr>
              <w:t xml:space="preserve">      </w:t>
            </w:r>
          </w:p>
        </w:tc>
      </w:tr>
    </w:tbl>
    <w:p w14:paraId="27A1C0E9">
      <w:pPr>
        <w:pStyle w:val="43"/>
        <w:keepNext w:val="0"/>
        <w:keepLines w:val="0"/>
        <w:pageBreakBefore w:val="0"/>
        <w:widowControl w:val="0"/>
        <w:kinsoku/>
        <w:wordWrap/>
        <w:overflowPunct/>
        <w:topLinePunct w:val="0"/>
        <w:autoSpaceDE/>
        <w:autoSpaceDN/>
        <w:bidi w:val="0"/>
        <w:adjustRightInd/>
        <w:snapToGrid/>
        <w:spacing w:after="0" w:line="240" w:lineRule="auto"/>
        <w:ind w:left="0" w:leftChars="0" w:firstLine="498" w:firstLineChars="200"/>
        <w:textAlignment w:val="auto"/>
        <w:rPr>
          <w:rFonts w:hint="eastAsia" w:ascii="Times New Roman" w:hAnsi="宋体" w:eastAsia="宋体" w:cs="Times New Roman"/>
          <w:b/>
          <w:bCs/>
          <w:color w:val="auto"/>
          <w:kern w:val="2"/>
          <w:sz w:val="24"/>
          <w:szCs w:val="24"/>
          <w:lang w:val="en-US" w:eastAsia="zh-CN" w:bidi="ar-SA"/>
        </w:rPr>
      </w:pPr>
      <w:r>
        <w:rPr>
          <w:rFonts w:hint="eastAsia" w:ascii="Times New Roman" w:hAnsi="宋体" w:eastAsia="宋体" w:cs="Times New Roman"/>
          <w:b/>
          <w:bCs/>
          <w:color w:val="auto"/>
          <w:kern w:val="2"/>
          <w:sz w:val="24"/>
          <w:szCs w:val="24"/>
          <w:lang w:val="en-US" w:eastAsia="zh-CN" w:bidi="ar-SA"/>
        </w:rPr>
        <w:t>注：</w:t>
      </w:r>
      <w:r>
        <w:rPr>
          <w:rFonts w:hint="eastAsia" w:ascii="Times New Roman" w:hAnsi="宋体" w:eastAsia="宋体" w:cs="Times New Roman"/>
          <w:b/>
          <w:bCs/>
          <w:color w:val="auto"/>
          <w:kern w:val="2"/>
          <w:sz w:val="24"/>
          <w:szCs w:val="24"/>
          <w:lang w:val="en-US" w:eastAsia="en-US" w:bidi="ar-SA"/>
        </w:rPr>
        <w:t>报价应是最终用户验收合格后的总价，包括人工、保险、代理、培训、税费、检</w:t>
      </w:r>
      <w:r>
        <w:rPr>
          <w:rFonts w:hint="eastAsia" w:ascii="Times New Roman" w:hAnsi="宋体" w:eastAsia="宋体" w:cs="Times New Roman"/>
          <w:b/>
          <w:bCs/>
          <w:color w:val="auto"/>
          <w:kern w:val="2"/>
          <w:sz w:val="24"/>
          <w:szCs w:val="24"/>
          <w:lang w:val="en-US" w:eastAsia="zh-CN" w:bidi="ar-SA"/>
        </w:rPr>
        <w:t>测</w:t>
      </w:r>
      <w:r>
        <w:rPr>
          <w:rFonts w:hint="eastAsia" w:ascii="Times New Roman" w:hAnsi="宋体" w:eastAsia="宋体" w:cs="Times New Roman"/>
          <w:b/>
          <w:bCs/>
          <w:color w:val="auto"/>
          <w:kern w:val="2"/>
          <w:sz w:val="24"/>
          <w:szCs w:val="24"/>
          <w:lang w:val="en-US" w:eastAsia="en-US" w:bidi="ar-SA"/>
        </w:rPr>
        <w:t>所需耗材等实施本次采购项目的所有费用</w:t>
      </w:r>
      <w:r>
        <w:rPr>
          <w:rFonts w:hint="eastAsia" w:ascii="Times New Roman" w:hAnsi="宋体" w:eastAsia="宋体" w:cs="Times New Roman"/>
          <w:b/>
          <w:bCs/>
          <w:color w:val="auto"/>
          <w:kern w:val="2"/>
          <w:sz w:val="24"/>
          <w:szCs w:val="24"/>
          <w:lang w:val="en-US" w:eastAsia="zh-CN" w:bidi="ar-SA"/>
        </w:rPr>
        <w:t>。</w:t>
      </w:r>
    </w:p>
    <w:p w14:paraId="0BFDD856">
      <w:pPr>
        <w:adjustRightInd w:val="0"/>
        <w:spacing w:line="400" w:lineRule="exact"/>
        <w:jc w:val="left"/>
        <w:rPr>
          <w:rFonts w:hAnsi="宋体"/>
          <w:color w:val="auto"/>
          <w:sz w:val="24"/>
        </w:rPr>
      </w:pPr>
    </w:p>
    <w:p w14:paraId="16157251">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0EB9DC5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7F7C898F">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68C8183E">
      <w:pPr>
        <w:pStyle w:val="13"/>
        <w:rPr>
          <w:color w:val="auto"/>
        </w:rPr>
      </w:pPr>
    </w:p>
    <w:p w14:paraId="42AE62C6">
      <w:pPr>
        <w:pStyle w:val="13"/>
        <w:rPr>
          <w:color w:val="auto"/>
        </w:rPr>
      </w:pPr>
    </w:p>
    <w:p w14:paraId="7373393A">
      <w:pPr>
        <w:pStyle w:val="13"/>
        <w:rPr>
          <w:color w:val="auto"/>
        </w:rPr>
      </w:pPr>
    </w:p>
    <w:p w14:paraId="628C1BF3">
      <w:pPr>
        <w:pStyle w:val="13"/>
        <w:rPr>
          <w:color w:val="auto"/>
        </w:rPr>
      </w:pPr>
    </w:p>
    <w:p w14:paraId="144EB914">
      <w:pPr>
        <w:pStyle w:val="13"/>
        <w:rPr>
          <w:color w:val="auto"/>
        </w:rPr>
      </w:pPr>
    </w:p>
    <w:p w14:paraId="56018D51">
      <w:pPr>
        <w:pStyle w:val="13"/>
        <w:rPr>
          <w:color w:val="auto"/>
        </w:rPr>
      </w:pPr>
    </w:p>
    <w:p w14:paraId="22E83C66">
      <w:pPr>
        <w:pStyle w:val="13"/>
        <w:rPr>
          <w:color w:val="auto"/>
        </w:rPr>
      </w:pPr>
    </w:p>
    <w:p w14:paraId="5935D955">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格式四、比选申请人基本情况表</w:t>
      </w:r>
      <w:bookmarkEnd w:id="34"/>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41696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7EABFB3B">
            <w:pPr>
              <w:autoSpaceDE w:val="0"/>
              <w:autoSpaceDN w:val="0"/>
              <w:adjustRightInd w:val="0"/>
              <w:spacing w:line="360" w:lineRule="auto"/>
              <w:jc w:val="center"/>
              <w:rPr>
                <w:rFonts w:ascii="宋体"/>
                <w:color w:val="auto"/>
              </w:rPr>
            </w:pPr>
            <w:bookmarkStart w:id="35" w:name="_Toc185047535"/>
            <w:r>
              <w:rPr>
                <w:rFonts w:hint="eastAsia" w:ascii="宋体" w:hAnsi="宋体"/>
                <w:color w:val="auto"/>
              </w:rPr>
              <w:t>申请人名称</w:t>
            </w:r>
          </w:p>
        </w:tc>
        <w:tc>
          <w:tcPr>
            <w:tcW w:w="7386" w:type="dxa"/>
            <w:gridSpan w:val="8"/>
            <w:noWrap w:val="0"/>
            <w:vAlign w:val="center"/>
          </w:tcPr>
          <w:p w14:paraId="13D9F6A7">
            <w:pPr>
              <w:autoSpaceDE w:val="0"/>
              <w:autoSpaceDN w:val="0"/>
              <w:adjustRightInd w:val="0"/>
              <w:spacing w:line="360" w:lineRule="auto"/>
              <w:jc w:val="center"/>
              <w:rPr>
                <w:rFonts w:ascii="宋体"/>
                <w:color w:val="auto"/>
              </w:rPr>
            </w:pPr>
          </w:p>
        </w:tc>
      </w:tr>
      <w:tr w14:paraId="763DD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02957C2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noWrap w:val="0"/>
            <w:vAlign w:val="center"/>
          </w:tcPr>
          <w:p w14:paraId="4D62F27B">
            <w:pPr>
              <w:autoSpaceDE w:val="0"/>
              <w:autoSpaceDN w:val="0"/>
              <w:adjustRightInd w:val="0"/>
              <w:spacing w:line="360" w:lineRule="auto"/>
              <w:jc w:val="center"/>
              <w:rPr>
                <w:rFonts w:ascii="宋体"/>
                <w:color w:val="auto"/>
              </w:rPr>
            </w:pPr>
          </w:p>
        </w:tc>
        <w:tc>
          <w:tcPr>
            <w:tcW w:w="1400" w:type="dxa"/>
            <w:noWrap w:val="0"/>
            <w:vAlign w:val="center"/>
          </w:tcPr>
          <w:p w14:paraId="77FCF05E">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noWrap w:val="0"/>
            <w:vAlign w:val="center"/>
          </w:tcPr>
          <w:p w14:paraId="265B05F0">
            <w:pPr>
              <w:autoSpaceDE w:val="0"/>
              <w:autoSpaceDN w:val="0"/>
              <w:adjustRightInd w:val="0"/>
              <w:spacing w:line="360" w:lineRule="auto"/>
              <w:jc w:val="center"/>
              <w:rPr>
                <w:rFonts w:ascii="宋体"/>
                <w:color w:val="auto"/>
              </w:rPr>
            </w:pPr>
          </w:p>
        </w:tc>
      </w:tr>
      <w:tr w14:paraId="624AA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noWrap w:val="0"/>
            <w:vAlign w:val="center"/>
          </w:tcPr>
          <w:p w14:paraId="33B9E497">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noWrap w:val="0"/>
            <w:vAlign w:val="center"/>
          </w:tcPr>
          <w:p w14:paraId="06AB6AEB">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noWrap w:val="0"/>
            <w:vAlign w:val="center"/>
          </w:tcPr>
          <w:p w14:paraId="5128D9BB">
            <w:pPr>
              <w:autoSpaceDE w:val="0"/>
              <w:autoSpaceDN w:val="0"/>
              <w:adjustRightInd w:val="0"/>
              <w:spacing w:line="360" w:lineRule="auto"/>
              <w:jc w:val="center"/>
              <w:rPr>
                <w:rFonts w:ascii="宋体"/>
                <w:color w:val="auto"/>
              </w:rPr>
            </w:pPr>
          </w:p>
        </w:tc>
        <w:tc>
          <w:tcPr>
            <w:tcW w:w="1400" w:type="dxa"/>
            <w:noWrap w:val="0"/>
            <w:vAlign w:val="center"/>
          </w:tcPr>
          <w:p w14:paraId="24E2F864">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noWrap w:val="0"/>
            <w:vAlign w:val="center"/>
          </w:tcPr>
          <w:p w14:paraId="77AB98E6">
            <w:pPr>
              <w:autoSpaceDE w:val="0"/>
              <w:autoSpaceDN w:val="0"/>
              <w:adjustRightInd w:val="0"/>
              <w:spacing w:line="360" w:lineRule="auto"/>
              <w:jc w:val="center"/>
              <w:rPr>
                <w:rFonts w:ascii="宋体"/>
                <w:color w:val="auto"/>
              </w:rPr>
            </w:pPr>
          </w:p>
        </w:tc>
      </w:tr>
      <w:tr w14:paraId="00FFA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noWrap w:val="0"/>
            <w:vAlign w:val="center"/>
          </w:tcPr>
          <w:p w14:paraId="20DFD5A2">
            <w:pPr>
              <w:spacing w:line="360" w:lineRule="auto"/>
              <w:jc w:val="left"/>
              <w:rPr>
                <w:rFonts w:ascii="宋体"/>
                <w:color w:val="auto"/>
              </w:rPr>
            </w:pPr>
          </w:p>
        </w:tc>
        <w:tc>
          <w:tcPr>
            <w:tcW w:w="1031" w:type="dxa"/>
            <w:noWrap w:val="0"/>
            <w:vAlign w:val="center"/>
          </w:tcPr>
          <w:p w14:paraId="342434C7">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noWrap w:val="0"/>
            <w:vAlign w:val="center"/>
          </w:tcPr>
          <w:p w14:paraId="6EB1F03E">
            <w:pPr>
              <w:autoSpaceDE w:val="0"/>
              <w:autoSpaceDN w:val="0"/>
              <w:adjustRightInd w:val="0"/>
              <w:spacing w:line="360" w:lineRule="auto"/>
              <w:jc w:val="center"/>
              <w:rPr>
                <w:rFonts w:ascii="宋体"/>
                <w:color w:val="auto"/>
              </w:rPr>
            </w:pPr>
          </w:p>
        </w:tc>
        <w:tc>
          <w:tcPr>
            <w:tcW w:w="1400" w:type="dxa"/>
            <w:noWrap w:val="0"/>
            <w:vAlign w:val="center"/>
          </w:tcPr>
          <w:p w14:paraId="7BA75290">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noWrap w:val="0"/>
            <w:vAlign w:val="center"/>
          </w:tcPr>
          <w:p w14:paraId="2617E8DB">
            <w:pPr>
              <w:autoSpaceDE w:val="0"/>
              <w:autoSpaceDN w:val="0"/>
              <w:adjustRightInd w:val="0"/>
              <w:spacing w:line="360" w:lineRule="auto"/>
              <w:jc w:val="center"/>
              <w:rPr>
                <w:rFonts w:ascii="宋体"/>
                <w:color w:val="auto"/>
              </w:rPr>
            </w:pPr>
          </w:p>
        </w:tc>
      </w:tr>
      <w:tr w14:paraId="16093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noWrap w:val="0"/>
            <w:vAlign w:val="center"/>
          </w:tcPr>
          <w:p w14:paraId="73E0A9AE">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noWrap w:val="0"/>
            <w:vAlign w:val="center"/>
          </w:tcPr>
          <w:p w14:paraId="4F54EA88">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noWrap w:val="0"/>
            <w:vAlign w:val="center"/>
          </w:tcPr>
          <w:p w14:paraId="1D953F37">
            <w:pPr>
              <w:autoSpaceDE w:val="0"/>
              <w:autoSpaceDN w:val="0"/>
              <w:adjustRightInd w:val="0"/>
              <w:spacing w:line="360" w:lineRule="auto"/>
              <w:jc w:val="center"/>
              <w:rPr>
                <w:rFonts w:ascii="宋体"/>
                <w:color w:val="auto"/>
              </w:rPr>
            </w:pPr>
          </w:p>
        </w:tc>
        <w:tc>
          <w:tcPr>
            <w:tcW w:w="1328" w:type="dxa"/>
            <w:noWrap w:val="0"/>
            <w:vAlign w:val="center"/>
          </w:tcPr>
          <w:p w14:paraId="04935C12">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noWrap w:val="0"/>
            <w:vAlign w:val="center"/>
          </w:tcPr>
          <w:p w14:paraId="4E8F66E1">
            <w:pPr>
              <w:autoSpaceDE w:val="0"/>
              <w:autoSpaceDN w:val="0"/>
              <w:adjustRightInd w:val="0"/>
              <w:spacing w:line="360" w:lineRule="auto"/>
              <w:jc w:val="center"/>
              <w:rPr>
                <w:rFonts w:ascii="宋体"/>
                <w:color w:val="auto"/>
              </w:rPr>
            </w:pPr>
          </w:p>
        </w:tc>
        <w:tc>
          <w:tcPr>
            <w:tcW w:w="1247" w:type="dxa"/>
            <w:gridSpan w:val="2"/>
            <w:noWrap w:val="0"/>
            <w:vAlign w:val="center"/>
          </w:tcPr>
          <w:p w14:paraId="3C5DD277">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noWrap w:val="0"/>
            <w:vAlign w:val="center"/>
          </w:tcPr>
          <w:p w14:paraId="6C1A3871">
            <w:pPr>
              <w:autoSpaceDE w:val="0"/>
              <w:autoSpaceDN w:val="0"/>
              <w:adjustRightInd w:val="0"/>
              <w:spacing w:line="360" w:lineRule="auto"/>
              <w:jc w:val="center"/>
              <w:rPr>
                <w:rFonts w:ascii="宋体"/>
                <w:b/>
                <w:color w:val="auto"/>
              </w:rPr>
            </w:pPr>
          </w:p>
        </w:tc>
      </w:tr>
      <w:tr w14:paraId="144D6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3DD0DC1">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noWrap w:val="0"/>
            <w:vAlign w:val="center"/>
          </w:tcPr>
          <w:p w14:paraId="686C3079">
            <w:pPr>
              <w:autoSpaceDE w:val="0"/>
              <w:autoSpaceDN w:val="0"/>
              <w:adjustRightInd w:val="0"/>
              <w:spacing w:line="360" w:lineRule="auto"/>
              <w:jc w:val="center"/>
              <w:rPr>
                <w:rFonts w:ascii="宋体"/>
                <w:color w:val="auto"/>
              </w:rPr>
            </w:pPr>
          </w:p>
        </w:tc>
        <w:tc>
          <w:tcPr>
            <w:tcW w:w="5109" w:type="dxa"/>
            <w:gridSpan w:val="6"/>
            <w:noWrap w:val="0"/>
            <w:vAlign w:val="center"/>
          </w:tcPr>
          <w:p w14:paraId="074677B9">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4D89E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48968506">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noWrap w:val="0"/>
            <w:vAlign w:val="center"/>
          </w:tcPr>
          <w:p w14:paraId="56AB6573">
            <w:pPr>
              <w:autoSpaceDE w:val="0"/>
              <w:autoSpaceDN w:val="0"/>
              <w:adjustRightInd w:val="0"/>
              <w:spacing w:line="360" w:lineRule="auto"/>
              <w:jc w:val="center"/>
              <w:rPr>
                <w:rFonts w:ascii="宋体"/>
                <w:color w:val="auto"/>
              </w:rPr>
            </w:pPr>
          </w:p>
        </w:tc>
        <w:tc>
          <w:tcPr>
            <w:tcW w:w="1328" w:type="dxa"/>
            <w:vMerge w:val="restart"/>
            <w:noWrap w:val="0"/>
            <w:vAlign w:val="center"/>
          </w:tcPr>
          <w:p w14:paraId="7A063E41">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noWrap w:val="0"/>
            <w:vAlign w:val="center"/>
          </w:tcPr>
          <w:p w14:paraId="2993992D">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noWrap w:val="0"/>
            <w:vAlign w:val="center"/>
          </w:tcPr>
          <w:p w14:paraId="2EE1BE19">
            <w:pPr>
              <w:autoSpaceDE w:val="0"/>
              <w:autoSpaceDN w:val="0"/>
              <w:adjustRightInd w:val="0"/>
              <w:spacing w:line="360" w:lineRule="auto"/>
              <w:jc w:val="center"/>
              <w:rPr>
                <w:rFonts w:ascii="宋体"/>
                <w:b/>
                <w:color w:val="auto"/>
              </w:rPr>
            </w:pPr>
          </w:p>
        </w:tc>
      </w:tr>
      <w:tr w14:paraId="05025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noWrap w:val="0"/>
            <w:vAlign w:val="center"/>
          </w:tcPr>
          <w:p w14:paraId="4638400E">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noWrap w:val="0"/>
            <w:vAlign w:val="center"/>
          </w:tcPr>
          <w:p w14:paraId="7EC3975F">
            <w:pPr>
              <w:autoSpaceDE w:val="0"/>
              <w:autoSpaceDN w:val="0"/>
              <w:adjustRightInd w:val="0"/>
              <w:spacing w:line="360" w:lineRule="auto"/>
              <w:jc w:val="center"/>
              <w:rPr>
                <w:rFonts w:ascii="宋体"/>
                <w:color w:val="auto"/>
              </w:rPr>
            </w:pPr>
          </w:p>
        </w:tc>
        <w:tc>
          <w:tcPr>
            <w:tcW w:w="1328" w:type="dxa"/>
            <w:vMerge w:val="continue"/>
            <w:noWrap w:val="0"/>
            <w:vAlign w:val="center"/>
          </w:tcPr>
          <w:p w14:paraId="4744AA2E">
            <w:pPr>
              <w:spacing w:line="360" w:lineRule="auto"/>
              <w:jc w:val="left"/>
              <w:rPr>
                <w:rFonts w:ascii="宋体"/>
                <w:color w:val="auto"/>
              </w:rPr>
            </w:pPr>
          </w:p>
        </w:tc>
        <w:tc>
          <w:tcPr>
            <w:tcW w:w="1577" w:type="dxa"/>
            <w:gridSpan w:val="3"/>
            <w:vMerge w:val="continue"/>
            <w:noWrap w:val="0"/>
            <w:vAlign w:val="center"/>
          </w:tcPr>
          <w:p w14:paraId="1A9CD966">
            <w:pPr>
              <w:autoSpaceDE w:val="0"/>
              <w:autoSpaceDN w:val="0"/>
              <w:adjustRightInd w:val="0"/>
              <w:spacing w:line="360" w:lineRule="auto"/>
              <w:jc w:val="center"/>
              <w:rPr>
                <w:rFonts w:ascii="宋体"/>
                <w:color w:val="auto"/>
              </w:rPr>
            </w:pPr>
          </w:p>
        </w:tc>
        <w:tc>
          <w:tcPr>
            <w:tcW w:w="2204" w:type="dxa"/>
            <w:gridSpan w:val="2"/>
            <w:vMerge w:val="continue"/>
            <w:noWrap w:val="0"/>
            <w:vAlign w:val="center"/>
          </w:tcPr>
          <w:p w14:paraId="5444024E">
            <w:pPr>
              <w:autoSpaceDE w:val="0"/>
              <w:autoSpaceDN w:val="0"/>
              <w:adjustRightInd w:val="0"/>
              <w:spacing w:line="360" w:lineRule="auto"/>
              <w:jc w:val="center"/>
              <w:rPr>
                <w:rFonts w:ascii="宋体"/>
                <w:b/>
                <w:color w:val="auto"/>
              </w:rPr>
            </w:pPr>
          </w:p>
        </w:tc>
      </w:tr>
      <w:tr w14:paraId="3EE4E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1A4C0CA2">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noWrap w:val="0"/>
            <w:vAlign w:val="center"/>
          </w:tcPr>
          <w:p w14:paraId="2A3327DA">
            <w:pPr>
              <w:autoSpaceDE w:val="0"/>
              <w:autoSpaceDN w:val="0"/>
              <w:adjustRightInd w:val="0"/>
              <w:spacing w:line="360" w:lineRule="auto"/>
              <w:jc w:val="center"/>
              <w:rPr>
                <w:rFonts w:ascii="宋体"/>
                <w:color w:val="auto"/>
              </w:rPr>
            </w:pPr>
          </w:p>
        </w:tc>
        <w:tc>
          <w:tcPr>
            <w:tcW w:w="1328" w:type="dxa"/>
            <w:vMerge w:val="continue"/>
            <w:noWrap w:val="0"/>
            <w:vAlign w:val="center"/>
          </w:tcPr>
          <w:p w14:paraId="6038A2D7">
            <w:pPr>
              <w:spacing w:line="360" w:lineRule="auto"/>
              <w:jc w:val="left"/>
              <w:rPr>
                <w:rFonts w:ascii="宋体"/>
                <w:color w:val="auto"/>
              </w:rPr>
            </w:pPr>
          </w:p>
        </w:tc>
        <w:tc>
          <w:tcPr>
            <w:tcW w:w="1577" w:type="dxa"/>
            <w:gridSpan w:val="3"/>
            <w:noWrap w:val="0"/>
            <w:vAlign w:val="center"/>
          </w:tcPr>
          <w:p w14:paraId="2A97C55B">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noWrap w:val="0"/>
            <w:vAlign w:val="center"/>
          </w:tcPr>
          <w:p w14:paraId="539C0327">
            <w:pPr>
              <w:autoSpaceDE w:val="0"/>
              <w:autoSpaceDN w:val="0"/>
              <w:adjustRightInd w:val="0"/>
              <w:spacing w:line="360" w:lineRule="auto"/>
              <w:jc w:val="center"/>
              <w:rPr>
                <w:rFonts w:ascii="宋体"/>
                <w:b/>
                <w:color w:val="auto"/>
              </w:rPr>
            </w:pPr>
          </w:p>
        </w:tc>
      </w:tr>
      <w:tr w14:paraId="5A14E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728C641B">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noWrap w:val="0"/>
            <w:vAlign w:val="center"/>
          </w:tcPr>
          <w:p w14:paraId="15AD7303">
            <w:pPr>
              <w:autoSpaceDE w:val="0"/>
              <w:autoSpaceDN w:val="0"/>
              <w:adjustRightInd w:val="0"/>
              <w:spacing w:line="360" w:lineRule="auto"/>
              <w:jc w:val="center"/>
              <w:rPr>
                <w:rFonts w:ascii="宋体"/>
                <w:color w:val="auto"/>
              </w:rPr>
            </w:pPr>
          </w:p>
        </w:tc>
        <w:tc>
          <w:tcPr>
            <w:tcW w:w="1328" w:type="dxa"/>
            <w:vMerge w:val="continue"/>
            <w:noWrap w:val="0"/>
            <w:vAlign w:val="center"/>
          </w:tcPr>
          <w:p w14:paraId="2FFE4F4D">
            <w:pPr>
              <w:spacing w:line="360" w:lineRule="auto"/>
              <w:jc w:val="left"/>
              <w:rPr>
                <w:rFonts w:ascii="宋体"/>
                <w:color w:val="auto"/>
              </w:rPr>
            </w:pPr>
          </w:p>
        </w:tc>
        <w:tc>
          <w:tcPr>
            <w:tcW w:w="1577" w:type="dxa"/>
            <w:gridSpan w:val="3"/>
            <w:noWrap w:val="0"/>
            <w:vAlign w:val="center"/>
          </w:tcPr>
          <w:p w14:paraId="6B66DF56">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noWrap w:val="0"/>
            <w:vAlign w:val="center"/>
          </w:tcPr>
          <w:p w14:paraId="5D896E08">
            <w:pPr>
              <w:autoSpaceDE w:val="0"/>
              <w:autoSpaceDN w:val="0"/>
              <w:adjustRightInd w:val="0"/>
              <w:spacing w:line="360" w:lineRule="auto"/>
              <w:jc w:val="center"/>
              <w:rPr>
                <w:rFonts w:ascii="宋体"/>
                <w:b/>
                <w:color w:val="auto"/>
              </w:rPr>
            </w:pPr>
          </w:p>
        </w:tc>
      </w:tr>
      <w:tr w14:paraId="3FEE9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57730A1">
            <w:pPr>
              <w:autoSpaceDE w:val="0"/>
              <w:autoSpaceDN w:val="0"/>
              <w:adjustRightInd w:val="0"/>
              <w:spacing w:line="360" w:lineRule="auto"/>
              <w:jc w:val="center"/>
              <w:rPr>
                <w:rFonts w:ascii="宋体"/>
                <w:color w:val="auto"/>
              </w:rPr>
            </w:pPr>
            <w:r>
              <w:rPr>
                <w:rFonts w:hint="eastAsia" w:ascii="宋体" w:hAnsi="宋体"/>
                <w:color w:val="auto"/>
              </w:rPr>
              <w:t>账</w:t>
            </w:r>
            <w:r>
              <w:rPr>
                <w:rFonts w:ascii="宋体" w:hAnsi="宋体"/>
                <w:color w:val="auto"/>
              </w:rPr>
              <w:t xml:space="preserve">  </w:t>
            </w:r>
            <w:r>
              <w:rPr>
                <w:rFonts w:hint="eastAsia" w:ascii="宋体" w:hAnsi="宋体"/>
                <w:color w:val="auto"/>
              </w:rPr>
              <w:t>号</w:t>
            </w:r>
          </w:p>
        </w:tc>
        <w:tc>
          <w:tcPr>
            <w:tcW w:w="2277" w:type="dxa"/>
            <w:gridSpan w:val="2"/>
            <w:noWrap w:val="0"/>
            <w:vAlign w:val="center"/>
          </w:tcPr>
          <w:p w14:paraId="3A74E6B5">
            <w:pPr>
              <w:autoSpaceDE w:val="0"/>
              <w:autoSpaceDN w:val="0"/>
              <w:adjustRightInd w:val="0"/>
              <w:spacing w:line="360" w:lineRule="auto"/>
              <w:jc w:val="center"/>
              <w:rPr>
                <w:rFonts w:ascii="宋体"/>
                <w:color w:val="auto"/>
              </w:rPr>
            </w:pPr>
          </w:p>
        </w:tc>
        <w:tc>
          <w:tcPr>
            <w:tcW w:w="1328" w:type="dxa"/>
            <w:vMerge w:val="continue"/>
            <w:noWrap w:val="0"/>
            <w:vAlign w:val="center"/>
          </w:tcPr>
          <w:p w14:paraId="1F33B00E">
            <w:pPr>
              <w:spacing w:line="360" w:lineRule="auto"/>
              <w:jc w:val="left"/>
              <w:rPr>
                <w:rFonts w:ascii="宋体"/>
                <w:color w:val="auto"/>
              </w:rPr>
            </w:pPr>
          </w:p>
        </w:tc>
        <w:tc>
          <w:tcPr>
            <w:tcW w:w="1577" w:type="dxa"/>
            <w:gridSpan w:val="3"/>
            <w:noWrap w:val="0"/>
            <w:vAlign w:val="center"/>
          </w:tcPr>
          <w:p w14:paraId="47CE425C">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noWrap w:val="0"/>
            <w:vAlign w:val="center"/>
          </w:tcPr>
          <w:p w14:paraId="160EBEAD">
            <w:pPr>
              <w:autoSpaceDE w:val="0"/>
              <w:autoSpaceDN w:val="0"/>
              <w:adjustRightInd w:val="0"/>
              <w:spacing w:line="360" w:lineRule="auto"/>
              <w:jc w:val="center"/>
              <w:rPr>
                <w:rFonts w:ascii="宋体"/>
                <w:b/>
                <w:color w:val="auto"/>
              </w:rPr>
            </w:pPr>
          </w:p>
        </w:tc>
      </w:tr>
      <w:tr w14:paraId="5835F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noWrap w:val="0"/>
            <w:vAlign w:val="center"/>
          </w:tcPr>
          <w:p w14:paraId="6AC0F048">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noWrap w:val="0"/>
            <w:vAlign w:val="center"/>
          </w:tcPr>
          <w:p w14:paraId="6153854A">
            <w:pPr>
              <w:autoSpaceDE w:val="0"/>
              <w:autoSpaceDN w:val="0"/>
              <w:adjustRightInd w:val="0"/>
              <w:spacing w:line="360" w:lineRule="auto"/>
              <w:rPr>
                <w:rFonts w:ascii="宋体"/>
                <w:b/>
                <w:color w:val="auto"/>
              </w:rPr>
            </w:pPr>
          </w:p>
        </w:tc>
      </w:tr>
      <w:tr w14:paraId="783E9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noWrap w:val="0"/>
            <w:vAlign w:val="center"/>
          </w:tcPr>
          <w:p w14:paraId="180EEF91">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noWrap w:val="0"/>
            <w:vAlign w:val="center"/>
          </w:tcPr>
          <w:p w14:paraId="1A6E5B54">
            <w:pPr>
              <w:autoSpaceDE w:val="0"/>
              <w:autoSpaceDN w:val="0"/>
              <w:adjustRightInd w:val="0"/>
              <w:spacing w:line="360" w:lineRule="auto"/>
              <w:jc w:val="left"/>
              <w:rPr>
                <w:rFonts w:ascii="宋体"/>
                <w:color w:val="auto"/>
              </w:rPr>
            </w:pPr>
          </w:p>
        </w:tc>
      </w:tr>
    </w:tbl>
    <w:p w14:paraId="2E18C4AC">
      <w:pPr>
        <w:adjustRightInd w:val="0"/>
        <w:spacing w:line="400" w:lineRule="exact"/>
        <w:ind w:firstLine="498" w:firstLineChars="200"/>
        <w:jc w:val="left"/>
        <w:rPr>
          <w:rFonts w:hAnsi="宋体"/>
          <w:color w:val="auto"/>
          <w:sz w:val="24"/>
        </w:rPr>
      </w:pPr>
    </w:p>
    <w:p w14:paraId="6E1B0BB0">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6273D5E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5A472837">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bookmarkEnd w:id="35"/>
    <w:p w14:paraId="72381654">
      <w:pPr>
        <w:pStyle w:val="3"/>
        <w:jc w:val="center"/>
        <w:rPr>
          <w:rFonts w:ascii="宋体" w:hAnsi="宋体"/>
          <w:color w:val="auto"/>
          <w:sz w:val="28"/>
          <w:szCs w:val="28"/>
        </w:rPr>
      </w:pPr>
      <w:bookmarkStart w:id="36" w:name="_Toc325028474"/>
      <w:bookmarkStart w:id="37" w:name="_Toc453578491"/>
      <w:bookmarkStart w:id="38" w:name="_Toc476736025"/>
      <w:r>
        <w:rPr>
          <w:rFonts w:hint="eastAsia" w:ascii="宋体" w:hAnsi="宋体"/>
          <w:color w:val="auto"/>
          <w:sz w:val="28"/>
          <w:szCs w:val="28"/>
        </w:rPr>
        <w:br w:type="page"/>
      </w:r>
      <w:r>
        <w:rPr>
          <w:rFonts w:hint="eastAsia" w:ascii="宋体" w:hAnsi="宋体"/>
          <w:color w:val="auto"/>
          <w:sz w:val="28"/>
          <w:szCs w:val="28"/>
        </w:rPr>
        <w:t>格式五、</w:t>
      </w:r>
      <w:bookmarkEnd w:id="36"/>
      <w:bookmarkEnd w:id="37"/>
      <w:bookmarkEnd w:id="38"/>
      <w:bookmarkStart w:id="39" w:name="_Toc24591"/>
      <w:bookmarkStart w:id="40" w:name="_Toc19468"/>
      <w:r>
        <w:rPr>
          <w:rFonts w:hint="eastAsia" w:ascii="宋体" w:hAnsi="宋体"/>
          <w:color w:val="auto"/>
          <w:sz w:val="28"/>
          <w:szCs w:val="28"/>
        </w:rPr>
        <w:t>拟投入本项目机构人员汇总表</w:t>
      </w:r>
      <w:bookmarkEnd w:id="39"/>
      <w:bookmarkEnd w:id="40"/>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4D4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14:paraId="4B7F57D4">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noWrap w:val="0"/>
            <w:vAlign w:val="center"/>
          </w:tcPr>
          <w:p w14:paraId="3952674D">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noWrap w:val="0"/>
            <w:vAlign w:val="center"/>
          </w:tcPr>
          <w:p w14:paraId="45800AC8">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noWrap w:val="0"/>
            <w:vAlign w:val="center"/>
          </w:tcPr>
          <w:p w14:paraId="2EB5A747">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noWrap w:val="0"/>
            <w:vAlign w:val="center"/>
          </w:tcPr>
          <w:p w14:paraId="365B0172">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noWrap w:val="0"/>
            <w:vAlign w:val="center"/>
          </w:tcPr>
          <w:p w14:paraId="2B75AD5A">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112C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noWrap w:val="0"/>
            <w:vAlign w:val="top"/>
          </w:tcPr>
          <w:p w14:paraId="03D6383E">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noWrap w:val="0"/>
            <w:vAlign w:val="top"/>
          </w:tcPr>
          <w:p w14:paraId="40A9FDF9">
            <w:pPr>
              <w:spacing w:line="360" w:lineRule="auto"/>
              <w:ind w:right="-4" w:rightChars="-2"/>
              <w:rPr>
                <w:rFonts w:ascii="宋体" w:hAnsi="宋体"/>
                <w:color w:val="auto"/>
                <w:sz w:val="24"/>
              </w:rPr>
            </w:pPr>
          </w:p>
        </w:tc>
        <w:tc>
          <w:tcPr>
            <w:tcW w:w="1255" w:type="dxa"/>
            <w:noWrap w:val="0"/>
            <w:vAlign w:val="top"/>
          </w:tcPr>
          <w:p w14:paraId="76A1E50D">
            <w:pPr>
              <w:spacing w:line="360" w:lineRule="auto"/>
              <w:ind w:right="-4" w:rightChars="-2"/>
              <w:rPr>
                <w:rFonts w:ascii="宋体" w:hAnsi="宋体"/>
                <w:color w:val="auto"/>
                <w:sz w:val="24"/>
              </w:rPr>
            </w:pPr>
          </w:p>
        </w:tc>
        <w:tc>
          <w:tcPr>
            <w:tcW w:w="1201" w:type="dxa"/>
            <w:noWrap w:val="0"/>
            <w:vAlign w:val="top"/>
          </w:tcPr>
          <w:p w14:paraId="768157D2">
            <w:pPr>
              <w:spacing w:line="360" w:lineRule="auto"/>
              <w:ind w:right="-4" w:rightChars="-2"/>
              <w:rPr>
                <w:rFonts w:ascii="宋体" w:hAnsi="宋体"/>
                <w:color w:val="auto"/>
                <w:sz w:val="24"/>
              </w:rPr>
            </w:pPr>
          </w:p>
        </w:tc>
        <w:tc>
          <w:tcPr>
            <w:tcW w:w="2031" w:type="dxa"/>
            <w:noWrap w:val="0"/>
            <w:vAlign w:val="top"/>
          </w:tcPr>
          <w:p w14:paraId="32503DDE">
            <w:pPr>
              <w:spacing w:line="360" w:lineRule="auto"/>
              <w:ind w:right="-4" w:rightChars="-2"/>
              <w:rPr>
                <w:rFonts w:ascii="宋体" w:hAnsi="宋体"/>
                <w:color w:val="auto"/>
                <w:sz w:val="24"/>
              </w:rPr>
            </w:pPr>
          </w:p>
        </w:tc>
        <w:tc>
          <w:tcPr>
            <w:tcW w:w="1802" w:type="dxa"/>
            <w:noWrap w:val="0"/>
            <w:vAlign w:val="top"/>
          </w:tcPr>
          <w:p w14:paraId="7BF3D15F">
            <w:pPr>
              <w:spacing w:line="360" w:lineRule="auto"/>
              <w:ind w:right="-4" w:rightChars="-2"/>
              <w:rPr>
                <w:rFonts w:ascii="宋体" w:hAnsi="宋体"/>
                <w:color w:val="auto"/>
                <w:sz w:val="24"/>
              </w:rPr>
            </w:pPr>
          </w:p>
        </w:tc>
      </w:tr>
      <w:tr w14:paraId="7D4E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070A8B7">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noWrap w:val="0"/>
            <w:vAlign w:val="top"/>
          </w:tcPr>
          <w:p w14:paraId="7F3995F4">
            <w:pPr>
              <w:spacing w:line="360" w:lineRule="auto"/>
              <w:ind w:right="-4" w:rightChars="-2"/>
              <w:rPr>
                <w:rFonts w:ascii="宋体" w:hAnsi="宋体"/>
                <w:color w:val="auto"/>
                <w:sz w:val="24"/>
              </w:rPr>
            </w:pPr>
          </w:p>
        </w:tc>
        <w:tc>
          <w:tcPr>
            <w:tcW w:w="1255" w:type="dxa"/>
            <w:noWrap w:val="0"/>
            <w:vAlign w:val="top"/>
          </w:tcPr>
          <w:p w14:paraId="1196B1D2">
            <w:pPr>
              <w:spacing w:line="360" w:lineRule="auto"/>
              <w:ind w:right="-4" w:rightChars="-2"/>
              <w:rPr>
                <w:rFonts w:ascii="宋体" w:hAnsi="宋体"/>
                <w:color w:val="auto"/>
                <w:sz w:val="24"/>
              </w:rPr>
            </w:pPr>
          </w:p>
        </w:tc>
        <w:tc>
          <w:tcPr>
            <w:tcW w:w="1201" w:type="dxa"/>
            <w:noWrap w:val="0"/>
            <w:vAlign w:val="top"/>
          </w:tcPr>
          <w:p w14:paraId="30F8E485">
            <w:pPr>
              <w:spacing w:line="360" w:lineRule="auto"/>
              <w:ind w:right="-4" w:rightChars="-2"/>
              <w:rPr>
                <w:rFonts w:ascii="宋体" w:hAnsi="宋体"/>
                <w:color w:val="auto"/>
                <w:sz w:val="24"/>
              </w:rPr>
            </w:pPr>
          </w:p>
        </w:tc>
        <w:tc>
          <w:tcPr>
            <w:tcW w:w="2031" w:type="dxa"/>
            <w:noWrap w:val="0"/>
            <w:vAlign w:val="top"/>
          </w:tcPr>
          <w:p w14:paraId="6DFF6160">
            <w:pPr>
              <w:spacing w:line="360" w:lineRule="auto"/>
              <w:ind w:right="-4" w:rightChars="-2"/>
              <w:rPr>
                <w:rFonts w:ascii="宋体" w:hAnsi="宋体"/>
                <w:color w:val="auto"/>
                <w:sz w:val="24"/>
              </w:rPr>
            </w:pPr>
          </w:p>
        </w:tc>
        <w:tc>
          <w:tcPr>
            <w:tcW w:w="1802" w:type="dxa"/>
            <w:noWrap w:val="0"/>
            <w:vAlign w:val="top"/>
          </w:tcPr>
          <w:p w14:paraId="53FD98A6">
            <w:pPr>
              <w:spacing w:line="360" w:lineRule="auto"/>
              <w:ind w:right="-4" w:rightChars="-2"/>
              <w:rPr>
                <w:rFonts w:ascii="宋体" w:hAnsi="宋体"/>
                <w:color w:val="auto"/>
                <w:sz w:val="24"/>
              </w:rPr>
            </w:pPr>
          </w:p>
        </w:tc>
      </w:tr>
      <w:tr w14:paraId="21EA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6EBA71D">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noWrap w:val="0"/>
            <w:vAlign w:val="top"/>
          </w:tcPr>
          <w:p w14:paraId="3987FC7E">
            <w:pPr>
              <w:spacing w:line="360" w:lineRule="auto"/>
              <w:ind w:right="-4" w:rightChars="-2"/>
              <w:rPr>
                <w:rFonts w:ascii="宋体" w:hAnsi="宋体"/>
                <w:color w:val="auto"/>
                <w:sz w:val="24"/>
              </w:rPr>
            </w:pPr>
          </w:p>
        </w:tc>
        <w:tc>
          <w:tcPr>
            <w:tcW w:w="1255" w:type="dxa"/>
            <w:noWrap w:val="0"/>
            <w:vAlign w:val="top"/>
          </w:tcPr>
          <w:p w14:paraId="6EF2DF75">
            <w:pPr>
              <w:spacing w:line="360" w:lineRule="auto"/>
              <w:ind w:right="-4" w:rightChars="-2"/>
              <w:rPr>
                <w:rFonts w:ascii="宋体" w:hAnsi="宋体"/>
                <w:color w:val="auto"/>
                <w:sz w:val="24"/>
              </w:rPr>
            </w:pPr>
          </w:p>
        </w:tc>
        <w:tc>
          <w:tcPr>
            <w:tcW w:w="1201" w:type="dxa"/>
            <w:noWrap w:val="0"/>
            <w:vAlign w:val="top"/>
          </w:tcPr>
          <w:p w14:paraId="1D686985">
            <w:pPr>
              <w:spacing w:line="360" w:lineRule="auto"/>
              <w:ind w:right="-4" w:rightChars="-2"/>
              <w:rPr>
                <w:rFonts w:ascii="宋体" w:hAnsi="宋体"/>
                <w:color w:val="auto"/>
                <w:sz w:val="24"/>
              </w:rPr>
            </w:pPr>
          </w:p>
        </w:tc>
        <w:tc>
          <w:tcPr>
            <w:tcW w:w="2031" w:type="dxa"/>
            <w:noWrap w:val="0"/>
            <w:vAlign w:val="top"/>
          </w:tcPr>
          <w:p w14:paraId="5D867858">
            <w:pPr>
              <w:spacing w:line="360" w:lineRule="auto"/>
              <w:ind w:right="-4" w:rightChars="-2"/>
              <w:rPr>
                <w:rFonts w:ascii="宋体" w:hAnsi="宋体"/>
                <w:color w:val="auto"/>
                <w:sz w:val="24"/>
              </w:rPr>
            </w:pPr>
          </w:p>
        </w:tc>
        <w:tc>
          <w:tcPr>
            <w:tcW w:w="1802" w:type="dxa"/>
            <w:noWrap w:val="0"/>
            <w:vAlign w:val="top"/>
          </w:tcPr>
          <w:p w14:paraId="2838BBE0">
            <w:pPr>
              <w:spacing w:line="360" w:lineRule="auto"/>
              <w:ind w:right="-4" w:rightChars="-2"/>
              <w:rPr>
                <w:rFonts w:ascii="宋体" w:hAnsi="宋体"/>
                <w:color w:val="auto"/>
                <w:sz w:val="24"/>
              </w:rPr>
            </w:pPr>
          </w:p>
        </w:tc>
      </w:tr>
      <w:tr w14:paraId="55CA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0EFF4E2C">
            <w:pPr>
              <w:spacing w:line="360" w:lineRule="auto"/>
              <w:ind w:right="-4" w:rightChars="-2"/>
              <w:rPr>
                <w:rFonts w:ascii="宋体" w:hAnsi="宋体"/>
                <w:color w:val="auto"/>
                <w:sz w:val="24"/>
              </w:rPr>
            </w:pPr>
            <w:r>
              <w:rPr>
                <w:rFonts w:hint="eastAsia" w:ascii="宋体" w:hAnsi="宋体"/>
                <w:color w:val="auto"/>
                <w:sz w:val="24"/>
              </w:rPr>
              <w:t>…</w:t>
            </w:r>
          </w:p>
        </w:tc>
        <w:tc>
          <w:tcPr>
            <w:tcW w:w="2586" w:type="dxa"/>
            <w:noWrap w:val="0"/>
            <w:vAlign w:val="top"/>
          </w:tcPr>
          <w:p w14:paraId="11F37E78">
            <w:pPr>
              <w:spacing w:line="360" w:lineRule="auto"/>
              <w:ind w:right="-4" w:rightChars="-2"/>
              <w:rPr>
                <w:rFonts w:ascii="宋体" w:hAnsi="宋体"/>
                <w:color w:val="auto"/>
                <w:sz w:val="24"/>
              </w:rPr>
            </w:pPr>
          </w:p>
        </w:tc>
        <w:tc>
          <w:tcPr>
            <w:tcW w:w="1255" w:type="dxa"/>
            <w:noWrap w:val="0"/>
            <w:vAlign w:val="top"/>
          </w:tcPr>
          <w:p w14:paraId="6E7ED1A2">
            <w:pPr>
              <w:spacing w:line="360" w:lineRule="auto"/>
              <w:ind w:right="-4" w:rightChars="-2"/>
              <w:rPr>
                <w:rFonts w:ascii="宋体" w:hAnsi="宋体"/>
                <w:color w:val="auto"/>
                <w:sz w:val="24"/>
              </w:rPr>
            </w:pPr>
          </w:p>
        </w:tc>
        <w:tc>
          <w:tcPr>
            <w:tcW w:w="1201" w:type="dxa"/>
            <w:noWrap w:val="0"/>
            <w:vAlign w:val="top"/>
          </w:tcPr>
          <w:p w14:paraId="7BD9E1D1">
            <w:pPr>
              <w:spacing w:line="360" w:lineRule="auto"/>
              <w:ind w:right="-4" w:rightChars="-2"/>
              <w:rPr>
                <w:rFonts w:ascii="宋体" w:hAnsi="宋体"/>
                <w:color w:val="auto"/>
                <w:sz w:val="24"/>
              </w:rPr>
            </w:pPr>
          </w:p>
        </w:tc>
        <w:tc>
          <w:tcPr>
            <w:tcW w:w="2031" w:type="dxa"/>
            <w:noWrap w:val="0"/>
            <w:vAlign w:val="top"/>
          </w:tcPr>
          <w:p w14:paraId="3659D814">
            <w:pPr>
              <w:spacing w:line="360" w:lineRule="auto"/>
              <w:ind w:right="-4" w:rightChars="-2"/>
              <w:rPr>
                <w:rFonts w:ascii="宋体" w:hAnsi="宋体"/>
                <w:color w:val="auto"/>
                <w:sz w:val="24"/>
              </w:rPr>
            </w:pPr>
          </w:p>
        </w:tc>
        <w:tc>
          <w:tcPr>
            <w:tcW w:w="1802" w:type="dxa"/>
            <w:noWrap w:val="0"/>
            <w:vAlign w:val="top"/>
          </w:tcPr>
          <w:p w14:paraId="6BB1316B">
            <w:pPr>
              <w:spacing w:line="360" w:lineRule="auto"/>
              <w:ind w:right="-4" w:rightChars="-2"/>
              <w:rPr>
                <w:rFonts w:ascii="宋体" w:hAnsi="宋体"/>
                <w:color w:val="auto"/>
                <w:sz w:val="24"/>
              </w:rPr>
            </w:pPr>
          </w:p>
        </w:tc>
      </w:tr>
      <w:tr w14:paraId="549A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CF95BBB">
            <w:pPr>
              <w:spacing w:line="360" w:lineRule="auto"/>
              <w:ind w:right="-4" w:rightChars="-2"/>
              <w:rPr>
                <w:rFonts w:ascii="宋体" w:hAnsi="宋体"/>
                <w:color w:val="auto"/>
                <w:sz w:val="24"/>
              </w:rPr>
            </w:pPr>
          </w:p>
        </w:tc>
        <w:tc>
          <w:tcPr>
            <w:tcW w:w="2586" w:type="dxa"/>
            <w:noWrap w:val="0"/>
            <w:vAlign w:val="top"/>
          </w:tcPr>
          <w:p w14:paraId="42A3D5BA">
            <w:pPr>
              <w:spacing w:line="360" w:lineRule="auto"/>
              <w:ind w:right="-4" w:rightChars="-2"/>
              <w:rPr>
                <w:rFonts w:ascii="宋体" w:hAnsi="宋体"/>
                <w:color w:val="auto"/>
                <w:sz w:val="24"/>
              </w:rPr>
            </w:pPr>
          </w:p>
        </w:tc>
        <w:tc>
          <w:tcPr>
            <w:tcW w:w="1255" w:type="dxa"/>
            <w:noWrap w:val="0"/>
            <w:vAlign w:val="top"/>
          </w:tcPr>
          <w:p w14:paraId="0C7AAA94">
            <w:pPr>
              <w:spacing w:line="360" w:lineRule="auto"/>
              <w:ind w:right="-4" w:rightChars="-2"/>
              <w:rPr>
                <w:rFonts w:ascii="宋体" w:hAnsi="宋体"/>
                <w:color w:val="auto"/>
                <w:sz w:val="24"/>
              </w:rPr>
            </w:pPr>
          </w:p>
        </w:tc>
        <w:tc>
          <w:tcPr>
            <w:tcW w:w="1201" w:type="dxa"/>
            <w:noWrap w:val="0"/>
            <w:vAlign w:val="top"/>
          </w:tcPr>
          <w:p w14:paraId="6D7E84CD">
            <w:pPr>
              <w:spacing w:line="360" w:lineRule="auto"/>
              <w:ind w:right="-4" w:rightChars="-2"/>
              <w:rPr>
                <w:rFonts w:ascii="宋体" w:hAnsi="宋体"/>
                <w:color w:val="auto"/>
                <w:sz w:val="24"/>
              </w:rPr>
            </w:pPr>
          </w:p>
        </w:tc>
        <w:tc>
          <w:tcPr>
            <w:tcW w:w="2031" w:type="dxa"/>
            <w:noWrap w:val="0"/>
            <w:vAlign w:val="top"/>
          </w:tcPr>
          <w:p w14:paraId="18D7AE1F">
            <w:pPr>
              <w:spacing w:line="360" w:lineRule="auto"/>
              <w:ind w:right="-4" w:rightChars="-2"/>
              <w:rPr>
                <w:rFonts w:ascii="宋体" w:hAnsi="宋体"/>
                <w:color w:val="auto"/>
                <w:sz w:val="24"/>
              </w:rPr>
            </w:pPr>
          </w:p>
        </w:tc>
        <w:tc>
          <w:tcPr>
            <w:tcW w:w="1802" w:type="dxa"/>
            <w:noWrap w:val="0"/>
            <w:vAlign w:val="top"/>
          </w:tcPr>
          <w:p w14:paraId="1699DDBD">
            <w:pPr>
              <w:spacing w:line="360" w:lineRule="auto"/>
              <w:ind w:right="-4" w:rightChars="-2"/>
              <w:rPr>
                <w:rFonts w:ascii="宋体" w:hAnsi="宋体"/>
                <w:color w:val="auto"/>
                <w:sz w:val="24"/>
              </w:rPr>
            </w:pPr>
          </w:p>
        </w:tc>
      </w:tr>
      <w:tr w14:paraId="65B6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C1D7B66">
            <w:pPr>
              <w:spacing w:line="360" w:lineRule="auto"/>
              <w:ind w:right="-4" w:rightChars="-2"/>
              <w:rPr>
                <w:rFonts w:ascii="宋体" w:hAnsi="宋体"/>
                <w:color w:val="auto"/>
                <w:sz w:val="24"/>
              </w:rPr>
            </w:pPr>
          </w:p>
        </w:tc>
        <w:tc>
          <w:tcPr>
            <w:tcW w:w="2586" w:type="dxa"/>
            <w:noWrap w:val="0"/>
            <w:vAlign w:val="top"/>
          </w:tcPr>
          <w:p w14:paraId="05F0BAB4">
            <w:pPr>
              <w:spacing w:line="360" w:lineRule="auto"/>
              <w:ind w:right="-4" w:rightChars="-2"/>
              <w:rPr>
                <w:rFonts w:ascii="宋体" w:hAnsi="宋体"/>
                <w:color w:val="auto"/>
                <w:sz w:val="24"/>
              </w:rPr>
            </w:pPr>
          </w:p>
        </w:tc>
        <w:tc>
          <w:tcPr>
            <w:tcW w:w="1255" w:type="dxa"/>
            <w:noWrap w:val="0"/>
            <w:vAlign w:val="top"/>
          </w:tcPr>
          <w:p w14:paraId="6D8AEBE9">
            <w:pPr>
              <w:spacing w:line="360" w:lineRule="auto"/>
              <w:ind w:right="-4" w:rightChars="-2"/>
              <w:rPr>
                <w:rFonts w:ascii="宋体" w:hAnsi="宋体"/>
                <w:color w:val="auto"/>
                <w:sz w:val="24"/>
              </w:rPr>
            </w:pPr>
          </w:p>
        </w:tc>
        <w:tc>
          <w:tcPr>
            <w:tcW w:w="1201" w:type="dxa"/>
            <w:noWrap w:val="0"/>
            <w:vAlign w:val="top"/>
          </w:tcPr>
          <w:p w14:paraId="7BC9FEC8">
            <w:pPr>
              <w:spacing w:line="360" w:lineRule="auto"/>
              <w:ind w:right="-4" w:rightChars="-2"/>
              <w:rPr>
                <w:rFonts w:ascii="宋体" w:hAnsi="宋体"/>
                <w:color w:val="auto"/>
                <w:sz w:val="24"/>
              </w:rPr>
            </w:pPr>
          </w:p>
        </w:tc>
        <w:tc>
          <w:tcPr>
            <w:tcW w:w="2031" w:type="dxa"/>
            <w:noWrap w:val="0"/>
            <w:vAlign w:val="top"/>
          </w:tcPr>
          <w:p w14:paraId="75B66AA6">
            <w:pPr>
              <w:spacing w:line="360" w:lineRule="auto"/>
              <w:ind w:right="-4" w:rightChars="-2"/>
              <w:rPr>
                <w:rFonts w:ascii="宋体" w:hAnsi="宋体"/>
                <w:color w:val="auto"/>
                <w:sz w:val="24"/>
              </w:rPr>
            </w:pPr>
          </w:p>
        </w:tc>
        <w:tc>
          <w:tcPr>
            <w:tcW w:w="1802" w:type="dxa"/>
            <w:noWrap w:val="0"/>
            <w:vAlign w:val="top"/>
          </w:tcPr>
          <w:p w14:paraId="03AEC207">
            <w:pPr>
              <w:spacing w:line="360" w:lineRule="auto"/>
              <w:ind w:right="-4" w:rightChars="-2"/>
              <w:rPr>
                <w:rFonts w:ascii="宋体" w:hAnsi="宋体"/>
                <w:color w:val="auto"/>
                <w:sz w:val="24"/>
              </w:rPr>
            </w:pPr>
          </w:p>
        </w:tc>
      </w:tr>
      <w:tr w14:paraId="277D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4A424D3B">
            <w:pPr>
              <w:spacing w:line="360" w:lineRule="auto"/>
              <w:ind w:right="-4" w:rightChars="-2"/>
              <w:rPr>
                <w:rFonts w:ascii="宋体" w:hAnsi="宋体"/>
                <w:color w:val="auto"/>
                <w:sz w:val="24"/>
              </w:rPr>
            </w:pPr>
          </w:p>
        </w:tc>
        <w:tc>
          <w:tcPr>
            <w:tcW w:w="2586" w:type="dxa"/>
            <w:noWrap w:val="0"/>
            <w:vAlign w:val="top"/>
          </w:tcPr>
          <w:p w14:paraId="6A6EB65A">
            <w:pPr>
              <w:spacing w:line="360" w:lineRule="auto"/>
              <w:ind w:right="-4" w:rightChars="-2"/>
              <w:rPr>
                <w:rFonts w:ascii="宋体" w:hAnsi="宋体"/>
                <w:color w:val="auto"/>
                <w:sz w:val="24"/>
              </w:rPr>
            </w:pPr>
          </w:p>
        </w:tc>
        <w:tc>
          <w:tcPr>
            <w:tcW w:w="1255" w:type="dxa"/>
            <w:noWrap w:val="0"/>
            <w:vAlign w:val="top"/>
          </w:tcPr>
          <w:p w14:paraId="78757A8D">
            <w:pPr>
              <w:spacing w:line="360" w:lineRule="auto"/>
              <w:ind w:right="-4" w:rightChars="-2"/>
              <w:rPr>
                <w:rFonts w:ascii="宋体" w:hAnsi="宋体"/>
                <w:color w:val="auto"/>
                <w:sz w:val="24"/>
              </w:rPr>
            </w:pPr>
          </w:p>
        </w:tc>
        <w:tc>
          <w:tcPr>
            <w:tcW w:w="1201" w:type="dxa"/>
            <w:noWrap w:val="0"/>
            <w:vAlign w:val="top"/>
          </w:tcPr>
          <w:p w14:paraId="672B69CC">
            <w:pPr>
              <w:spacing w:line="360" w:lineRule="auto"/>
              <w:ind w:right="-4" w:rightChars="-2"/>
              <w:rPr>
                <w:rFonts w:ascii="宋体" w:hAnsi="宋体"/>
                <w:color w:val="auto"/>
                <w:sz w:val="24"/>
              </w:rPr>
            </w:pPr>
          </w:p>
        </w:tc>
        <w:tc>
          <w:tcPr>
            <w:tcW w:w="2031" w:type="dxa"/>
            <w:noWrap w:val="0"/>
            <w:vAlign w:val="top"/>
          </w:tcPr>
          <w:p w14:paraId="7FDC579D">
            <w:pPr>
              <w:spacing w:line="360" w:lineRule="auto"/>
              <w:ind w:right="-4" w:rightChars="-2"/>
              <w:rPr>
                <w:rFonts w:ascii="宋体" w:hAnsi="宋体"/>
                <w:color w:val="auto"/>
                <w:sz w:val="24"/>
              </w:rPr>
            </w:pPr>
          </w:p>
        </w:tc>
        <w:tc>
          <w:tcPr>
            <w:tcW w:w="1802" w:type="dxa"/>
            <w:noWrap w:val="0"/>
            <w:vAlign w:val="top"/>
          </w:tcPr>
          <w:p w14:paraId="1470AB11">
            <w:pPr>
              <w:spacing w:line="360" w:lineRule="auto"/>
              <w:ind w:right="-4" w:rightChars="-2"/>
              <w:rPr>
                <w:rFonts w:ascii="宋体" w:hAnsi="宋体"/>
                <w:color w:val="auto"/>
                <w:sz w:val="24"/>
              </w:rPr>
            </w:pPr>
          </w:p>
        </w:tc>
      </w:tr>
      <w:tr w14:paraId="0A37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D281CC5">
            <w:pPr>
              <w:spacing w:line="360" w:lineRule="auto"/>
              <w:ind w:right="-4" w:rightChars="-2"/>
              <w:rPr>
                <w:rFonts w:ascii="宋体" w:hAnsi="宋体"/>
                <w:color w:val="auto"/>
                <w:sz w:val="24"/>
              </w:rPr>
            </w:pPr>
          </w:p>
        </w:tc>
        <w:tc>
          <w:tcPr>
            <w:tcW w:w="2586" w:type="dxa"/>
            <w:noWrap w:val="0"/>
            <w:vAlign w:val="top"/>
          </w:tcPr>
          <w:p w14:paraId="260887A7">
            <w:pPr>
              <w:spacing w:line="360" w:lineRule="auto"/>
              <w:ind w:right="-4" w:rightChars="-2"/>
              <w:rPr>
                <w:rFonts w:ascii="宋体" w:hAnsi="宋体"/>
                <w:color w:val="auto"/>
                <w:sz w:val="24"/>
              </w:rPr>
            </w:pPr>
          </w:p>
        </w:tc>
        <w:tc>
          <w:tcPr>
            <w:tcW w:w="1255" w:type="dxa"/>
            <w:noWrap w:val="0"/>
            <w:vAlign w:val="top"/>
          </w:tcPr>
          <w:p w14:paraId="19118EA4">
            <w:pPr>
              <w:spacing w:line="360" w:lineRule="auto"/>
              <w:ind w:right="-4" w:rightChars="-2"/>
              <w:rPr>
                <w:rFonts w:ascii="宋体" w:hAnsi="宋体"/>
                <w:color w:val="auto"/>
                <w:sz w:val="24"/>
              </w:rPr>
            </w:pPr>
          </w:p>
        </w:tc>
        <w:tc>
          <w:tcPr>
            <w:tcW w:w="1201" w:type="dxa"/>
            <w:noWrap w:val="0"/>
            <w:vAlign w:val="top"/>
          </w:tcPr>
          <w:p w14:paraId="073294DE">
            <w:pPr>
              <w:spacing w:line="360" w:lineRule="auto"/>
              <w:ind w:right="-4" w:rightChars="-2"/>
              <w:rPr>
                <w:rFonts w:ascii="宋体" w:hAnsi="宋体"/>
                <w:color w:val="auto"/>
                <w:sz w:val="24"/>
              </w:rPr>
            </w:pPr>
          </w:p>
        </w:tc>
        <w:tc>
          <w:tcPr>
            <w:tcW w:w="2031" w:type="dxa"/>
            <w:noWrap w:val="0"/>
            <w:vAlign w:val="top"/>
          </w:tcPr>
          <w:p w14:paraId="10D77AB8">
            <w:pPr>
              <w:spacing w:line="360" w:lineRule="auto"/>
              <w:ind w:right="-4" w:rightChars="-2"/>
              <w:rPr>
                <w:rFonts w:ascii="宋体" w:hAnsi="宋体"/>
                <w:color w:val="auto"/>
                <w:sz w:val="24"/>
              </w:rPr>
            </w:pPr>
          </w:p>
        </w:tc>
        <w:tc>
          <w:tcPr>
            <w:tcW w:w="1802" w:type="dxa"/>
            <w:noWrap w:val="0"/>
            <w:vAlign w:val="top"/>
          </w:tcPr>
          <w:p w14:paraId="3D0F4DBC">
            <w:pPr>
              <w:spacing w:line="360" w:lineRule="auto"/>
              <w:ind w:right="-4" w:rightChars="-2"/>
              <w:rPr>
                <w:rFonts w:ascii="宋体" w:hAnsi="宋体"/>
                <w:color w:val="auto"/>
                <w:sz w:val="24"/>
              </w:rPr>
            </w:pPr>
          </w:p>
        </w:tc>
      </w:tr>
      <w:tr w14:paraId="792C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4982F36">
            <w:pPr>
              <w:spacing w:line="360" w:lineRule="auto"/>
              <w:ind w:right="-4" w:rightChars="-2"/>
              <w:rPr>
                <w:rFonts w:ascii="宋体" w:hAnsi="宋体"/>
                <w:color w:val="auto"/>
                <w:sz w:val="24"/>
              </w:rPr>
            </w:pPr>
          </w:p>
        </w:tc>
        <w:tc>
          <w:tcPr>
            <w:tcW w:w="2586" w:type="dxa"/>
            <w:noWrap w:val="0"/>
            <w:vAlign w:val="top"/>
          </w:tcPr>
          <w:p w14:paraId="75D4C5B3">
            <w:pPr>
              <w:spacing w:line="360" w:lineRule="auto"/>
              <w:ind w:right="-4" w:rightChars="-2"/>
              <w:rPr>
                <w:rFonts w:ascii="宋体" w:hAnsi="宋体"/>
                <w:color w:val="auto"/>
                <w:sz w:val="24"/>
              </w:rPr>
            </w:pPr>
          </w:p>
        </w:tc>
        <w:tc>
          <w:tcPr>
            <w:tcW w:w="1255" w:type="dxa"/>
            <w:noWrap w:val="0"/>
            <w:vAlign w:val="top"/>
          </w:tcPr>
          <w:p w14:paraId="45CEF363">
            <w:pPr>
              <w:spacing w:line="360" w:lineRule="auto"/>
              <w:ind w:right="-4" w:rightChars="-2"/>
              <w:rPr>
                <w:rFonts w:ascii="宋体" w:hAnsi="宋体"/>
                <w:color w:val="auto"/>
                <w:sz w:val="24"/>
              </w:rPr>
            </w:pPr>
          </w:p>
        </w:tc>
        <w:tc>
          <w:tcPr>
            <w:tcW w:w="1201" w:type="dxa"/>
            <w:noWrap w:val="0"/>
            <w:vAlign w:val="top"/>
          </w:tcPr>
          <w:p w14:paraId="0FE1F464">
            <w:pPr>
              <w:spacing w:line="360" w:lineRule="auto"/>
              <w:ind w:right="-4" w:rightChars="-2"/>
              <w:rPr>
                <w:rFonts w:ascii="宋体" w:hAnsi="宋体"/>
                <w:color w:val="auto"/>
                <w:sz w:val="24"/>
              </w:rPr>
            </w:pPr>
          </w:p>
        </w:tc>
        <w:tc>
          <w:tcPr>
            <w:tcW w:w="2031" w:type="dxa"/>
            <w:noWrap w:val="0"/>
            <w:vAlign w:val="top"/>
          </w:tcPr>
          <w:p w14:paraId="5DF5D655">
            <w:pPr>
              <w:spacing w:line="360" w:lineRule="auto"/>
              <w:ind w:right="-4" w:rightChars="-2"/>
              <w:rPr>
                <w:rFonts w:ascii="宋体" w:hAnsi="宋体"/>
                <w:color w:val="auto"/>
                <w:sz w:val="24"/>
              </w:rPr>
            </w:pPr>
          </w:p>
        </w:tc>
        <w:tc>
          <w:tcPr>
            <w:tcW w:w="1802" w:type="dxa"/>
            <w:noWrap w:val="0"/>
            <w:vAlign w:val="top"/>
          </w:tcPr>
          <w:p w14:paraId="0A1A2E11">
            <w:pPr>
              <w:spacing w:line="360" w:lineRule="auto"/>
              <w:ind w:right="-4" w:rightChars="-2"/>
              <w:rPr>
                <w:rFonts w:ascii="宋体" w:hAnsi="宋体"/>
                <w:color w:val="auto"/>
                <w:sz w:val="24"/>
              </w:rPr>
            </w:pPr>
          </w:p>
        </w:tc>
      </w:tr>
      <w:tr w14:paraId="6D69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D66ACC7">
            <w:pPr>
              <w:spacing w:line="360" w:lineRule="auto"/>
              <w:ind w:right="-4" w:rightChars="-2"/>
              <w:rPr>
                <w:rFonts w:ascii="宋体" w:hAnsi="宋体"/>
                <w:color w:val="auto"/>
                <w:sz w:val="24"/>
              </w:rPr>
            </w:pPr>
          </w:p>
        </w:tc>
        <w:tc>
          <w:tcPr>
            <w:tcW w:w="2586" w:type="dxa"/>
            <w:noWrap w:val="0"/>
            <w:vAlign w:val="top"/>
          </w:tcPr>
          <w:p w14:paraId="4581DAF1">
            <w:pPr>
              <w:spacing w:line="360" w:lineRule="auto"/>
              <w:ind w:right="-4" w:rightChars="-2"/>
              <w:rPr>
                <w:rFonts w:ascii="宋体" w:hAnsi="宋体"/>
                <w:color w:val="auto"/>
                <w:sz w:val="24"/>
              </w:rPr>
            </w:pPr>
          </w:p>
        </w:tc>
        <w:tc>
          <w:tcPr>
            <w:tcW w:w="1255" w:type="dxa"/>
            <w:noWrap w:val="0"/>
            <w:vAlign w:val="top"/>
          </w:tcPr>
          <w:p w14:paraId="695EB086">
            <w:pPr>
              <w:spacing w:line="360" w:lineRule="auto"/>
              <w:ind w:right="-4" w:rightChars="-2"/>
              <w:rPr>
                <w:rFonts w:ascii="宋体" w:hAnsi="宋体"/>
                <w:color w:val="auto"/>
                <w:sz w:val="24"/>
              </w:rPr>
            </w:pPr>
          </w:p>
        </w:tc>
        <w:tc>
          <w:tcPr>
            <w:tcW w:w="1201" w:type="dxa"/>
            <w:noWrap w:val="0"/>
            <w:vAlign w:val="top"/>
          </w:tcPr>
          <w:p w14:paraId="580A1A5E">
            <w:pPr>
              <w:spacing w:line="360" w:lineRule="auto"/>
              <w:ind w:right="-4" w:rightChars="-2"/>
              <w:rPr>
                <w:rFonts w:ascii="宋体" w:hAnsi="宋体"/>
                <w:color w:val="auto"/>
                <w:sz w:val="24"/>
              </w:rPr>
            </w:pPr>
          </w:p>
        </w:tc>
        <w:tc>
          <w:tcPr>
            <w:tcW w:w="2031" w:type="dxa"/>
            <w:noWrap w:val="0"/>
            <w:vAlign w:val="top"/>
          </w:tcPr>
          <w:p w14:paraId="74BD2047">
            <w:pPr>
              <w:spacing w:line="360" w:lineRule="auto"/>
              <w:ind w:right="-4" w:rightChars="-2"/>
              <w:rPr>
                <w:rFonts w:ascii="宋体" w:hAnsi="宋体"/>
                <w:color w:val="auto"/>
                <w:sz w:val="24"/>
              </w:rPr>
            </w:pPr>
          </w:p>
        </w:tc>
        <w:tc>
          <w:tcPr>
            <w:tcW w:w="1802" w:type="dxa"/>
            <w:noWrap w:val="0"/>
            <w:vAlign w:val="top"/>
          </w:tcPr>
          <w:p w14:paraId="12908CD2">
            <w:pPr>
              <w:spacing w:line="360" w:lineRule="auto"/>
              <w:ind w:right="-4" w:rightChars="-2"/>
              <w:rPr>
                <w:rFonts w:ascii="宋体" w:hAnsi="宋体"/>
                <w:color w:val="auto"/>
                <w:sz w:val="24"/>
              </w:rPr>
            </w:pPr>
          </w:p>
        </w:tc>
      </w:tr>
      <w:tr w14:paraId="2FAF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65473A1">
            <w:pPr>
              <w:spacing w:line="360" w:lineRule="auto"/>
              <w:ind w:right="-4" w:rightChars="-2"/>
              <w:rPr>
                <w:rFonts w:ascii="宋体" w:hAnsi="宋体"/>
                <w:color w:val="auto"/>
                <w:sz w:val="24"/>
              </w:rPr>
            </w:pPr>
          </w:p>
        </w:tc>
        <w:tc>
          <w:tcPr>
            <w:tcW w:w="2586" w:type="dxa"/>
            <w:noWrap w:val="0"/>
            <w:vAlign w:val="top"/>
          </w:tcPr>
          <w:p w14:paraId="34CC99C4">
            <w:pPr>
              <w:spacing w:line="360" w:lineRule="auto"/>
              <w:ind w:right="-4" w:rightChars="-2"/>
              <w:rPr>
                <w:rFonts w:ascii="宋体" w:hAnsi="宋体"/>
                <w:color w:val="auto"/>
                <w:sz w:val="24"/>
              </w:rPr>
            </w:pPr>
          </w:p>
        </w:tc>
        <w:tc>
          <w:tcPr>
            <w:tcW w:w="1255" w:type="dxa"/>
            <w:noWrap w:val="0"/>
            <w:vAlign w:val="top"/>
          </w:tcPr>
          <w:p w14:paraId="7421A66A">
            <w:pPr>
              <w:spacing w:line="360" w:lineRule="auto"/>
              <w:ind w:right="-4" w:rightChars="-2"/>
              <w:rPr>
                <w:rFonts w:ascii="宋体" w:hAnsi="宋体"/>
                <w:color w:val="auto"/>
                <w:sz w:val="24"/>
              </w:rPr>
            </w:pPr>
          </w:p>
        </w:tc>
        <w:tc>
          <w:tcPr>
            <w:tcW w:w="1201" w:type="dxa"/>
            <w:noWrap w:val="0"/>
            <w:vAlign w:val="top"/>
          </w:tcPr>
          <w:p w14:paraId="134B5B72">
            <w:pPr>
              <w:spacing w:line="360" w:lineRule="auto"/>
              <w:ind w:right="-4" w:rightChars="-2"/>
              <w:rPr>
                <w:rFonts w:ascii="宋体" w:hAnsi="宋体"/>
                <w:color w:val="auto"/>
                <w:sz w:val="24"/>
              </w:rPr>
            </w:pPr>
          </w:p>
        </w:tc>
        <w:tc>
          <w:tcPr>
            <w:tcW w:w="2031" w:type="dxa"/>
            <w:noWrap w:val="0"/>
            <w:vAlign w:val="top"/>
          </w:tcPr>
          <w:p w14:paraId="038564A6">
            <w:pPr>
              <w:spacing w:line="360" w:lineRule="auto"/>
              <w:ind w:right="-4" w:rightChars="-2"/>
              <w:rPr>
                <w:rFonts w:ascii="宋体" w:hAnsi="宋体"/>
                <w:color w:val="auto"/>
                <w:sz w:val="24"/>
              </w:rPr>
            </w:pPr>
          </w:p>
        </w:tc>
        <w:tc>
          <w:tcPr>
            <w:tcW w:w="1802" w:type="dxa"/>
            <w:noWrap w:val="0"/>
            <w:vAlign w:val="top"/>
          </w:tcPr>
          <w:p w14:paraId="202E724C">
            <w:pPr>
              <w:spacing w:line="360" w:lineRule="auto"/>
              <w:ind w:right="-4" w:rightChars="-2"/>
              <w:rPr>
                <w:rFonts w:ascii="宋体" w:hAnsi="宋体"/>
                <w:color w:val="auto"/>
                <w:sz w:val="24"/>
              </w:rPr>
            </w:pPr>
          </w:p>
        </w:tc>
      </w:tr>
      <w:tr w14:paraId="5EF1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9707594">
            <w:pPr>
              <w:spacing w:line="360" w:lineRule="auto"/>
              <w:ind w:right="-4" w:rightChars="-2"/>
              <w:rPr>
                <w:rFonts w:ascii="宋体" w:hAnsi="宋体"/>
                <w:color w:val="auto"/>
                <w:sz w:val="24"/>
              </w:rPr>
            </w:pPr>
          </w:p>
        </w:tc>
        <w:tc>
          <w:tcPr>
            <w:tcW w:w="2586" w:type="dxa"/>
            <w:noWrap w:val="0"/>
            <w:vAlign w:val="top"/>
          </w:tcPr>
          <w:p w14:paraId="25AEB69B">
            <w:pPr>
              <w:spacing w:line="360" w:lineRule="auto"/>
              <w:ind w:right="-4" w:rightChars="-2"/>
              <w:rPr>
                <w:rFonts w:ascii="宋体" w:hAnsi="宋体"/>
                <w:color w:val="auto"/>
                <w:sz w:val="24"/>
              </w:rPr>
            </w:pPr>
          </w:p>
        </w:tc>
        <w:tc>
          <w:tcPr>
            <w:tcW w:w="1255" w:type="dxa"/>
            <w:noWrap w:val="0"/>
            <w:vAlign w:val="top"/>
          </w:tcPr>
          <w:p w14:paraId="358D9337">
            <w:pPr>
              <w:spacing w:line="360" w:lineRule="auto"/>
              <w:ind w:right="-4" w:rightChars="-2"/>
              <w:rPr>
                <w:rFonts w:ascii="宋体" w:hAnsi="宋体"/>
                <w:color w:val="auto"/>
                <w:sz w:val="24"/>
              </w:rPr>
            </w:pPr>
          </w:p>
        </w:tc>
        <w:tc>
          <w:tcPr>
            <w:tcW w:w="1201" w:type="dxa"/>
            <w:noWrap w:val="0"/>
            <w:vAlign w:val="top"/>
          </w:tcPr>
          <w:p w14:paraId="32FF4FD6">
            <w:pPr>
              <w:spacing w:line="360" w:lineRule="auto"/>
              <w:ind w:right="-4" w:rightChars="-2"/>
              <w:rPr>
                <w:rFonts w:ascii="宋体" w:hAnsi="宋体"/>
                <w:color w:val="auto"/>
                <w:sz w:val="24"/>
              </w:rPr>
            </w:pPr>
          </w:p>
        </w:tc>
        <w:tc>
          <w:tcPr>
            <w:tcW w:w="2031" w:type="dxa"/>
            <w:noWrap w:val="0"/>
            <w:vAlign w:val="top"/>
          </w:tcPr>
          <w:p w14:paraId="721EB5CC">
            <w:pPr>
              <w:spacing w:line="360" w:lineRule="auto"/>
              <w:ind w:right="-4" w:rightChars="-2"/>
              <w:rPr>
                <w:rFonts w:ascii="宋体" w:hAnsi="宋体"/>
                <w:color w:val="auto"/>
                <w:sz w:val="24"/>
              </w:rPr>
            </w:pPr>
          </w:p>
        </w:tc>
        <w:tc>
          <w:tcPr>
            <w:tcW w:w="1802" w:type="dxa"/>
            <w:noWrap w:val="0"/>
            <w:vAlign w:val="top"/>
          </w:tcPr>
          <w:p w14:paraId="15293E86">
            <w:pPr>
              <w:spacing w:line="360" w:lineRule="auto"/>
              <w:ind w:right="-4" w:rightChars="-2"/>
              <w:rPr>
                <w:rFonts w:ascii="宋体" w:hAnsi="宋体"/>
                <w:color w:val="auto"/>
                <w:sz w:val="24"/>
              </w:rPr>
            </w:pPr>
          </w:p>
        </w:tc>
      </w:tr>
    </w:tbl>
    <w:p w14:paraId="4CAD0245">
      <w:pPr>
        <w:adjustRightInd w:val="0"/>
        <w:spacing w:line="440" w:lineRule="exact"/>
        <w:textAlignment w:val="baseline"/>
        <w:rPr>
          <w:rFonts w:ascii="宋体" w:hAnsi="宋体"/>
          <w:color w:val="auto"/>
          <w:szCs w:val="21"/>
        </w:rPr>
      </w:pPr>
    </w:p>
    <w:p w14:paraId="7C47046B">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66BFD8F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22CF41A1">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7CC9F8AB">
      <w:pPr>
        <w:adjustRightInd w:val="0"/>
        <w:spacing w:line="440" w:lineRule="exact"/>
        <w:textAlignment w:val="baseline"/>
        <w:rPr>
          <w:rFonts w:ascii="宋体" w:hAnsi="宋体"/>
          <w:color w:val="auto"/>
          <w:szCs w:val="21"/>
        </w:rPr>
      </w:pPr>
    </w:p>
    <w:p w14:paraId="46C31B9F">
      <w:pPr>
        <w:adjustRightInd w:val="0"/>
        <w:spacing w:line="440" w:lineRule="exact"/>
        <w:textAlignment w:val="baseline"/>
        <w:rPr>
          <w:rFonts w:ascii="宋体" w:hAnsi="宋体"/>
          <w:color w:val="auto"/>
          <w:szCs w:val="21"/>
        </w:rPr>
      </w:pPr>
    </w:p>
    <w:p w14:paraId="56E10559">
      <w:pPr>
        <w:adjustRightInd w:val="0"/>
        <w:spacing w:line="440" w:lineRule="exact"/>
        <w:textAlignment w:val="baseline"/>
        <w:rPr>
          <w:rFonts w:ascii="宋体" w:hAnsi="宋体"/>
          <w:color w:val="auto"/>
          <w:szCs w:val="21"/>
        </w:rPr>
      </w:pPr>
    </w:p>
    <w:p w14:paraId="014CDA3B">
      <w:pPr>
        <w:pStyle w:val="3"/>
        <w:jc w:val="center"/>
        <w:rPr>
          <w:rFonts w:ascii="宋体" w:hAnsi="宋体"/>
          <w:bCs w:val="0"/>
          <w:color w:val="auto"/>
          <w:szCs w:val="28"/>
        </w:rPr>
      </w:pPr>
      <w:r>
        <w:rPr>
          <w:rFonts w:ascii="宋体" w:hAnsi="宋体"/>
          <w:color w:val="auto"/>
          <w:sz w:val="24"/>
        </w:rPr>
        <w:br w:type="page"/>
      </w:r>
      <w:bookmarkStart w:id="41" w:name="_Toc476736024"/>
      <w:bookmarkStart w:id="42" w:name="_Toc217446087"/>
      <w:bookmarkStart w:id="43" w:name="_Toc325028475"/>
      <w:bookmarkStart w:id="44" w:name="_Toc476736028"/>
      <w:bookmarkStart w:id="45" w:name="_Toc453578492"/>
      <w:r>
        <w:rPr>
          <w:rFonts w:hint="eastAsia" w:ascii="宋体" w:hAnsi="宋体"/>
          <w:color w:val="auto"/>
          <w:sz w:val="28"/>
          <w:szCs w:val="28"/>
        </w:rPr>
        <w:t>格式六、</w:t>
      </w:r>
      <w:bookmarkStart w:id="46" w:name="_Toc14057"/>
      <w:r>
        <w:rPr>
          <w:rFonts w:hint="eastAsia" w:ascii="宋体" w:hAnsi="宋体"/>
          <w:color w:val="auto"/>
          <w:sz w:val="28"/>
          <w:szCs w:val="28"/>
        </w:rPr>
        <w:t>商务应答表</w:t>
      </w:r>
      <w:bookmarkEnd w:id="46"/>
    </w:p>
    <w:p w14:paraId="4FFBAEB9">
      <w:pPr>
        <w:pStyle w:val="29"/>
        <w:pBdr>
          <w:bottom w:val="none" w:color="auto" w:sz="0" w:space="0"/>
        </w:pBdr>
        <w:tabs>
          <w:tab w:val="clear" w:pos="4153"/>
          <w:tab w:val="clear" w:pos="8306"/>
        </w:tabs>
        <w:snapToGrid/>
        <w:spacing w:line="400" w:lineRule="exact"/>
        <w:jc w:val="both"/>
        <w:rPr>
          <w:rFonts w:hint="eastAsia" w:hAnsi="宋体"/>
          <w:color w:val="auto"/>
          <w:sz w:val="24"/>
          <w:szCs w:val="24"/>
        </w:rPr>
      </w:pPr>
      <w:r>
        <w:rPr>
          <w:rFonts w:hint="eastAsia" w:hAnsi="宋体"/>
          <w:color w:val="auto"/>
          <w:sz w:val="24"/>
          <w:szCs w:val="24"/>
        </w:rPr>
        <w:t>项目编号：</w:t>
      </w:r>
      <w:r>
        <w:rPr>
          <w:rFonts w:hint="eastAsia" w:ascii="宋体" w:hAnsi="宋体"/>
          <w:color w:val="auto"/>
          <w:sz w:val="24"/>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2FD8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14:paraId="3F3D19D3">
            <w:pPr>
              <w:spacing w:line="400" w:lineRule="exact"/>
              <w:rPr>
                <w:rFonts w:hAnsi="宋体"/>
                <w:color w:val="auto"/>
                <w:kern w:val="0"/>
                <w:sz w:val="24"/>
              </w:rPr>
            </w:pPr>
            <w:r>
              <w:rPr>
                <w:rFonts w:hint="eastAsia" w:hAnsi="宋体"/>
                <w:color w:val="auto"/>
                <w:kern w:val="0"/>
                <w:sz w:val="24"/>
              </w:rPr>
              <w:t>序号</w:t>
            </w:r>
          </w:p>
        </w:tc>
        <w:tc>
          <w:tcPr>
            <w:tcW w:w="1516" w:type="dxa"/>
            <w:noWrap w:val="0"/>
            <w:vAlign w:val="top"/>
          </w:tcPr>
          <w:p w14:paraId="5B0EC1DD">
            <w:pPr>
              <w:spacing w:line="400" w:lineRule="exact"/>
              <w:jc w:val="center"/>
              <w:rPr>
                <w:rFonts w:hAnsi="宋体"/>
                <w:color w:val="auto"/>
                <w:kern w:val="0"/>
                <w:sz w:val="24"/>
              </w:rPr>
            </w:pPr>
            <w:r>
              <w:rPr>
                <w:rFonts w:hint="eastAsia" w:hAnsi="宋体"/>
                <w:color w:val="auto"/>
                <w:kern w:val="0"/>
                <w:sz w:val="24"/>
              </w:rPr>
              <w:t>比选文件</w:t>
            </w:r>
          </w:p>
          <w:p w14:paraId="755909AA">
            <w:pPr>
              <w:spacing w:line="400" w:lineRule="exact"/>
              <w:jc w:val="center"/>
              <w:rPr>
                <w:rFonts w:hAnsi="宋体"/>
                <w:color w:val="auto"/>
                <w:kern w:val="0"/>
                <w:sz w:val="24"/>
              </w:rPr>
            </w:pPr>
            <w:r>
              <w:rPr>
                <w:rFonts w:hint="eastAsia" w:hAnsi="宋体"/>
                <w:color w:val="auto"/>
                <w:kern w:val="0"/>
                <w:sz w:val="24"/>
              </w:rPr>
              <w:t>条目号</w:t>
            </w:r>
          </w:p>
        </w:tc>
        <w:tc>
          <w:tcPr>
            <w:tcW w:w="1516" w:type="dxa"/>
            <w:noWrap w:val="0"/>
            <w:vAlign w:val="center"/>
          </w:tcPr>
          <w:p w14:paraId="44FE386F">
            <w:pPr>
              <w:spacing w:line="400" w:lineRule="exact"/>
              <w:jc w:val="center"/>
              <w:rPr>
                <w:rFonts w:hAnsi="宋体"/>
                <w:color w:val="auto"/>
                <w:kern w:val="0"/>
                <w:sz w:val="24"/>
              </w:rPr>
            </w:pPr>
            <w:r>
              <w:rPr>
                <w:rFonts w:hint="eastAsia" w:hAnsi="宋体"/>
                <w:color w:val="auto"/>
                <w:kern w:val="0"/>
                <w:sz w:val="24"/>
              </w:rPr>
              <w:t>比选要求</w:t>
            </w:r>
          </w:p>
        </w:tc>
        <w:tc>
          <w:tcPr>
            <w:tcW w:w="3210" w:type="dxa"/>
            <w:noWrap w:val="0"/>
            <w:vAlign w:val="center"/>
          </w:tcPr>
          <w:p w14:paraId="6938DEF8">
            <w:pPr>
              <w:spacing w:line="400" w:lineRule="exact"/>
              <w:jc w:val="center"/>
              <w:rPr>
                <w:rFonts w:hAnsi="宋体"/>
                <w:color w:val="auto"/>
                <w:kern w:val="0"/>
                <w:sz w:val="24"/>
              </w:rPr>
            </w:pPr>
            <w:r>
              <w:rPr>
                <w:rFonts w:hint="eastAsia" w:hAnsi="宋体"/>
                <w:color w:val="auto"/>
                <w:kern w:val="0"/>
                <w:sz w:val="24"/>
              </w:rPr>
              <w:t>比选申请应答</w:t>
            </w:r>
          </w:p>
        </w:tc>
        <w:tc>
          <w:tcPr>
            <w:tcW w:w="1642" w:type="dxa"/>
            <w:noWrap w:val="0"/>
            <w:vAlign w:val="center"/>
          </w:tcPr>
          <w:p w14:paraId="38E935AA">
            <w:pPr>
              <w:spacing w:line="400" w:lineRule="exact"/>
              <w:jc w:val="center"/>
              <w:rPr>
                <w:rFonts w:hAnsi="宋体"/>
                <w:color w:val="auto"/>
                <w:kern w:val="0"/>
                <w:sz w:val="24"/>
              </w:rPr>
            </w:pPr>
            <w:r>
              <w:rPr>
                <w:rFonts w:hint="eastAsia" w:hAnsi="宋体"/>
                <w:color w:val="auto"/>
                <w:kern w:val="0"/>
                <w:sz w:val="24"/>
              </w:rPr>
              <w:t>响应/偏离</w:t>
            </w:r>
          </w:p>
        </w:tc>
      </w:tr>
      <w:tr w14:paraId="2938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307E1F9E">
            <w:pPr>
              <w:spacing w:line="400" w:lineRule="exact"/>
              <w:jc w:val="center"/>
              <w:rPr>
                <w:rFonts w:hAnsi="宋体"/>
                <w:color w:val="auto"/>
                <w:sz w:val="32"/>
              </w:rPr>
            </w:pPr>
          </w:p>
        </w:tc>
        <w:tc>
          <w:tcPr>
            <w:tcW w:w="1516" w:type="dxa"/>
            <w:noWrap w:val="0"/>
            <w:vAlign w:val="top"/>
          </w:tcPr>
          <w:p w14:paraId="5845C635">
            <w:pPr>
              <w:spacing w:line="400" w:lineRule="exact"/>
              <w:jc w:val="center"/>
              <w:rPr>
                <w:rFonts w:hAnsi="宋体"/>
                <w:color w:val="auto"/>
                <w:sz w:val="32"/>
              </w:rPr>
            </w:pPr>
          </w:p>
        </w:tc>
        <w:tc>
          <w:tcPr>
            <w:tcW w:w="1516" w:type="dxa"/>
            <w:noWrap w:val="0"/>
            <w:vAlign w:val="top"/>
          </w:tcPr>
          <w:p w14:paraId="32318F7D">
            <w:pPr>
              <w:spacing w:line="400" w:lineRule="exact"/>
              <w:jc w:val="center"/>
              <w:rPr>
                <w:rFonts w:hAnsi="宋体"/>
                <w:color w:val="auto"/>
                <w:sz w:val="32"/>
              </w:rPr>
            </w:pPr>
          </w:p>
        </w:tc>
        <w:tc>
          <w:tcPr>
            <w:tcW w:w="3210" w:type="dxa"/>
            <w:noWrap w:val="0"/>
            <w:vAlign w:val="top"/>
          </w:tcPr>
          <w:p w14:paraId="312FE9DC">
            <w:pPr>
              <w:spacing w:line="400" w:lineRule="exact"/>
              <w:ind w:left="435" w:hanging="433" w:hangingChars="132"/>
              <w:jc w:val="center"/>
              <w:rPr>
                <w:rFonts w:hAnsi="宋体"/>
                <w:color w:val="auto"/>
                <w:sz w:val="32"/>
              </w:rPr>
            </w:pPr>
          </w:p>
        </w:tc>
        <w:tc>
          <w:tcPr>
            <w:tcW w:w="1642" w:type="dxa"/>
            <w:noWrap w:val="0"/>
            <w:vAlign w:val="top"/>
          </w:tcPr>
          <w:p w14:paraId="05A44D0F">
            <w:pPr>
              <w:spacing w:line="400" w:lineRule="exact"/>
              <w:ind w:left="435" w:hanging="433" w:hangingChars="132"/>
              <w:jc w:val="center"/>
              <w:rPr>
                <w:rFonts w:hAnsi="宋体"/>
                <w:color w:val="auto"/>
                <w:sz w:val="32"/>
              </w:rPr>
            </w:pPr>
          </w:p>
        </w:tc>
      </w:tr>
      <w:tr w14:paraId="617C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1E78CF3">
            <w:pPr>
              <w:spacing w:line="400" w:lineRule="exact"/>
              <w:jc w:val="center"/>
              <w:rPr>
                <w:rFonts w:hAnsi="宋体"/>
                <w:color w:val="auto"/>
                <w:sz w:val="32"/>
              </w:rPr>
            </w:pPr>
          </w:p>
        </w:tc>
        <w:tc>
          <w:tcPr>
            <w:tcW w:w="1516" w:type="dxa"/>
            <w:noWrap w:val="0"/>
            <w:vAlign w:val="top"/>
          </w:tcPr>
          <w:p w14:paraId="442EC331">
            <w:pPr>
              <w:spacing w:line="400" w:lineRule="exact"/>
              <w:jc w:val="center"/>
              <w:rPr>
                <w:rFonts w:hAnsi="宋体"/>
                <w:color w:val="auto"/>
                <w:sz w:val="32"/>
              </w:rPr>
            </w:pPr>
          </w:p>
        </w:tc>
        <w:tc>
          <w:tcPr>
            <w:tcW w:w="1516" w:type="dxa"/>
            <w:noWrap w:val="0"/>
            <w:vAlign w:val="top"/>
          </w:tcPr>
          <w:p w14:paraId="0EEEBD8D">
            <w:pPr>
              <w:spacing w:line="400" w:lineRule="exact"/>
              <w:jc w:val="center"/>
              <w:rPr>
                <w:rFonts w:hAnsi="宋体"/>
                <w:color w:val="auto"/>
                <w:sz w:val="32"/>
              </w:rPr>
            </w:pPr>
          </w:p>
        </w:tc>
        <w:tc>
          <w:tcPr>
            <w:tcW w:w="3210" w:type="dxa"/>
            <w:noWrap w:val="0"/>
            <w:vAlign w:val="top"/>
          </w:tcPr>
          <w:p w14:paraId="7C3398A3">
            <w:pPr>
              <w:spacing w:line="400" w:lineRule="exact"/>
              <w:jc w:val="center"/>
              <w:rPr>
                <w:rFonts w:hAnsi="宋体"/>
                <w:color w:val="auto"/>
                <w:sz w:val="32"/>
              </w:rPr>
            </w:pPr>
          </w:p>
        </w:tc>
        <w:tc>
          <w:tcPr>
            <w:tcW w:w="1642" w:type="dxa"/>
            <w:noWrap w:val="0"/>
            <w:vAlign w:val="top"/>
          </w:tcPr>
          <w:p w14:paraId="7D855784">
            <w:pPr>
              <w:spacing w:line="400" w:lineRule="exact"/>
              <w:jc w:val="center"/>
              <w:rPr>
                <w:rFonts w:hAnsi="宋体"/>
                <w:color w:val="auto"/>
                <w:sz w:val="32"/>
              </w:rPr>
            </w:pPr>
          </w:p>
        </w:tc>
      </w:tr>
      <w:tr w14:paraId="03D7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CE7FC92">
            <w:pPr>
              <w:spacing w:line="400" w:lineRule="exact"/>
              <w:jc w:val="center"/>
              <w:rPr>
                <w:rFonts w:hAnsi="宋体"/>
                <w:color w:val="auto"/>
                <w:sz w:val="32"/>
              </w:rPr>
            </w:pPr>
          </w:p>
        </w:tc>
        <w:tc>
          <w:tcPr>
            <w:tcW w:w="1516" w:type="dxa"/>
            <w:noWrap w:val="0"/>
            <w:vAlign w:val="top"/>
          </w:tcPr>
          <w:p w14:paraId="0C036DE5">
            <w:pPr>
              <w:spacing w:line="400" w:lineRule="exact"/>
              <w:jc w:val="center"/>
              <w:rPr>
                <w:rFonts w:hAnsi="宋体"/>
                <w:color w:val="auto"/>
                <w:sz w:val="32"/>
              </w:rPr>
            </w:pPr>
          </w:p>
        </w:tc>
        <w:tc>
          <w:tcPr>
            <w:tcW w:w="1516" w:type="dxa"/>
            <w:noWrap w:val="0"/>
            <w:vAlign w:val="top"/>
          </w:tcPr>
          <w:p w14:paraId="16D44ACE">
            <w:pPr>
              <w:spacing w:line="400" w:lineRule="exact"/>
              <w:jc w:val="center"/>
              <w:rPr>
                <w:rFonts w:hAnsi="宋体"/>
                <w:color w:val="auto"/>
                <w:sz w:val="32"/>
              </w:rPr>
            </w:pPr>
          </w:p>
        </w:tc>
        <w:tc>
          <w:tcPr>
            <w:tcW w:w="3210" w:type="dxa"/>
            <w:noWrap w:val="0"/>
            <w:vAlign w:val="top"/>
          </w:tcPr>
          <w:p w14:paraId="7193027F">
            <w:pPr>
              <w:spacing w:line="400" w:lineRule="exact"/>
              <w:jc w:val="center"/>
              <w:rPr>
                <w:rFonts w:hAnsi="宋体"/>
                <w:color w:val="auto"/>
                <w:sz w:val="32"/>
              </w:rPr>
            </w:pPr>
          </w:p>
        </w:tc>
        <w:tc>
          <w:tcPr>
            <w:tcW w:w="1642" w:type="dxa"/>
            <w:noWrap w:val="0"/>
            <w:vAlign w:val="top"/>
          </w:tcPr>
          <w:p w14:paraId="56CB1EA8">
            <w:pPr>
              <w:spacing w:line="400" w:lineRule="exact"/>
              <w:jc w:val="center"/>
              <w:rPr>
                <w:rFonts w:hAnsi="宋体"/>
                <w:color w:val="auto"/>
                <w:sz w:val="32"/>
              </w:rPr>
            </w:pPr>
          </w:p>
        </w:tc>
      </w:tr>
      <w:tr w14:paraId="3296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15D5CBA2">
            <w:pPr>
              <w:spacing w:line="400" w:lineRule="exact"/>
              <w:jc w:val="center"/>
              <w:rPr>
                <w:rFonts w:hAnsi="宋体"/>
                <w:color w:val="auto"/>
                <w:sz w:val="32"/>
              </w:rPr>
            </w:pPr>
          </w:p>
        </w:tc>
        <w:tc>
          <w:tcPr>
            <w:tcW w:w="1516" w:type="dxa"/>
            <w:noWrap w:val="0"/>
            <w:vAlign w:val="top"/>
          </w:tcPr>
          <w:p w14:paraId="7E965026">
            <w:pPr>
              <w:spacing w:line="400" w:lineRule="exact"/>
              <w:jc w:val="center"/>
              <w:rPr>
                <w:rFonts w:hAnsi="宋体"/>
                <w:color w:val="auto"/>
                <w:sz w:val="32"/>
              </w:rPr>
            </w:pPr>
          </w:p>
        </w:tc>
        <w:tc>
          <w:tcPr>
            <w:tcW w:w="1516" w:type="dxa"/>
            <w:noWrap w:val="0"/>
            <w:vAlign w:val="top"/>
          </w:tcPr>
          <w:p w14:paraId="7292F198">
            <w:pPr>
              <w:spacing w:line="400" w:lineRule="exact"/>
              <w:jc w:val="center"/>
              <w:rPr>
                <w:rFonts w:hAnsi="宋体"/>
                <w:color w:val="auto"/>
                <w:sz w:val="32"/>
              </w:rPr>
            </w:pPr>
          </w:p>
        </w:tc>
        <w:tc>
          <w:tcPr>
            <w:tcW w:w="3210" w:type="dxa"/>
            <w:noWrap w:val="0"/>
            <w:vAlign w:val="top"/>
          </w:tcPr>
          <w:p w14:paraId="45591E7D">
            <w:pPr>
              <w:spacing w:line="400" w:lineRule="exact"/>
              <w:jc w:val="center"/>
              <w:rPr>
                <w:rFonts w:hAnsi="宋体"/>
                <w:color w:val="auto"/>
                <w:sz w:val="32"/>
              </w:rPr>
            </w:pPr>
          </w:p>
        </w:tc>
        <w:tc>
          <w:tcPr>
            <w:tcW w:w="1642" w:type="dxa"/>
            <w:noWrap w:val="0"/>
            <w:vAlign w:val="top"/>
          </w:tcPr>
          <w:p w14:paraId="58528B9E">
            <w:pPr>
              <w:spacing w:line="400" w:lineRule="exact"/>
              <w:jc w:val="center"/>
              <w:rPr>
                <w:rFonts w:hAnsi="宋体"/>
                <w:color w:val="auto"/>
                <w:sz w:val="32"/>
              </w:rPr>
            </w:pPr>
          </w:p>
        </w:tc>
      </w:tr>
    </w:tbl>
    <w:p w14:paraId="09490973">
      <w:pPr>
        <w:adjustRightInd w:val="0"/>
        <w:spacing w:line="400" w:lineRule="exact"/>
        <w:jc w:val="left"/>
        <w:rPr>
          <w:rFonts w:hAnsi="宋体"/>
          <w:color w:val="auto"/>
          <w:sz w:val="24"/>
        </w:rPr>
      </w:pPr>
      <w:r>
        <w:rPr>
          <w:rFonts w:hint="eastAsia" w:hAnsi="宋体"/>
          <w:color w:val="auto"/>
          <w:sz w:val="24"/>
        </w:rPr>
        <w:t>注：</w:t>
      </w:r>
      <w:r>
        <w:rPr>
          <w:rFonts w:hAnsi="宋体"/>
          <w:color w:val="auto"/>
          <w:sz w:val="24"/>
        </w:rPr>
        <w:t>1</w:t>
      </w:r>
      <w:r>
        <w:rPr>
          <w:rFonts w:hint="eastAsia" w:hAnsi="宋体"/>
          <w:color w:val="auto"/>
          <w:sz w:val="24"/>
        </w:rPr>
        <w:t>、比选申请人应把比选文件第四章中的“商务要求”条款全部列入此表。</w:t>
      </w:r>
    </w:p>
    <w:p w14:paraId="3DC3E404">
      <w:pPr>
        <w:spacing w:line="400" w:lineRule="exact"/>
        <w:ind w:firstLine="498" w:firstLineChars="200"/>
        <w:rPr>
          <w:rFonts w:hAnsi="宋体"/>
          <w:color w:val="auto"/>
          <w:sz w:val="24"/>
        </w:rPr>
      </w:pPr>
      <w:r>
        <w:rPr>
          <w:rFonts w:hAnsi="宋体"/>
          <w:color w:val="auto"/>
          <w:sz w:val="24"/>
        </w:rPr>
        <w:t>2</w:t>
      </w:r>
      <w:r>
        <w:rPr>
          <w:rFonts w:hint="eastAsia" w:hAnsi="宋体"/>
          <w:color w:val="auto"/>
          <w:sz w:val="24"/>
        </w:rPr>
        <w:t>、按照比选文件第四章“商务要求”的顺序逐条对应填写。</w:t>
      </w:r>
    </w:p>
    <w:p w14:paraId="09AABD77">
      <w:pPr>
        <w:spacing w:line="400" w:lineRule="exact"/>
        <w:ind w:firstLine="498" w:firstLineChars="200"/>
        <w:rPr>
          <w:rFonts w:hAnsi="宋体"/>
          <w:color w:val="auto"/>
          <w:sz w:val="24"/>
        </w:rPr>
      </w:pPr>
      <w:r>
        <w:rPr>
          <w:rFonts w:hAnsi="宋体"/>
          <w:color w:val="auto"/>
          <w:sz w:val="24"/>
        </w:rPr>
        <w:t>3</w:t>
      </w:r>
      <w:r>
        <w:rPr>
          <w:rFonts w:hint="eastAsia" w:hAnsi="宋体"/>
          <w:color w:val="auto"/>
          <w:sz w:val="24"/>
        </w:rPr>
        <w:t>、比选申请人必须据实填写，不得虚假填写，否则将取消其申请或中选资格。</w:t>
      </w:r>
    </w:p>
    <w:p w14:paraId="28BD4BF3">
      <w:pPr>
        <w:spacing w:line="580" w:lineRule="exact"/>
        <w:jc w:val="left"/>
        <w:rPr>
          <w:rFonts w:ascii="宋体" w:hAnsi="宋体" w:cs="Arial"/>
          <w:color w:val="auto"/>
          <w:sz w:val="24"/>
          <w:u w:val="single"/>
        </w:rPr>
      </w:pPr>
      <w:r>
        <w:rPr>
          <w:rFonts w:hint="eastAsia" w:ascii="宋体" w:hAnsi="宋体" w:cs="Arial"/>
          <w:color w:val="auto"/>
          <w:sz w:val="24"/>
        </w:rPr>
        <w:t>比选申请人：</w:t>
      </w:r>
      <w:r>
        <w:rPr>
          <w:rFonts w:hint="eastAsia" w:ascii="宋体" w:hAnsi="宋体" w:cs="Arial"/>
          <w:color w:val="auto"/>
          <w:sz w:val="24"/>
          <w:u w:val="single"/>
        </w:rPr>
        <w:t xml:space="preserve">                                     （盖单位章）</w:t>
      </w:r>
    </w:p>
    <w:p w14:paraId="6842E9F0">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r>
        <w:rPr>
          <w:rFonts w:ascii="宋体" w:hAnsi="宋体" w:cs="Arial"/>
          <w:color w:val="auto"/>
          <w:sz w:val="24"/>
          <w:u w:val="single"/>
        </w:rPr>
        <w:t xml:space="preserve">   </w:t>
      </w:r>
    </w:p>
    <w:p w14:paraId="24769B68">
      <w:pPr>
        <w:spacing w:line="580" w:lineRule="exact"/>
        <w:jc w:val="left"/>
        <w:rPr>
          <w:rFonts w:ascii="宋体" w:hAnsi="宋体" w:cs="Arial"/>
          <w:color w:val="auto"/>
          <w:sz w:val="24"/>
        </w:rPr>
      </w:pPr>
      <w:r>
        <w:rPr>
          <w:rFonts w:hint="eastAsia" w:ascii="宋体" w:hAnsi="宋体" w:cs="Arial"/>
          <w:color w:val="auto"/>
          <w:sz w:val="24"/>
        </w:rPr>
        <w:t>比选日期：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00C48E1E">
      <w:pPr>
        <w:pStyle w:val="13"/>
        <w:rPr>
          <w:color w:val="auto"/>
        </w:rPr>
      </w:pPr>
    </w:p>
    <w:p w14:paraId="2E4B1BF3">
      <w:pPr>
        <w:pStyle w:val="13"/>
        <w:rPr>
          <w:color w:val="auto"/>
        </w:rPr>
      </w:pPr>
    </w:p>
    <w:p w14:paraId="7C2B1DCB">
      <w:pPr>
        <w:pStyle w:val="13"/>
        <w:rPr>
          <w:color w:val="auto"/>
        </w:rPr>
      </w:pPr>
    </w:p>
    <w:p w14:paraId="20F93D60">
      <w:pPr>
        <w:widowControl/>
        <w:jc w:val="left"/>
        <w:rPr>
          <w:rFonts w:ascii="宋体" w:hAnsi="宋体"/>
          <w:b/>
          <w:bCs/>
          <w:color w:val="auto"/>
          <w:sz w:val="28"/>
          <w:szCs w:val="28"/>
        </w:rPr>
      </w:pPr>
    </w:p>
    <w:p w14:paraId="28FC8D71">
      <w:pPr>
        <w:widowControl/>
        <w:jc w:val="left"/>
        <w:rPr>
          <w:rFonts w:ascii="宋体" w:hAnsi="宋体"/>
          <w:b/>
          <w:bCs/>
          <w:color w:val="auto"/>
          <w:sz w:val="28"/>
          <w:szCs w:val="28"/>
        </w:rPr>
      </w:pPr>
    </w:p>
    <w:p w14:paraId="061243F1">
      <w:pPr>
        <w:widowControl/>
        <w:jc w:val="left"/>
        <w:rPr>
          <w:rFonts w:ascii="宋体" w:hAnsi="宋体"/>
          <w:b/>
          <w:bCs/>
          <w:color w:val="auto"/>
          <w:sz w:val="28"/>
          <w:szCs w:val="28"/>
        </w:rPr>
      </w:pPr>
    </w:p>
    <w:p w14:paraId="3DA447AA">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格式七、类似项目案例一览表</w:t>
      </w:r>
      <w:bookmarkEnd w:id="41"/>
    </w:p>
    <w:p w14:paraId="71D0C3B3">
      <w:pPr>
        <w:rPr>
          <w:color w:val="auto"/>
        </w:rPr>
      </w:pPr>
      <w:r>
        <w:rPr>
          <w:rFonts w:hint="eastAsia"/>
          <w:color w:val="auto"/>
        </w:rPr>
        <w:t xml:space="preserve">项目编号： </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FF19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2E504FE">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noWrap w:val="0"/>
            <w:vAlign w:val="center"/>
          </w:tcPr>
          <w:p w14:paraId="7988A020">
            <w:pPr>
              <w:spacing w:line="400" w:lineRule="exact"/>
              <w:jc w:val="center"/>
              <w:rPr>
                <w:rFonts w:ascii="宋体"/>
                <w:color w:val="auto"/>
                <w:sz w:val="24"/>
              </w:rPr>
            </w:pPr>
            <w:r>
              <w:rPr>
                <w:rFonts w:hint="eastAsia" w:ascii="宋体" w:hAnsi="宋体" w:cs="Arial"/>
                <w:b/>
                <w:color w:val="auto"/>
              </w:rPr>
              <w:t>用户名称</w:t>
            </w:r>
          </w:p>
        </w:tc>
        <w:tc>
          <w:tcPr>
            <w:tcW w:w="1600" w:type="dxa"/>
            <w:noWrap w:val="0"/>
            <w:vAlign w:val="center"/>
          </w:tcPr>
          <w:p w14:paraId="680F3777">
            <w:pPr>
              <w:spacing w:line="400" w:lineRule="exact"/>
              <w:jc w:val="center"/>
              <w:rPr>
                <w:rFonts w:ascii="宋体"/>
                <w:color w:val="auto"/>
                <w:sz w:val="24"/>
              </w:rPr>
            </w:pPr>
            <w:r>
              <w:rPr>
                <w:rFonts w:ascii="宋体" w:hAnsi="宋体" w:cs="Arial"/>
                <w:b/>
                <w:color w:val="auto"/>
              </w:rPr>
              <w:t>项目名称</w:t>
            </w:r>
          </w:p>
        </w:tc>
        <w:tc>
          <w:tcPr>
            <w:tcW w:w="2072" w:type="dxa"/>
            <w:noWrap w:val="0"/>
            <w:vAlign w:val="center"/>
          </w:tcPr>
          <w:p w14:paraId="447F9B8F">
            <w:pPr>
              <w:spacing w:line="400" w:lineRule="exact"/>
              <w:jc w:val="center"/>
              <w:rPr>
                <w:rFonts w:ascii="宋体"/>
                <w:color w:val="auto"/>
                <w:sz w:val="24"/>
              </w:rPr>
            </w:pPr>
            <w:r>
              <w:rPr>
                <w:rFonts w:ascii="宋体" w:hAnsi="宋体" w:cs="Arial"/>
                <w:b/>
                <w:color w:val="auto"/>
              </w:rPr>
              <w:t>完成时间</w:t>
            </w:r>
          </w:p>
        </w:tc>
        <w:tc>
          <w:tcPr>
            <w:tcW w:w="2835" w:type="dxa"/>
            <w:noWrap w:val="0"/>
            <w:vAlign w:val="center"/>
          </w:tcPr>
          <w:p w14:paraId="7F33B534">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noWrap w:val="0"/>
            <w:vAlign w:val="center"/>
          </w:tcPr>
          <w:p w14:paraId="18285828">
            <w:pPr>
              <w:spacing w:line="400" w:lineRule="exact"/>
              <w:jc w:val="center"/>
              <w:rPr>
                <w:rFonts w:ascii="宋体"/>
                <w:color w:val="auto"/>
                <w:sz w:val="24"/>
              </w:rPr>
            </w:pPr>
            <w:r>
              <w:rPr>
                <w:rFonts w:hint="eastAsia" w:ascii="宋体" w:hAnsi="宋体" w:cs="Arial"/>
                <w:b/>
                <w:color w:val="auto"/>
              </w:rPr>
              <w:t>备注</w:t>
            </w:r>
          </w:p>
        </w:tc>
      </w:tr>
      <w:tr w14:paraId="76D2F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89059DE">
            <w:pPr>
              <w:widowControl/>
              <w:spacing w:line="360" w:lineRule="atLeast"/>
              <w:ind w:firstLine="487" w:firstLineChars="196"/>
              <w:jc w:val="left"/>
              <w:outlineLvl w:val="1"/>
              <w:rPr>
                <w:rFonts w:ascii="宋体"/>
                <w:color w:val="auto"/>
                <w:sz w:val="24"/>
              </w:rPr>
            </w:pPr>
          </w:p>
        </w:tc>
        <w:tc>
          <w:tcPr>
            <w:tcW w:w="1856" w:type="dxa"/>
            <w:noWrap w:val="0"/>
            <w:vAlign w:val="center"/>
          </w:tcPr>
          <w:p w14:paraId="6566C40F">
            <w:pPr>
              <w:widowControl/>
              <w:spacing w:line="360" w:lineRule="atLeast"/>
              <w:ind w:firstLine="487" w:firstLineChars="196"/>
              <w:jc w:val="left"/>
              <w:outlineLvl w:val="1"/>
              <w:rPr>
                <w:rFonts w:ascii="宋体"/>
                <w:color w:val="auto"/>
                <w:sz w:val="24"/>
              </w:rPr>
            </w:pPr>
          </w:p>
        </w:tc>
        <w:tc>
          <w:tcPr>
            <w:tcW w:w="1600" w:type="dxa"/>
            <w:noWrap w:val="0"/>
            <w:vAlign w:val="center"/>
          </w:tcPr>
          <w:p w14:paraId="0266142D">
            <w:pPr>
              <w:widowControl/>
              <w:spacing w:line="360" w:lineRule="atLeast"/>
              <w:ind w:firstLine="487" w:firstLineChars="196"/>
              <w:jc w:val="left"/>
              <w:outlineLvl w:val="1"/>
              <w:rPr>
                <w:rFonts w:ascii="宋体"/>
                <w:color w:val="auto"/>
                <w:sz w:val="24"/>
              </w:rPr>
            </w:pPr>
          </w:p>
        </w:tc>
        <w:tc>
          <w:tcPr>
            <w:tcW w:w="2072" w:type="dxa"/>
            <w:noWrap w:val="0"/>
            <w:vAlign w:val="center"/>
          </w:tcPr>
          <w:p w14:paraId="4A689645">
            <w:pPr>
              <w:widowControl/>
              <w:spacing w:line="360" w:lineRule="atLeast"/>
              <w:ind w:firstLine="487" w:firstLineChars="196"/>
              <w:jc w:val="left"/>
              <w:outlineLvl w:val="1"/>
              <w:rPr>
                <w:rFonts w:ascii="宋体"/>
                <w:color w:val="auto"/>
                <w:sz w:val="24"/>
              </w:rPr>
            </w:pPr>
          </w:p>
        </w:tc>
        <w:tc>
          <w:tcPr>
            <w:tcW w:w="2835" w:type="dxa"/>
            <w:noWrap w:val="0"/>
            <w:vAlign w:val="center"/>
          </w:tcPr>
          <w:p w14:paraId="7884FB4C">
            <w:pPr>
              <w:widowControl/>
              <w:spacing w:line="360" w:lineRule="atLeast"/>
              <w:ind w:firstLine="487" w:firstLineChars="196"/>
              <w:jc w:val="left"/>
              <w:outlineLvl w:val="1"/>
              <w:rPr>
                <w:rFonts w:ascii="宋体"/>
                <w:color w:val="auto"/>
                <w:sz w:val="24"/>
              </w:rPr>
            </w:pPr>
          </w:p>
        </w:tc>
        <w:tc>
          <w:tcPr>
            <w:tcW w:w="643" w:type="dxa"/>
            <w:noWrap w:val="0"/>
            <w:vAlign w:val="center"/>
          </w:tcPr>
          <w:p w14:paraId="4E5387DD">
            <w:pPr>
              <w:widowControl/>
              <w:spacing w:line="360" w:lineRule="atLeast"/>
              <w:ind w:firstLine="487" w:firstLineChars="196"/>
              <w:jc w:val="left"/>
              <w:outlineLvl w:val="1"/>
              <w:rPr>
                <w:rFonts w:ascii="宋体"/>
                <w:color w:val="auto"/>
                <w:sz w:val="24"/>
              </w:rPr>
            </w:pPr>
          </w:p>
        </w:tc>
      </w:tr>
      <w:tr w14:paraId="30A2F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526536C8">
            <w:pPr>
              <w:widowControl/>
              <w:spacing w:line="360" w:lineRule="atLeast"/>
              <w:ind w:firstLine="487" w:firstLineChars="196"/>
              <w:jc w:val="left"/>
              <w:outlineLvl w:val="1"/>
              <w:rPr>
                <w:rFonts w:ascii="宋体"/>
                <w:color w:val="auto"/>
                <w:sz w:val="24"/>
              </w:rPr>
            </w:pPr>
          </w:p>
        </w:tc>
        <w:tc>
          <w:tcPr>
            <w:tcW w:w="1856" w:type="dxa"/>
            <w:noWrap w:val="0"/>
            <w:vAlign w:val="center"/>
          </w:tcPr>
          <w:p w14:paraId="4D2AA8D6">
            <w:pPr>
              <w:widowControl/>
              <w:spacing w:line="360" w:lineRule="atLeast"/>
              <w:ind w:firstLine="487" w:firstLineChars="196"/>
              <w:jc w:val="left"/>
              <w:outlineLvl w:val="1"/>
              <w:rPr>
                <w:rFonts w:ascii="宋体"/>
                <w:color w:val="auto"/>
                <w:sz w:val="24"/>
              </w:rPr>
            </w:pPr>
          </w:p>
        </w:tc>
        <w:tc>
          <w:tcPr>
            <w:tcW w:w="1600" w:type="dxa"/>
            <w:noWrap w:val="0"/>
            <w:vAlign w:val="center"/>
          </w:tcPr>
          <w:p w14:paraId="17A3FC49">
            <w:pPr>
              <w:widowControl/>
              <w:spacing w:line="360" w:lineRule="atLeast"/>
              <w:ind w:firstLine="487" w:firstLineChars="196"/>
              <w:jc w:val="left"/>
              <w:outlineLvl w:val="1"/>
              <w:rPr>
                <w:rFonts w:ascii="宋体"/>
                <w:color w:val="auto"/>
                <w:sz w:val="24"/>
              </w:rPr>
            </w:pPr>
          </w:p>
        </w:tc>
        <w:tc>
          <w:tcPr>
            <w:tcW w:w="2072" w:type="dxa"/>
            <w:noWrap w:val="0"/>
            <w:vAlign w:val="center"/>
          </w:tcPr>
          <w:p w14:paraId="5BF8FBE4">
            <w:pPr>
              <w:widowControl/>
              <w:spacing w:line="360" w:lineRule="atLeast"/>
              <w:ind w:firstLine="487" w:firstLineChars="196"/>
              <w:jc w:val="left"/>
              <w:outlineLvl w:val="1"/>
              <w:rPr>
                <w:rFonts w:ascii="宋体"/>
                <w:color w:val="auto"/>
                <w:sz w:val="24"/>
              </w:rPr>
            </w:pPr>
          </w:p>
        </w:tc>
        <w:tc>
          <w:tcPr>
            <w:tcW w:w="2835" w:type="dxa"/>
            <w:noWrap w:val="0"/>
            <w:vAlign w:val="center"/>
          </w:tcPr>
          <w:p w14:paraId="0371858B">
            <w:pPr>
              <w:widowControl/>
              <w:spacing w:line="360" w:lineRule="atLeast"/>
              <w:ind w:firstLine="487" w:firstLineChars="196"/>
              <w:jc w:val="left"/>
              <w:outlineLvl w:val="1"/>
              <w:rPr>
                <w:rFonts w:ascii="宋体"/>
                <w:color w:val="auto"/>
                <w:sz w:val="24"/>
              </w:rPr>
            </w:pPr>
          </w:p>
        </w:tc>
        <w:tc>
          <w:tcPr>
            <w:tcW w:w="643" w:type="dxa"/>
            <w:noWrap w:val="0"/>
            <w:vAlign w:val="center"/>
          </w:tcPr>
          <w:p w14:paraId="3C853A13">
            <w:pPr>
              <w:widowControl/>
              <w:spacing w:line="360" w:lineRule="atLeast"/>
              <w:ind w:firstLine="487" w:firstLineChars="196"/>
              <w:jc w:val="left"/>
              <w:outlineLvl w:val="1"/>
              <w:rPr>
                <w:rFonts w:ascii="宋体"/>
                <w:color w:val="auto"/>
                <w:sz w:val="24"/>
              </w:rPr>
            </w:pPr>
          </w:p>
        </w:tc>
      </w:tr>
      <w:tr w14:paraId="4469F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476FD35E">
            <w:pPr>
              <w:widowControl/>
              <w:spacing w:line="360" w:lineRule="atLeast"/>
              <w:ind w:firstLine="487" w:firstLineChars="196"/>
              <w:jc w:val="left"/>
              <w:outlineLvl w:val="1"/>
              <w:rPr>
                <w:rFonts w:ascii="宋体"/>
                <w:color w:val="auto"/>
                <w:sz w:val="24"/>
              </w:rPr>
            </w:pPr>
          </w:p>
        </w:tc>
        <w:tc>
          <w:tcPr>
            <w:tcW w:w="1856" w:type="dxa"/>
            <w:noWrap w:val="0"/>
            <w:vAlign w:val="center"/>
          </w:tcPr>
          <w:p w14:paraId="4EFCCEE2">
            <w:pPr>
              <w:widowControl/>
              <w:spacing w:line="360" w:lineRule="atLeast"/>
              <w:ind w:firstLine="487" w:firstLineChars="196"/>
              <w:jc w:val="left"/>
              <w:outlineLvl w:val="1"/>
              <w:rPr>
                <w:rFonts w:ascii="宋体"/>
                <w:color w:val="auto"/>
                <w:sz w:val="24"/>
              </w:rPr>
            </w:pPr>
          </w:p>
        </w:tc>
        <w:tc>
          <w:tcPr>
            <w:tcW w:w="1600" w:type="dxa"/>
            <w:noWrap w:val="0"/>
            <w:vAlign w:val="center"/>
          </w:tcPr>
          <w:p w14:paraId="1FC6B765">
            <w:pPr>
              <w:widowControl/>
              <w:spacing w:line="360" w:lineRule="atLeast"/>
              <w:ind w:firstLine="487" w:firstLineChars="196"/>
              <w:jc w:val="left"/>
              <w:outlineLvl w:val="1"/>
              <w:rPr>
                <w:rFonts w:ascii="宋体"/>
                <w:color w:val="auto"/>
                <w:sz w:val="24"/>
              </w:rPr>
            </w:pPr>
          </w:p>
        </w:tc>
        <w:tc>
          <w:tcPr>
            <w:tcW w:w="2072" w:type="dxa"/>
            <w:noWrap w:val="0"/>
            <w:vAlign w:val="center"/>
          </w:tcPr>
          <w:p w14:paraId="03784A5E">
            <w:pPr>
              <w:widowControl/>
              <w:spacing w:line="360" w:lineRule="atLeast"/>
              <w:ind w:firstLine="487" w:firstLineChars="196"/>
              <w:jc w:val="left"/>
              <w:outlineLvl w:val="1"/>
              <w:rPr>
                <w:rFonts w:ascii="宋体"/>
                <w:color w:val="auto"/>
                <w:sz w:val="24"/>
              </w:rPr>
            </w:pPr>
          </w:p>
        </w:tc>
        <w:tc>
          <w:tcPr>
            <w:tcW w:w="2835" w:type="dxa"/>
            <w:noWrap w:val="0"/>
            <w:vAlign w:val="center"/>
          </w:tcPr>
          <w:p w14:paraId="2A1453C0">
            <w:pPr>
              <w:widowControl/>
              <w:spacing w:line="360" w:lineRule="atLeast"/>
              <w:ind w:firstLine="487" w:firstLineChars="196"/>
              <w:jc w:val="left"/>
              <w:outlineLvl w:val="1"/>
              <w:rPr>
                <w:rFonts w:ascii="宋体"/>
                <w:color w:val="auto"/>
                <w:sz w:val="24"/>
              </w:rPr>
            </w:pPr>
          </w:p>
        </w:tc>
        <w:tc>
          <w:tcPr>
            <w:tcW w:w="643" w:type="dxa"/>
            <w:noWrap w:val="0"/>
            <w:vAlign w:val="center"/>
          </w:tcPr>
          <w:p w14:paraId="3DDED895">
            <w:pPr>
              <w:widowControl/>
              <w:spacing w:line="360" w:lineRule="atLeast"/>
              <w:ind w:firstLine="487" w:firstLineChars="196"/>
              <w:jc w:val="left"/>
              <w:outlineLvl w:val="1"/>
              <w:rPr>
                <w:rFonts w:ascii="宋体"/>
                <w:color w:val="auto"/>
                <w:sz w:val="24"/>
              </w:rPr>
            </w:pPr>
          </w:p>
        </w:tc>
      </w:tr>
      <w:tr w14:paraId="02CC3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4C73572">
            <w:pPr>
              <w:widowControl/>
              <w:spacing w:line="360" w:lineRule="atLeast"/>
              <w:ind w:firstLine="487" w:firstLineChars="196"/>
              <w:jc w:val="left"/>
              <w:outlineLvl w:val="1"/>
              <w:rPr>
                <w:rFonts w:ascii="宋体"/>
                <w:color w:val="auto"/>
                <w:sz w:val="24"/>
              </w:rPr>
            </w:pPr>
          </w:p>
        </w:tc>
        <w:tc>
          <w:tcPr>
            <w:tcW w:w="1856" w:type="dxa"/>
            <w:noWrap w:val="0"/>
            <w:vAlign w:val="center"/>
          </w:tcPr>
          <w:p w14:paraId="6F957EA1">
            <w:pPr>
              <w:widowControl/>
              <w:spacing w:line="360" w:lineRule="atLeast"/>
              <w:ind w:firstLine="487" w:firstLineChars="196"/>
              <w:jc w:val="left"/>
              <w:outlineLvl w:val="1"/>
              <w:rPr>
                <w:rFonts w:ascii="宋体"/>
                <w:color w:val="auto"/>
                <w:sz w:val="24"/>
              </w:rPr>
            </w:pPr>
          </w:p>
        </w:tc>
        <w:tc>
          <w:tcPr>
            <w:tcW w:w="1600" w:type="dxa"/>
            <w:noWrap w:val="0"/>
            <w:vAlign w:val="center"/>
          </w:tcPr>
          <w:p w14:paraId="690493AB">
            <w:pPr>
              <w:widowControl/>
              <w:spacing w:line="360" w:lineRule="atLeast"/>
              <w:ind w:firstLine="487" w:firstLineChars="196"/>
              <w:jc w:val="left"/>
              <w:outlineLvl w:val="1"/>
              <w:rPr>
                <w:rFonts w:ascii="宋体"/>
                <w:color w:val="auto"/>
                <w:sz w:val="24"/>
              </w:rPr>
            </w:pPr>
          </w:p>
        </w:tc>
        <w:tc>
          <w:tcPr>
            <w:tcW w:w="2072" w:type="dxa"/>
            <w:noWrap w:val="0"/>
            <w:vAlign w:val="center"/>
          </w:tcPr>
          <w:p w14:paraId="76C161F2">
            <w:pPr>
              <w:widowControl/>
              <w:spacing w:line="360" w:lineRule="atLeast"/>
              <w:ind w:firstLine="487" w:firstLineChars="196"/>
              <w:jc w:val="left"/>
              <w:outlineLvl w:val="1"/>
              <w:rPr>
                <w:rFonts w:ascii="宋体"/>
                <w:color w:val="auto"/>
                <w:sz w:val="24"/>
              </w:rPr>
            </w:pPr>
          </w:p>
        </w:tc>
        <w:tc>
          <w:tcPr>
            <w:tcW w:w="2835" w:type="dxa"/>
            <w:noWrap w:val="0"/>
            <w:vAlign w:val="center"/>
          </w:tcPr>
          <w:p w14:paraId="6BC8CA56">
            <w:pPr>
              <w:widowControl/>
              <w:spacing w:line="360" w:lineRule="atLeast"/>
              <w:ind w:firstLine="487" w:firstLineChars="196"/>
              <w:jc w:val="left"/>
              <w:outlineLvl w:val="1"/>
              <w:rPr>
                <w:rFonts w:ascii="宋体"/>
                <w:color w:val="auto"/>
                <w:sz w:val="24"/>
              </w:rPr>
            </w:pPr>
          </w:p>
        </w:tc>
        <w:tc>
          <w:tcPr>
            <w:tcW w:w="643" w:type="dxa"/>
            <w:noWrap w:val="0"/>
            <w:vAlign w:val="center"/>
          </w:tcPr>
          <w:p w14:paraId="5326B123">
            <w:pPr>
              <w:widowControl/>
              <w:spacing w:line="360" w:lineRule="atLeast"/>
              <w:ind w:firstLine="487" w:firstLineChars="196"/>
              <w:jc w:val="left"/>
              <w:outlineLvl w:val="1"/>
              <w:rPr>
                <w:rFonts w:ascii="宋体"/>
                <w:color w:val="auto"/>
                <w:sz w:val="24"/>
              </w:rPr>
            </w:pPr>
          </w:p>
        </w:tc>
      </w:tr>
      <w:tr w14:paraId="55C2F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125BAA5">
            <w:pPr>
              <w:widowControl/>
              <w:spacing w:line="360" w:lineRule="atLeast"/>
              <w:ind w:firstLine="487" w:firstLineChars="196"/>
              <w:jc w:val="left"/>
              <w:outlineLvl w:val="1"/>
              <w:rPr>
                <w:rFonts w:ascii="宋体"/>
                <w:color w:val="auto"/>
                <w:sz w:val="24"/>
              </w:rPr>
            </w:pPr>
          </w:p>
        </w:tc>
        <w:tc>
          <w:tcPr>
            <w:tcW w:w="1856" w:type="dxa"/>
            <w:noWrap w:val="0"/>
            <w:vAlign w:val="center"/>
          </w:tcPr>
          <w:p w14:paraId="751A4AE3">
            <w:pPr>
              <w:widowControl/>
              <w:spacing w:line="360" w:lineRule="atLeast"/>
              <w:ind w:firstLine="487" w:firstLineChars="196"/>
              <w:jc w:val="left"/>
              <w:outlineLvl w:val="1"/>
              <w:rPr>
                <w:rFonts w:ascii="宋体"/>
                <w:color w:val="auto"/>
                <w:sz w:val="24"/>
              </w:rPr>
            </w:pPr>
          </w:p>
        </w:tc>
        <w:tc>
          <w:tcPr>
            <w:tcW w:w="1600" w:type="dxa"/>
            <w:noWrap w:val="0"/>
            <w:vAlign w:val="center"/>
          </w:tcPr>
          <w:p w14:paraId="786BE8C5">
            <w:pPr>
              <w:widowControl/>
              <w:spacing w:line="360" w:lineRule="atLeast"/>
              <w:ind w:firstLine="487" w:firstLineChars="196"/>
              <w:jc w:val="left"/>
              <w:outlineLvl w:val="1"/>
              <w:rPr>
                <w:rFonts w:ascii="宋体"/>
                <w:color w:val="auto"/>
                <w:sz w:val="24"/>
              </w:rPr>
            </w:pPr>
          </w:p>
        </w:tc>
        <w:tc>
          <w:tcPr>
            <w:tcW w:w="2072" w:type="dxa"/>
            <w:noWrap w:val="0"/>
            <w:vAlign w:val="center"/>
          </w:tcPr>
          <w:p w14:paraId="7CEB09EC">
            <w:pPr>
              <w:widowControl/>
              <w:spacing w:line="360" w:lineRule="atLeast"/>
              <w:ind w:firstLine="487" w:firstLineChars="196"/>
              <w:jc w:val="left"/>
              <w:outlineLvl w:val="1"/>
              <w:rPr>
                <w:rFonts w:ascii="宋体"/>
                <w:color w:val="auto"/>
                <w:sz w:val="24"/>
              </w:rPr>
            </w:pPr>
          </w:p>
        </w:tc>
        <w:tc>
          <w:tcPr>
            <w:tcW w:w="2835" w:type="dxa"/>
            <w:noWrap w:val="0"/>
            <w:vAlign w:val="center"/>
          </w:tcPr>
          <w:p w14:paraId="09F445AF">
            <w:pPr>
              <w:widowControl/>
              <w:spacing w:line="360" w:lineRule="atLeast"/>
              <w:ind w:firstLine="487" w:firstLineChars="196"/>
              <w:jc w:val="left"/>
              <w:outlineLvl w:val="1"/>
              <w:rPr>
                <w:rFonts w:ascii="宋体"/>
                <w:color w:val="auto"/>
                <w:sz w:val="24"/>
              </w:rPr>
            </w:pPr>
          </w:p>
        </w:tc>
        <w:tc>
          <w:tcPr>
            <w:tcW w:w="643" w:type="dxa"/>
            <w:noWrap w:val="0"/>
            <w:vAlign w:val="center"/>
          </w:tcPr>
          <w:p w14:paraId="495416D8">
            <w:pPr>
              <w:widowControl/>
              <w:spacing w:line="360" w:lineRule="atLeast"/>
              <w:ind w:firstLine="487" w:firstLineChars="196"/>
              <w:jc w:val="left"/>
              <w:outlineLvl w:val="1"/>
              <w:rPr>
                <w:rFonts w:ascii="宋体"/>
                <w:color w:val="auto"/>
                <w:sz w:val="24"/>
              </w:rPr>
            </w:pPr>
          </w:p>
        </w:tc>
      </w:tr>
      <w:tr w14:paraId="3892A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2578094F">
            <w:pPr>
              <w:widowControl/>
              <w:spacing w:line="360" w:lineRule="atLeast"/>
              <w:ind w:firstLine="487" w:firstLineChars="196"/>
              <w:jc w:val="left"/>
              <w:outlineLvl w:val="1"/>
              <w:rPr>
                <w:rFonts w:ascii="宋体"/>
                <w:color w:val="auto"/>
                <w:sz w:val="24"/>
              </w:rPr>
            </w:pPr>
          </w:p>
        </w:tc>
        <w:tc>
          <w:tcPr>
            <w:tcW w:w="1856" w:type="dxa"/>
            <w:noWrap w:val="0"/>
            <w:vAlign w:val="center"/>
          </w:tcPr>
          <w:p w14:paraId="400EFD00">
            <w:pPr>
              <w:widowControl/>
              <w:spacing w:line="360" w:lineRule="atLeast"/>
              <w:ind w:firstLine="487" w:firstLineChars="196"/>
              <w:jc w:val="left"/>
              <w:outlineLvl w:val="1"/>
              <w:rPr>
                <w:rFonts w:ascii="宋体"/>
                <w:color w:val="auto"/>
                <w:sz w:val="24"/>
              </w:rPr>
            </w:pPr>
          </w:p>
        </w:tc>
        <w:tc>
          <w:tcPr>
            <w:tcW w:w="1600" w:type="dxa"/>
            <w:noWrap w:val="0"/>
            <w:vAlign w:val="center"/>
          </w:tcPr>
          <w:p w14:paraId="0D0FBF03">
            <w:pPr>
              <w:widowControl/>
              <w:spacing w:line="360" w:lineRule="atLeast"/>
              <w:ind w:firstLine="487" w:firstLineChars="196"/>
              <w:jc w:val="left"/>
              <w:outlineLvl w:val="1"/>
              <w:rPr>
                <w:rFonts w:ascii="宋体"/>
                <w:color w:val="auto"/>
                <w:sz w:val="24"/>
              </w:rPr>
            </w:pPr>
          </w:p>
        </w:tc>
        <w:tc>
          <w:tcPr>
            <w:tcW w:w="2072" w:type="dxa"/>
            <w:noWrap w:val="0"/>
            <w:vAlign w:val="center"/>
          </w:tcPr>
          <w:p w14:paraId="07A01E7B">
            <w:pPr>
              <w:widowControl/>
              <w:spacing w:line="360" w:lineRule="atLeast"/>
              <w:ind w:firstLine="487" w:firstLineChars="196"/>
              <w:jc w:val="left"/>
              <w:outlineLvl w:val="1"/>
              <w:rPr>
                <w:rFonts w:ascii="宋体"/>
                <w:color w:val="auto"/>
                <w:sz w:val="24"/>
              </w:rPr>
            </w:pPr>
          </w:p>
        </w:tc>
        <w:tc>
          <w:tcPr>
            <w:tcW w:w="2835" w:type="dxa"/>
            <w:noWrap w:val="0"/>
            <w:vAlign w:val="center"/>
          </w:tcPr>
          <w:p w14:paraId="4B59E912">
            <w:pPr>
              <w:widowControl/>
              <w:spacing w:line="360" w:lineRule="atLeast"/>
              <w:ind w:firstLine="487" w:firstLineChars="196"/>
              <w:jc w:val="left"/>
              <w:outlineLvl w:val="1"/>
              <w:rPr>
                <w:rFonts w:ascii="宋体"/>
                <w:color w:val="auto"/>
                <w:sz w:val="24"/>
              </w:rPr>
            </w:pPr>
          </w:p>
        </w:tc>
        <w:tc>
          <w:tcPr>
            <w:tcW w:w="643" w:type="dxa"/>
            <w:noWrap w:val="0"/>
            <w:vAlign w:val="center"/>
          </w:tcPr>
          <w:p w14:paraId="6C26A829">
            <w:pPr>
              <w:widowControl/>
              <w:spacing w:line="360" w:lineRule="atLeast"/>
              <w:ind w:firstLine="487" w:firstLineChars="196"/>
              <w:jc w:val="left"/>
              <w:outlineLvl w:val="1"/>
              <w:rPr>
                <w:rFonts w:ascii="宋体"/>
                <w:color w:val="auto"/>
                <w:sz w:val="24"/>
              </w:rPr>
            </w:pPr>
          </w:p>
        </w:tc>
      </w:tr>
      <w:tr w14:paraId="097E1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E635A9A">
            <w:pPr>
              <w:widowControl/>
              <w:spacing w:line="360" w:lineRule="atLeast"/>
              <w:ind w:firstLine="487" w:firstLineChars="196"/>
              <w:jc w:val="left"/>
              <w:outlineLvl w:val="1"/>
              <w:rPr>
                <w:rFonts w:ascii="宋体"/>
                <w:color w:val="auto"/>
                <w:sz w:val="24"/>
              </w:rPr>
            </w:pPr>
          </w:p>
        </w:tc>
        <w:tc>
          <w:tcPr>
            <w:tcW w:w="1856" w:type="dxa"/>
            <w:noWrap w:val="0"/>
            <w:vAlign w:val="center"/>
          </w:tcPr>
          <w:p w14:paraId="1865A234">
            <w:pPr>
              <w:widowControl/>
              <w:spacing w:line="360" w:lineRule="atLeast"/>
              <w:ind w:firstLine="487" w:firstLineChars="196"/>
              <w:jc w:val="left"/>
              <w:outlineLvl w:val="1"/>
              <w:rPr>
                <w:rFonts w:ascii="宋体"/>
                <w:color w:val="auto"/>
                <w:sz w:val="24"/>
              </w:rPr>
            </w:pPr>
          </w:p>
        </w:tc>
        <w:tc>
          <w:tcPr>
            <w:tcW w:w="1600" w:type="dxa"/>
            <w:noWrap w:val="0"/>
            <w:vAlign w:val="center"/>
          </w:tcPr>
          <w:p w14:paraId="518CF298">
            <w:pPr>
              <w:widowControl/>
              <w:spacing w:line="360" w:lineRule="atLeast"/>
              <w:ind w:firstLine="487" w:firstLineChars="196"/>
              <w:jc w:val="left"/>
              <w:outlineLvl w:val="1"/>
              <w:rPr>
                <w:rFonts w:ascii="宋体"/>
                <w:color w:val="auto"/>
                <w:sz w:val="24"/>
              </w:rPr>
            </w:pPr>
          </w:p>
        </w:tc>
        <w:tc>
          <w:tcPr>
            <w:tcW w:w="2072" w:type="dxa"/>
            <w:noWrap w:val="0"/>
            <w:vAlign w:val="center"/>
          </w:tcPr>
          <w:p w14:paraId="74A606EE">
            <w:pPr>
              <w:widowControl/>
              <w:spacing w:line="360" w:lineRule="atLeast"/>
              <w:ind w:firstLine="487" w:firstLineChars="196"/>
              <w:jc w:val="left"/>
              <w:outlineLvl w:val="1"/>
              <w:rPr>
                <w:rFonts w:ascii="宋体"/>
                <w:color w:val="auto"/>
                <w:sz w:val="24"/>
              </w:rPr>
            </w:pPr>
          </w:p>
        </w:tc>
        <w:tc>
          <w:tcPr>
            <w:tcW w:w="2835" w:type="dxa"/>
            <w:noWrap w:val="0"/>
            <w:vAlign w:val="center"/>
          </w:tcPr>
          <w:p w14:paraId="2839F8FB">
            <w:pPr>
              <w:widowControl/>
              <w:spacing w:line="360" w:lineRule="atLeast"/>
              <w:ind w:firstLine="487" w:firstLineChars="196"/>
              <w:jc w:val="left"/>
              <w:outlineLvl w:val="1"/>
              <w:rPr>
                <w:rFonts w:ascii="宋体"/>
                <w:color w:val="auto"/>
                <w:sz w:val="24"/>
              </w:rPr>
            </w:pPr>
          </w:p>
        </w:tc>
        <w:tc>
          <w:tcPr>
            <w:tcW w:w="643" w:type="dxa"/>
            <w:noWrap w:val="0"/>
            <w:vAlign w:val="center"/>
          </w:tcPr>
          <w:p w14:paraId="04578E8F">
            <w:pPr>
              <w:widowControl/>
              <w:spacing w:line="360" w:lineRule="atLeast"/>
              <w:ind w:firstLine="487" w:firstLineChars="196"/>
              <w:jc w:val="left"/>
              <w:outlineLvl w:val="1"/>
              <w:rPr>
                <w:rFonts w:ascii="宋体"/>
                <w:color w:val="auto"/>
                <w:sz w:val="24"/>
              </w:rPr>
            </w:pPr>
          </w:p>
        </w:tc>
      </w:tr>
      <w:tr w14:paraId="1C431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C12CE6B">
            <w:pPr>
              <w:widowControl/>
              <w:spacing w:line="360" w:lineRule="atLeast"/>
              <w:ind w:firstLine="487" w:firstLineChars="196"/>
              <w:jc w:val="left"/>
              <w:outlineLvl w:val="1"/>
              <w:rPr>
                <w:rFonts w:ascii="宋体"/>
                <w:color w:val="auto"/>
                <w:sz w:val="24"/>
              </w:rPr>
            </w:pPr>
          </w:p>
        </w:tc>
        <w:tc>
          <w:tcPr>
            <w:tcW w:w="1856" w:type="dxa"/>
            <w:noWrap w:val="0"/>
            <w:vAlign w:val="center"/>
          </w:tcPr>
          <w:p w14:paraId="5E282EFB">
            <w:pPr>
              <w:widowControl/>
              <w:spacing w:line="360" w:lineRule="atLeast"/>
              <w:ind w:firstLine="487" w:firstLineChars="196"/>
              <w:jc w:val="left"/>
              <w:outlineLvl w:val="1"/>
              <w:rPr>
                <w:rFonts w:ascii="宋体"/>
                <w:color w:val="auto"/>
                <w:sz w:val="24"/>
              </w:rPr>
            </w:pPr>
          </w:p>
        </w:tc>
        <w:tc>
          <w:tcPr>
            <w:tcW w:w="1600" w:type="dxa"/>
            <w:noWrap w:val="0"/>
            <w:vAlign w:val="center"/>
          </w:tcPr>
          <w:p w14:paraId="003F17EC">
            <w:pPr>
              <w:widowControl/>
              <w:spacing w:line="360" w:lineRule="atLeast"/>
              <w:ind w:firstLine="487" w:firstLineChars="196"/>
              <w:jc w:val="left"/>
              <w:outlineLvl w:val="1"/>
              <w:rPr>
                <w:rFonts w:ascii="宋体"/>
                <w:color w:val="auto"/>
                <w:sz w:val="24"/>
              </w:rPr>
            </w:pPr>
          </w:p>
        </w:tc>
        <w:tc>
          <w:tcPr>
            <w:tcW w:w="2072" w:type="dxa"/>
            <w:noWrap w:val="0"/>
            <w:vAlign w:val="center"/>
          </w:tcPr>
          <w:p w14:paraId="66AFBD4C">
            <w:pPr>
              <w:widowControl/>
              <w:spacing w:line="360" w:lineRule="atLeast"/>
              <w:ind w:firstLine="487" w:firstLineChars="196"/>
              <w:jc w:val="left"/>
              <w:outlineLvl w:val="1"/>
              <w:rPr>
                <w:rFonts w:ascii="宋体"/>
                <w:color w:val="auto"/>
                <w:sz w:val="24"/>
              </w:rPr>
            </w:pPr>
          </w:p>
        </w:tc>
        <w:tc>
          <w:tcPr>
            <w:tcW w:w="2835" w:type="dxa"/>
            <w:noWrap w:val="0"/>
            <w:vAlign w:val="center"/>
          </w:tcPr>
          <w:p w14:paraId="6941361A">
            <w:pPr>
              <w:widowControl/>
              <w:spacing w:line="360" w:lineRule="atLeast"/>
              <w:ind w:firstLine="487" w:firstLineChars="196"/>
              <w:jc w:val="left"/>
              <w:outlineLvl w:val="1"/>
              <w:rPr>
                <w:rFonts w:ascii="宋体"/>
                <w:color w:val="auto"/>
                <w:sz w:val="24"/>
              </w:rPr>
            </w:pPr>
          </w:p>
        </w:tc>
        <w:tc>
          <w:tcPr>
            <w:tcW w:w="643" w:type="dxa"/>
            <w:noWrap w:val="0"/>
            <w:vAlign w:val="center"/>
          </w:tcPr>
          <w:p w14:paraId="03163FAC">
            <w:pPr>
              <w:widowControl/>
              <w:spacing w:line="360" w:lineRule="atLeast"/>
              <w:ind w:firstLine="487" w:firstLineChars="196"/>
              <w:jc w:val="left"/>
              <w:outlineLvl w:val="1"/>
              <w:rPr>
                <w:rFonts w:ascii="宋体"/>
                <w:color w:val="auto"/>
                <w:sz w:val="24"/>
              </w:rPr>
            </w:pPr>
          </w:p>
        </w:tc>
      </w:tr>
      <w:tr w14:paraId="22B26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noWrap w:val="0"/>
            <w:vAlign w:val="center"/>
          </w:tcPr>
          <w:p w14:paraId="7DFB150B">
            <w:pPr>
              <w:widowControl/>
              <w:spacing w:line="360" w:lineRule="atLeast"/>
              <w:ind w:firstLine="487" w:firstLineChars="196"/>
              <w:jc w:val="left"/>
              <w:outlineLvl w:val="1"/>
              <w:rPr>
                <w:rFonts w:ascii="宋体"/>
                <w:color w:val="auto"/>
                <w:sz w:val="24"/>
              </w:rPr>
            </w:pPr>
          </w:p>
        </w:tc>
        <w:tc>
          <w:tcPr>
            <w:tcW w:w="1856" w:type="dxa"/>
            <w:noWrap w:val="0"/>
            <w:vAlign w:val="center"/>
          </w:tcPr>
          <w:p w14:paraId="55B83D1B">
            <w:pPr>
              <w:widowControl/>
              <w:spacing w:line="360" w:lineRule="atLeast"/>
              <w:ind w:firstLine="487" w:firstLineChars="196"/>
              <w:jc w:val="left"/>
              <w:outlineLvl w:val="1"/>
              <w:rPr>
                <w:rFonts w:ascii="宋体"/>
                <w:color w:val="auto"/>
                <w:sz w:val="24"/>
              </w:rPr>
            </w:pPr>
          </w:p>
        </w:tc>
        <w:tc>
          <w:tcPr>
            <w:tcW w:w="1600" w:type="dxa"/>
            <w:noWrap w:val="0"/>
            <w:vAlign w:val="center"/>
          </w:tcPr>
          <w:p w14:paraId="22EED5C0">
            <w:pPr>
              <w:widowControl/>
              <w:spacing w:line="360" w:lineRule="atLeast"/>
              <w:ind w:firstLine="487" w:firstLineChars="196"/>
              <w:jc w:val="left"/>
              <w:outlineLvl w:val="1"/>
              <w:rPr>
                <w:rFonts w:ascii="宋体"/>
                <w:color w:val="auto"/>
                <w:sz w:val="24"/>
              </w:rPr>
            </w:pPr>
          </w:p>
        </w:tc>
        <w:tc>
          <w:tcPr>
            <w:tcW w:w="2072" w:type="dxa"/>
            <w:noWrap w:val="0"/>
            <w:vAlign w:val="center"/>
          </w:tcPr>
          <w:p w14:paraId="773F8FF8">
            <w:pPr>
              <w:widowControl/>
              <w:spacing w:line="360" w:lineRule="atLeast"/>
              <w:ind w:firstLine="487" w:firstLineChars="196"/>
              <w:jc w:val="left"/>
              <w:outlineLvl w:val="1"/>
              <w:rPr>
                <w:rFonts w:ascii="宋体"/>
                <w:color w:val="auto"/>
                <w:sz w:val="24"/>
              </w:rPr>
            </w:pPr>
          </w:p>
        </w:tc>
        <w:tc>
          <w:tcPr>
            <w:tcW w:w="2835" w:type="dxa"/>
            <w:noWrap w:val="0"/>
            <w:vAlign w:val="center"/>
          </w:tcPr>
          <w:p w14:paraId="36D95361">
            <w:pPr>
              <w:widowControl/>
              <w:spacing w:line="360" w:lineRule="atLeast"/>
              <w:ind w:firstLine="487" w:firstLineChars="196"/>
              <w:jc w:val="left"/>
              <w:outlineLvl w:val="1"/>
              <w:rPr>
                <w:rFonts w:ascii="宋体"/>
                <w:color w:val="auto"/>
                <w:sz w:val="24"/>
              </w:rPr>
            </w:pPr>
          </w:p>
        </w:tc>
        <w:tc>
          <w:tcPr>
            <w:tcW w:w="643" w:type="dxa"/>
            <w:noWrap w:val="0"/>
            <w:vAlign w:val="center"/>
          </w:tcPr>
          <w:p w14:paraId="59E10635">
            <w:pPr>
              <w:widowControl/>
              <w:spacing w:line="360" w:lineRule="atLeast"/>
              <w:ind w:firstLine="487" w:firstLineChars="196"/>
              <w:jc w:val="left"/>
              <w:outlineLvl w:val="1"/>
              <w:rPr>
                <w:rFonts w:ascii="宋体"/>
                <w:color w:val="auto"/>
                <w:sz w:val="24"/>
              </w:rPr>
            </w:pPr>
          </w:p>
        </w:tc>
      </w:tr>
      <w:tr w14:paraId="6447F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6C48FDB0">
            <w:pPr>
              <w:widowControl/>
              <w:spacing w:line="360" w:lineRule="atLeast"/>
              <w:ind w:firstLine="487" w:firstLineChars="196"/>
              <w:jc w:val="left"/>
              <w:outlineLvl w:val="1"/>
              <w:rPr>
                <w:rFonts w:ascii="宋体"/>
                <w:color w:val="auto"/>
                <w:sz w:val="24"/>
              </w:rPr>
            </w:pPr>
          </w:p>
        </w:tc>
        <w:tc>
          <w:tcPr>
            <w:tcW w:w="1856" w:type="dxa"/>
            <w:noWrap w:val="0"/>
            <w:vAlign w:val="center"/>
          </w:tcPr>
          <w:p w14:paraId="75186B69">
            <w:pPr>
              <w:widowControl/>
              <w:spacing w:line="360" w:lineRule="atLeast"/>
              <w:ind w:firstLine="487" w:firstLineChars="196"/>
              <w:jc w:val="left"/>
              <w:outlineLvl w:val="1"/>
              <w:rPr>
                <w:rFonts w:ascii="宋体"/>
                <w:color w:val="auto"/>
                <w:sz w:val="24"/>
              </w:rPr>
            </w:pPr>
          </w:p>
        </w:tc>
        <w:tc>
          <w:tcPr>
            <w:tcW w:w="1600" w:type="dxa"/>
            <w:noWrap w:val="0"/>
            <w:vAlign w:val="center"/>
          </w:tcPr>
          <w:p w14:paraId="455FD2D7">
            <w:pPr>
              <w:widowControl/>
              <w:spacing w:line="360" w:lineRule="atLeast"/>
              <w:ind w:firstLine="487" w:firstLineChars="196"/>
              <w:jc w:val="left"/>
              <w:outlineLvl w:val="1"/>
              <w:rPr>
                <w:rFonts w:ascii="宋体"/>
                <w:color w:val="auto"/>
                <w:sz w:val="24"/>
              </w:rPr>
            </w:pPr>
          </w:p>
        </w:tc>
        <w:tc>
          <w:tcPr>
            <w:tcW w:w="2072" w:type="dxa"/>
            <w:noWrap w:val="0"/>
            <w:vAlign w:val="center"/>
          </w:tcPr>
          <w:p w14:paraId="7084739E">
            <w:pPr>
              <w:widowControl/>
              <w:spacing w:line="360" w:lineRule="atLeast"/>
              <w:ind w:firstLine="487" w:firstLineChars="196"/>
              <w:jc w:val="left"/>
              <w:outlineLvl w:val="1"/>
              <w:rPr>
                <w:rFonts w:ascii="宋体"/>
                <w:color w:val="auto"/>
                <w:sz w:val="24"/>
              </w:rPr>
            </w:pPr>
          </w:p>
        </w:tc>
        <w:tc>
          <w:tcPr>
            <w:tcW w:w="2835" w:type="dxa"/>
            <w:noWrap w:val="0"/>
            <w:vAlign w:val="center"/>
          </w:tcPr>
          <w:p w14:paraId="3966E225">
            <w:pPr>
              <w:widowControl/>
              <w:spacing w:line="360" w:lineRule="atLeast"/>
              <w:ind w:firstLine="487" w:firstLineChars="196"/>
              <w:jc w:val="left"/>
              <w:outlineLvl w:val="1"/>
              <w:rPr>
                <w:rFonts w:ascii="宋体"/>
                <w:color w:val="auto"/>
                <w:sz w:val="24"/>
              </w:rPr>
            </w:pPr>
          </w:p>
        </w:tc>
        <w:tc>
          <w:tcPr>
            <w:tcW w:w="643" w:type="dxa"/>
            <w:noWrap w:val="0"/>
            <w:vAlign w:val="center"/>
          </w:tcPr>
          <w:p w14:paraId="469840BE">
            <w:pPr>
              <w:widowControl/>
              <w:spacing w:line="360" w:lineRule="atLeast"/>
              <w:ind w:firstLine="487" w:firstLineChars="196"/>
              <w:jc w:val="left"/>
              <w:outlineLvl w:val="1"/>
              <w:rPr>
                <w:rFonts w:ascii="宋体"/>
                <w:color w:val="auto"/>
                <w:sz w:val="24"/>
              </w:rPr>
            </w:pPr>
          </w:p>
        </w:tc>
      </w:tr>
      <w:tr w14:paraId="0E897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2E66C53E">
            <w:pPr>
              <w:widowControl/>
              <w:spacing w:line="360" w:lineRule="atLeast"/>
              <w:ind w:firstLine="487" w:firstLineChars="196"/>
              <w:jc w:val="left"/>
              <w:outlineLvl w:val="1"/>
              <w:rPr>
                <w:rFonts w:ascii="宋体"/>
                <w:color w:val="auto"/>
                <w:sz w:val="24"/>
              </w:rPr>
            </w:pPr>
          </w:p>
        </w:tc>
        <w:tc>
          <w:tcPr>
            <w:tcW w:w="1856" w:type="dxa"/>
            <w:noWrap w:val="0"/>
            <w:vAlign w:val="center"/>
          </w:tcPr>
          <w:p w14:paraId="387A01E1">
            <w:pPr>
              <w:widowControl/>
              <w:spacing w:line="360" w:lineRule="atLeast"/>
              <w:ind w:firstLine="487" w:firstLineChars="196"/>
              <w:jc w:val="left"/>
              <w:outlineLvl w:val="1"/>
              <w:rPr>
                <w:rFonts w:ascii="宋体"/>
                <w:color w:val="auto"/>
                <w:sz w:val="24"/>
              </w:rPr>
            </w:pPr>
          </w:p>
        </w:tc>
        <w:tc>
          <w:tcPr>
            <w:tcW w:w="1600" w:type="dxa"/>
            <w:noWrap w:val="0"/>
            <w:vAlign w:val="center"/>
          </w:tcPr>
          <w:p w14:paraId="0F72A9AA">
            <w:pPr>
              <w:widowControl/>
              <w:spacing w:line="360" w:lineRule="atLeast"/>
              <w:ind w:firstLine="487" w:firstLineChars="196"/>
              <w:jc w:val="left"/>
              <w:outlineLvl w:val="1"/>
              <w:rPr>
                <w:rFonts w:ascii="宋体"/>
                <w:color w:val="auto"/>
                <w:sz w:val="24"/>
              </w:rPr>
            </w:pPr>
          </w:p>
        </w:tc>
        <w:tc>
          <w:tcPr>
            <w:tcW w:w="2072" w:type="dxa"/>
            <w:noWrap w:val="0"/>
            <w:vAlign w:val="center"/>
          </w:tcPr>
          <w:p w14:paraId="51FD28B4">
            <w:pPr>
              <w:widowControl/>
              <w:spacing w:line="360" w:lineRule="atLeast"/>
              <w:ind w:firstLine="487" w:firstLineChars="196"/>
              <w:jc w:val="left"/>
              <w:outlineLvl w:val="1"/>
              <w:rPr>
                <w:rFonts w:ascii="宋体"/>
                <w:color w:val="auto"/>
                <w:sz w:val="24"/>
              </w:rPr>
            </w:pPr>
          </w:p>
        </w:tc>
        <w:tc>
          <w:tcPr>
            <w:tcW w:w="2835" w:type="dxa"/>
            <w:noWrap w:val="0"/>
            <w:vAlign w:val="center"/>
          </w:tcPr>
          <w:p w14:paraId="4FE24D05">
            <w:pPr>
              <w:widowControl/>
              <w:spacing w:line="360" w:lineRule="atLeast"/>
              <w:ind w:firstLine="487" w:firstLineChars="196"/>
              <w:jc w:val="left"/>
              <w:outlineLvl w:val="1"/>
              <w:rPr>
                <w:rFonts w:ascii="宋体"/>
                <w:color w:val="auto"/>
                <w:sz w:val="24"/>
              </w:rPr>
            </w:pPr>
          </w:p>
        </w:tc>
        <w:tc>
          <w:tcPr>
            <w:tcW w:w="643" w:type="dxa"/>
            <w:noWrap w:val="0"/>
            <w:vAlign w:val="center"/>
          </w:tcPr>
          <w:p w14:paraId="4A80597B">
            <w:pPr>
              <w:widowControl/>
              <w:spacing w:line="360" w:lineRule="atLeast"/>
              <w:ind w:firstLine="487" w:firstLineChars="196"/>
              <w:jc w:val="left"/>
              <w:outlineLvl w:val="1"/>
              <w:rPr>
                <w:rFonts w:ascii="宋体"/>
                <w:color w:val="auto"/>
                <w:sz w:val="24"/>
              </w:rPr>
            </w:pPr>
          </w:p>
        </w:tc>
      </w:tr>
      <w:tr w14:paraId="2A709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noWrap w:val="0"/>
            <w:vAlign w:val="center"/>
          </w:tcPr>
          <w:p w14:paraId="38B8B00A">
            <w:pPr>
              <w:widowControl/>
              <w:spacing w:line="360" w:lineRule="atLeast"/>
              <w:ind w:firstLine="487" w:firstLineChars="196"/>
              <w:jc w:val="left"/>
              <w:outlineLvl w:val="1"/>
              <w:rPr>
                <w:rFonts w:ascii="宋体"/>
                <w:color w:val="auto"/>
                <w:sz w:val="24"/>
              </w:rPr>
            </w:pPr>
          </w:p>
        </w:tc>
        <w:tc>
          <w:tcPr>
            <w:tcW w:w="1856" w:type="dxa"/>
            <w:noWrap w:val="0"/>
            <w:vAlign w:val="center"/>
          </w:tcPr>
          <w:p w14:paraId="213BEE7B">
            <w:pPr>
              <w:widowControl/>
              <w:spacing w:line="360" w:lineRule="atLeast"/>
              <w:ind w:firstLine="487" w:firstLineChars="196"/>
              <w:jc w:val="left"/>
              <w:outlineLvl w:val="1"/>
              <w:rPr>
                <w:rFonts w:ascii="宋体"/>
                <w:color w:val="auto"/>
                <w:sz w:val="24"/>
              </w:rPr>
            </w:pPr>
          </w:p>
        </w:tc>
        <w:tc>
          <w:tcPr>
            <w:tcW w:w="1600" w:type="dxa"/>
            <w:noWrap w:val="0"/>
            <w:vAlign w:val="center"/>
          </w:tcPr>
          <w:p w14:paraId="19D8FDCD">
            <w:pPr>
              <w:widowControl/>
              <w:spacing w:line="360" w:lineRule="atLeast"/>
              <w:ind w:firstLine="487" w:firstLineChars="196"/>
              <w:jc w:val="left"/>
              <w:outlineLvl w:val="1"/>
              <w:rPr>
                <w:rFonts w:ascii="宋体"/>
                <w:color w:val="auto"/>
                <w:sz w:val="24"/>
              </w:rPr>
            </w:pPr>
          </w:p>
        </w:tc>
        <w:tc>
          <w:tcPr>
            <w:tcW w:w="2072" w:type="dxa"/>
            <w:noWrap w:val="0"/>
            <w:vAlign w:val="center"/>
          </w:tcPr>
          <w:p w14:paraId="1ACFE575">
            <w:pPr>
              <w:widowControl/>
              <w:spacing w:line="360" w:lineRule="atLeast"/>
              <w:ind w:firstLine="487" w:firstLineChars="196"/>
              <w:jc w:val="left"/>
              <w:outlineLvl w:val="1"/>
              <w:rPr>
                <w:rFonts w:ascii="宋体"/>
                <w:color w:val="auto"/>
                <w:sz w:val="24"/>
              </w:rPr>
            </w:pPr>
          </w:p>
        </w:tc>
        <w:tc>
          <w:tcPr>
            <w:tcW w:w="2835" w:type="dxa"/>
            <w:noWrap w:val="0"/>
            <w:vAlign w:val="center"/>
          </w:tcPr>
          <w:p w14:paraId="189176E4">
            <w:pPr>
              <w:widowControl/>
              <w:spacing w:line="360" w:lineRule="atLeast"/>
              <w:ind w:firstLine="487" w:firstLineChars="196"/>
              <w:jc w:val="left"/>
              <w:outlineLvl w:val="1"/>
              <w:rPr>
                <w:rFonts w:ascii="宋体"/>
                <w:color w:val="auto"/>
                <w:sz w:val="24"/>
              </w:rPr>
            </w:pPr>
          </w:p>
        </w:tc>
        <w:tc>
          <w:tcPr>
            <w:tcW w:w="643" w:type="dxa"/>
            <w:noWrap w:val="0"/>
            <w:vAlign w:val="center"/>
          </w:tcPr>
          <w:p w14:paraId="75816760">
            <w:pPr>
              <w:widowControl/>
              <w:spacing w:line="360" w:lineRule="atLeast"/>
              <w:ind w:firstLine="487" w:firstLineChars="196"/>
              <w:jc w:val="left"/>
              <w:outlineLvl w:val="1"/>
              <w:rPr>
                <w:rFonts w:ascii="宋体"/>
                <w:color w:val="auto"/>
                <w:sz w:val="24"/>
              </w:rPr>
            </w:pPr>
          </w:p>
        </w:tc>
      </w:tr>
      <w:tr w14:paraId="3C884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noWrap w:val="0"/>
            <w:vAlign w:val="center"/>
          </w:tcPr>
          <w:p w14:paraId="77C93874">
            <w:pPr>
              <w:widowControl/>
              <w:spacing w:line="360" w:lineRule="atLeast"/>
              <w:ind w:firstLine="487" w:firstLineChars="196"/>
              <w:jc w:val="left"/>
              <w:outlineLvl w:val="1"/>
              <w:rPr>
                <w:rFonts w:ascii="宋体"/>
                <w:color w:val="auto"/>
                <w:sz w:val="24"/>
              </w:rPr>
            </w:pPr>
          </w:p>
        </w:tc>
        <w:tc>
          <w:tcPr>
            <w:tcW w:w="1856" w:type="dxa"/>
            <w:noWrap w:val="0"/>
            <w:vAlign w:val="center"/>
          </w:tcPr>
          <w:p w14:paraId="185E6F58">
            <w:pPr>
              <w:widowControl/>
              <w:spacing w:line="360" w:lineRule="atLeast"/>
              <w:ind w:firstLine="487" w:firstLineChars="196"/>
              <w:jc w:val="left"/>
              <w:outlineLvl w:val="1"/>
              <w:rPr>
                <w:rFonts w:ascii="宋体"/>
                <w:color w:val="auto"/>
                <w:sz w:val="24"/>
              </w:rPr>
            </w:pPr>
          </w:p>
        </w:tc>
        <w:tc>
          <w:tcPr>
            <w:tcW w:w="1600" w:type="dxa"/>
            <w:noWrap w:val="0"/>
            <w:vAlign w:val="center"/>
          </w:tcPr>
          <w:p w14:paraId="764EAF85">
            <w:pPr>
              <w:widowControl/>
              <w:spacing w:line="360" w:lineRule="atLeast"/>
              <w:ind w:firstLine="487" w:firstLineChars="196"/>
              <w:jc w:val="left"/>
              <w:outlineLvl w:val="1"/>
              <w:rPr>
                <w:rFonts w:ascii="宋体"/>
                <w:color w:val="auto"/>
                <w:sz w:val="24"/>
              </w:rPr>
            </w:pPr>
          </w:p>
        </w:tc>
        <w:tc>
          <w:tcPr>
            <w:tcW w:w="2072" w:type="dxa"/>
            <w:noWrap w:val="0"/>
            <w:vAlign w:val="center"/>
          </w:tcPr>
          <w:p w14:paraId="7085545D">
            <w:pPr>
              <w:widowControl/>
              <w:spacing w:line="360" w:lineRule="atLeast"/>
              <w:ind w:firstLine="487" w:firstLineChars="196"/>
              <w:jc w:val="left"/>
              <w:outlineLvl w:val="1"/>
              <w:rPr>
                <w:rFonts w:ascii="宋体"/>
                <w:color w:val="auto"/>
                <w:sz w:val="24"/>
              </w:rPr>
            </w:pPr>
          </w:p>
        </w:tc>
        <w:tc>
          <w:tcPr>
            <w:tcW w:w="2835" w:type="dxa"/>
            <w:noWrap w:val="0"/>
            <w:vAlign w:val="center"/>
          </w:tcPr>
          <w:p w14:paraId="3080D694">
            <w:pPr>
              <w:widowControl/>
              <w:spacing w:line="360" w:lineRule="atLeast"/>
              <w:ind w:firstLine="487" w:firstLineChars="196"/>
              <w:jc w:val="left"/>
              <w:outlineLvl w:val="1"/>
              <w:rPr>
                <w:rFonts w:ascii="宋体"/>
                <w:color w:val="auto"/>
                <w:sz w:val="24"/>
              </w:rPr>
            </w:pPr>
          </w:p>
        </w:tc>
        <w:tc>
          <w:tcPr>
            <w:tcW w:w="643" w:type="dxa"/>
            <w:noWrap w:val="0"/>
            <w:vAlign w:val="center"/>
          </w:tcPr>
          <w:p w14:paraId="0303119D">
            <w:pPr>
              <w:widowControl/>
              <w:spacing w:line="360" w:lineRule="atLeast"/>
              <w:ind w:firstLine="487" w:firstLineChars="196"/>
              <w:jc w:val="left"/>
              <w:outlineLvl w:val="1"/>
              <w:rPr>
                <w:rFonts w:ascii="宋体"/>
                <w:color w:val="auto"/>
                <w:sz w:val="24"/>
              </w:rPr>
            </w:pPr>
          </w:p>
        </w:tc>
      </w:tr>
    </w:tbl>
    <w:p w14:paraId="681BD0F9">
      <w:pPr>
        <w:spacing w:line="240" w:lineRule="exact"/>
        <w:jc w:val="center"/>
        <w:rPr>
          <w:rFonts w:ascii="宋体" w:hAnsi="宋体"/>
          <w:b/>
          <w:bCs/>
          <w:color w:val="auto"/>
          <w:sz w:val="30"/>
        </w:rPr>
      </w:pPr>
    </w:p>
    <w:p w14:paraId="3F02D388">
      <w:pPr>
        <w:spacing w:line="240" w:lineRule="exact"/>
        <w:jc w:val="center"/>
        <w:rPr>
          <w:rFonts w:ascii="宋体" w:hAnsi="宋体"/>
          <w:b/>
          <w:bCs/>
          <w:color w:val="auto"/>
          <w:sz w:val="30"/>
        </w:rPr>
      </w:pPr>
    </w:p>
    <w:p w14:paraId="5CAEB8D7">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64F333F">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3547617A">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43E8CCCE">
      <w:pPr>
        <w:pStyle w:val="154"/>
        <w:spacing w:line="500" w:lineRule="exact"/>
        <w:jc w:val="both"/>
        <w:rPr>
          <w:rFonts w:hAnsi="宋体"/>
          <w:b w:val="0"/>
          <w:color w:val="auto"/>
          <w:kern w:val="2"/>
          <w:sz w:val="21"/>
          <w:szCs w:val="21"/>
        </w:rPr>
      </w:pPr>
    </w:p>
    <w:p w14:paraId="676CA748">
      <w:pPr>
        <w:pStyle w:val="154"/>
        <w:spacing w:line="500" w:lineRule="exact"/>
        <w:jc w:val="both"/>
        <w:rPr>
          <w:rFonts w:hAnsi="宋体"/>
          <w:b w:val="0"/>
          <w:color w:val="auto"/>
          <w:kern w:val="2"/>
          <w:sz w:val="21"/>
          <w:szCs w:val="21"/>
        </w:rPr>
      </w:pPr>
      <w:r>
        <w:rPr>
          <w:rFonts w:hint="eastAsia" w:hAnsi="宋体"/>
          <w:b w:val="0"/>
          <w:color w:val="auto"/>
          <w:kern w:val="2"/>
          <w:sz w:val="21"/>
          <w:szCs w:val="21"/>
        </w:rPr>
        <w:t>注：以上案例需按照比选要求提供有关书面证明材料。</w:t>
      </w:r>
    </w:p>
    <w:p w14:paraId="3D6D0001">
      <w:pPr>
        <w:pStyle w:val="154"/>
        <w:spacing w:line="500" w:lineRule="exact"/>
        <w:jc w:val="both"/>
        <w:rPr>
          <w:rFonts w:hAnsi="宋体"/>
          <w:b w:val="0"/>
          <w:color w:val="auto"/>
          <w:kern w:val="2"/>
          <w:sz w:val="21"/>
          <w:szCs w:val="21"/>
        </w:rPr>
      </w:pPr>
    </w:p>
    <w:p w14:paraId="4309B900">
      <w:pPr>
        <w:pStyle w:val="154"/>
        <w:spacing w:line="500" w:lineRule="exact"/>
        <w:jc w:val="both"/>
        <w:rPr>
          <w:rFonts w:hAnsi="宋体"/>
          <w:b w:val="0"/>
          <w:color w:val="auto"/>
          <w:kern w:val="2"/>
          <w:sz w:val="21"/>
          <w:szCs w:val="21"/>
        </w:rPr>
      </w:pPr>
    </w:p>
    <w:bookmarkEnd w:id="42"/>
    <w:p w14:paraId="3E839B99">
      <w:pPr>
        <w:pStyle w:val="3"/>
        <w:jc w:val="center"/>
        <w:rPr>
          <w:rFonts w:ascii="宋体" w:hAnsi="宋体"/>
          <w:color w:val="auto"/>
          <w:sz w:val="28"/>
          <w:szCs w:val="28"/>
        </w:rPr>
      </w:pPr>
      <w:r>
        <w:rPr>
          <w:rFonts w:hint="eastAsia" w:ascii="宋体" w:hAnsi="宋体"/>
          <w:color w:val="auto"/>
          <w:sz w:val="28"/>
          <w:szCs w:val="28"/>
        </w:rPr>
        <w:t>格式八、技术、服务应答表</w:t>
      </w:r>
    </w:p>
    <w:p w14:paraId="51E7A004">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14:paraId="0DEA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7A3E9BA9">
            <w:pPr>
              <w:widowControl/>
              <w:spacing w:line="360" w:lineRule="atLeast"/>
              <w:jc w:val="center"/>
              <w:rPr>
                <w:rFonts w:ascii="宋体"/>
                <w:color w:val="auto"/>
                <w:sz w:val="24"/>
              </w:rPr>
            </w:pPr>
            <w:r>
              <w:rPr>
                <w:rFonts w:hint="eastAsia" w:ascii="宋体"/>
                <w:color w:val="auto"/>
                <w:sz w:val="24"/>
              </w:rPr>
              <w:t>序号</w:t>
            </w:r>
          </w:p>
        </w:tc>
        <w:tc>
          <w:tcPr>
            <w:tcW w:w="1144" w:type="dxa"/>
            <w:noWrap w:val="0"/>
            <w:vAlign w:val="center"/>
          </w:tcPr>
          <w:p w14:paraId="6AE0F1E4">
            <w:pPr>
              <w:widowControl/>
              <w:spacing w:line="360" w:lineRule="atLeast"/>
              <w:jc w:val="center"/>
              <w:rPr>
                <w:rFonts w:ascii="宋体"/>
                <w:color w:val="auto"/>
                <w:sz w:val="24"/>
              </w:rPr>
            </w:pPr>
            <w:r>
              <w:rPr>
                <w:rFonts w:hint="eastAsia" w:ascii="宋体"/>
                <w:color w:val="auto"/>
                <w:sz w:val="24"/>
              </w:rPr>
              <w:t>条目号</w:t>
            </w:r>
          </w:p>
        </w:tc>
        <w:tc>
          <w:tcPr>
            <w:tcW w:w="2268" w:type="dxa"/>
            <w:noWrap w:val="0"/>
            <w:vAlign w:val="center"/>
          </w:tcPr>
          <w:p w14:paraId="14FA19CE">
            <w:pPr>
              <w:widowControl/>
              <w:spacing w:line="360" w:lineRule="atLeast"/>
              <w:jc w:val="center"/>
              <w:rPr>
                <w:rFonts w:ascii="宋体"/>
                <w:color w:val="auto"/>
                <w:sz w:val="24"/>
              </w:rPr>
            </w:pPr>
            <w:r>
              <w:rPr>
                <w:rFonts w:hint="eastAsia" w:ascii="宋体"/>
                <w:color w:val="auto"/>
                <w:sz w:val="24"/>
              </w:rPr>
              <w:t>比选文件要求</w:t>
            </w:r>
          </w:p>
        </w:tc>
        <w:tc>
          <w:tcPr>
            <w:tcW w:w="2829" w:type="dxa"/>
            <w:noWrap w:val="0"/>
            <w:vAlign w:val="center"/>
          </w:tcPr>
          <w:p w14:paraId="4D0A16DC">
            <w:pPr>
              <w:widowControl/>
              <w:spacing w:line="360" w:lineRule="atLeast"/>
              <w:jc w:val="center"/>
              <w:rPr>
                <w:rFonts w:ascii="宋体"/>
                <w:color w:val="auto"/>
                <w:sz w:val="24"/>
              </w:rPr>
            </w:pPr>
            <w:r>
              <w:rPr>
                <w:rFonts w:hint="eastAsia" w:ascii="宋体"/>
                <w:color w:val="auto"/>
                <w:sz w:val="24"/>
              </w:rPr>
              <w:t>比选申请文件应答</w:t>
            </w:r>
          </w:p>
        </w:tc>
        <w:tc>
          <w:tcPr>
            <w:tcW w:w="1614" w:type="dxa"/>
            <w:noWrap w:val="0"/>
            <w:vAlign w:val="center"/>
          </w:tcPr>
          <w:p w14:paraId="403CC8E6">
            <w:pPr>
              <w:widowControl/>
              <w:spacing w:line="360" w:lineRule="atLeast"/>
              <w:jc w:val="center"/>
              <w:rPr>
                <w:rFonts w:ascii="宋体"/>
                <w:color w:val="auto"/>
                <w:sz w:val="24"/>
              </w:rPr>
            </w:pPr>
            <w:r>
              <w:rPr>
                <w:rFonts w:hint="eastAsia" w:ascii="宋体"/>
                <w:color w:val="auto"/>
                <w:sz w:val="24"/>
              </w:rPr>
              <w:t>满足/不满足</w:t>
            </w:r>
          </w:p>
        </w:tc>
      </w:tr>
      <w:tr w14:paraId="6BD3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7F86F163">
            <w:pPr>
              <w:widowControl/>
              <w:spacing w:line="360" w:lineRule="atLeast"/>
              <w:ind w:firstLine="487" w:firstLineChars="196"/>
              <w:jc w:val="left"/>
              <w:rPr>
                <w:rFonts w:ascii="宋体"/>
                <w:color w:val="auto"/>
                <w:sz w:val="24"/>
              </w:rPr>
            </w:pPr>
          </w:p>
        </w:tc>
        <w:tc>
          <w:tcPr>
            <w:tcW w:w="1144" w:type="dxa"/>
            <w:noWrap w:val="0"/>
            <w:vAlign w:val="top"/>
          </w:tcPr>
          <w:p w14:paraId="31F08D80">
            <w:pPr>
              <w:widowControl/>
              <w:spacing w:line="360" w:lineRule="atLeast"/>
              <w:ind w:firstLine="487" w:firstLineChars="196"/>
              <w:jc w:val="left"/>
              <w:rPr>
                <w:rFonts w:ascii="宋体"/>
                <w:color w:val="auto"/>
                <w:sz w:val="24"/>
              </w:rPr>
            </w:pPr>
          </w:p>
        </w:tc>
        <w:tc>
          <w:tcPr>
            <w:tcW w:w="2268" w:type="dxa"/>
            <w:noWrap w:val="0"/>
            <w:vAlign w:val="top"/>
          </w:tcPr>
          <w:p w14:paraId="2AA98D77">
            <w:pPr>
              <w:widowControl/>
              <w:spacing w:line="360" w:lineRule="atLeast"/>
              <w:ind w:firstLine="487" w:firstLineChars="196"/>
              <w:jc w:val="left"/>
              <w:rPr>
                <w:rFonts w:ascii="宋体"/>
                <w:color w:val="auto"/>
                <w:sz w:val="24"/>
              </w:rPr>
            </w:pPr>
          </w:p>
        </w:tc>
        <w:tc>
          <w:tcPr>
            <w:tcW w:w="2829" w:type="dxa"/>
            <w:noWrap w:val="0"/>
            <w:vAlign w:val="top"/>
          </w:tcPr>
          <w:p w14:paraId="4B3A58FC">
            <w:pPr>
              <w:widowControl/>
              <w:spacing w:line="360" w:lineRule="atLeast"/>
              <w:ind w:firstLine="487" w:firstLineChars="196"/>
              <w:jc w:val="left"/>
              <w:rPr>
                <w:rFonts w:ascii="宋体"/>
                <w:color w:val="auto"/>
                <w:sz w:val="24"/>
              </w:rPr>
            </w:pPr>
          </w:p>
        </w:tc>
        <w:tc>
          <w:tcPr>
            <w:tcW w:w="1614" w:type="dxa"/>
            <w:noWrap w:val="0"/>
            <w:vAlign w:val="top"/>
          </w:tcPr>
          <w:p w14:paraId="1C69334F">
            <w:pPr>
              <w:widowControl/>
              <w:spacing w:line="360" w:lineRule="atLeast"/>
              <w:ind w:firstLine="487" w:firstLineChars="196"/>
              <w:jc w:val="left"/>
              <w:rPr>
                <w:rFonts w:ascii="宋体"/>
                <w:color w:val="auto"/>
                <w:sz w:val="24"/>
              </w:rPr>
            </w:pPr>
          </w:p>
        </w:tc>
      </w:tr>
      <w:tr w14:paraId="25B0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7BD957A5">
            <w:pPr>
              <w:widowControl/>
              <w:spacing w:line="360" w:lineRule="atLeast"/>
              <w:ind w:firstLine="487" w:firstLineChars="196"/>
              <w:jc w:val="left"/>
              <w:rPr>
                <w:rFonts w:ascii="宋体"/>
                <w:color w:val="auto"/>
                <w:sz w:val="24"/>
              </w:rPr>
            </w:pPr>
          </w:p>
        </w:tc>
        <w:tc>
          <w:tcPr>
            <w:tcW w:w="1144" w:type="dxa"/>
            <w:noWrap w:val="0"/>
            <w:vAlign w:val="top"/>
          </w:tcPr>
          <w:p w14:paraId="31EF3DD9">
            <w:pPr>
              <w:widowControl/>
              <w:spacing w:line="360" w:lineRule="atLeast"/>
              <w:ind w:firstLine="487" w:firstLineChars="196"/>
              <w:jc w:val="left"/>
              <w:rPr>
                <w:rFonts w:ascii="宋体"/>
                <w:color w:val="auto"/>
                <w:sz w:val="24"/>
              </w:rPr>
            </w:pPr>
          </w:p>
        </w:tc>
        <w:tc>
          <w:tcPr>
            <w:tcW w:w="2268" w:type="dxa"/>
            <w:noWrap w:val="0"/>
            <w:vAlign w:val="top"/>
          </w:tcPr>
          <w:p w14:paraId="50B014E8">
            <w:pPr>
              <w:widowControl/>
              <w:spacing w:line="360" w:lineRule="atLeast"/>
              <w:ind w:firstLine="487" w:firstLineChars="196"/>
              <w:jc w:val="left"/>
              <w:rPr>
                <w:rFonts w:ascii="宋体"/>
                <w:color w:val="auto"/>
                <w:sz w:val="24"/>
              </w:rPr>
            </w:pPr>
          </w:p>
        </w:tc>
        <w:tc>
          <w:tcPr>
            <w:tcW w:w="2829" w:type="dxa"/>
            <w:noWrap w:val="0"/>
            <w:vAlign w:val="top"/>
          </w:tcPr>
          <w:p w14:paraId="45B39DF9">
            <w:pPr>
              <w:widowControl/>
              <w:spacing w:line="360" w:lineRule="atLeast"/>
              <w:ind w:firstLine="487" w:firstLineChars="196"/>
              <w:jc w:val="left"/>
              <w:rPr>
                <w:rFonts w:ascii="宋体"/>
                <w:color w:val="auto"/>
                <w:sz w:val="24"/>
              </w:rPr>
            </w:pPr>
          </w:p>
        </w:tc>
        <w:tc>
          <w:tcPr>
            <w:tcW w:w="1614" w:type="dxa"/>
            <w:noWrap w:val="0"/>
            <w:vAlign w:val="top"/>
          </w:tcPr>
          <w:p w14:paraId="6794B6DC">
            <w:pPr>
              <w:widowControl/>
              <w:spacing w:line="360" w:lineRule="atLeast"/>
              <w:ind w:firstLine="487" w:firstLineChars="196"/>
              <w:jc w:val="left"/>
              <w:rPr>
                <w:rFonts w:ascii="宋体"/>
                <w:color w:val="auto"/>
                <w:sz w:val="24"/>
              </w:rPr>
            </w:pPr>
          </w:p>
        </w:tc>
      </w:tr>
      <w:tr w14:paraId="4280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015E5250">
            <w:pPr>
              <w:widowControl/>
              <w:spacing w:line="360" w:lineRule="atLeast"/>
              <w:ind w:firstLine="487" w:firstLineChars="196"/>
              <w:jc w:val="left"/>
              <w:rPr>
                <w:rFonts w:ascii="宋体"/>
                <w:color w:val="auto"/>
                <w:sz w:val="24"/>
              </w:rPr>
            </w:pPr>
          </w:p>
        </w:tc>
        <w:tc>
          <w:tcPr>
            <w:tcW w:w="1144" w:type="dxa"/>
            <w:noWrap w:val="0"/>
            <w:vAlign w:val="top"/>
          </w:tcPr>
          <w:p w14:paraId="3C6C15D1">
            <w:pPr>
              <w:widowControl/>
              <w:spacing w:line="360" w:lineRule="atLeast"/>
              <w:ind w:firstLine="487" w:firstLineChars="196"/>
              <w:jc w:val="left"/>
              <w:rPr>
                <w:rFonts w:ascii="宋体"/>
                <w:color w:val="auto"/>
                <w:sz w:val="24"/>
              </w:rPr>
            </w:pPr>
          </w:p>
        </w:tc>
        <w:tc>
          <w:tcPr>
            <w:tcW w:w="2268" w:type="dxa"/>
            <w:noWrap w:val="0"/>
            <w:vAlign w:val="top"/>
          </w:tcPr>
          <w:p w14:paraId="75AD4CF9">
            <w:pPr>
              <w:widowControl/>
              <w:spacing w:line="360" w:lineRule="atLeast"/>
              <w:ind w:firstLine="487" w:firstLineChars="196"/>
              <w:jc w:val="left"/>
              <w:rPr>
                <w:rFonts w:ascii="宋体"/>
                <w:color w:val="auto"/>
                <w:sz w:val="24"/>
              </w:rPr>
            </w:pPr>
          </w:p>
        </w:tc>
        <w:tc>
          <w:tcPr>
            <w:tcW w:w="2829" w:type="dxa"/>
            <w:noWrap w:val="0"/>
            <w:vAlign w:val="top"/>
          </w:tcPr>
          <w:p w14:paraId="4068B309">
            <w:pPr>
              <w:widowControl/>
              <w:spacing w:line="360" w:lineRule="atLeast"/>
              <w:ind w:firstLine="487" w:firstLineChars="196"/>
              <w:jc w:val="left"/>
              <w:rPr>
                <w:rFonts w:ascii="宋体"/>
                <w:color w:val="auto"/>
                <w:sz w:val="24"/>
              </w:rPr>
            </w:pPr>
          </w:p>
        </w:tc>
        <w:tc>
          <w:tcPr>
            <w:tcW w:w="1614" w:type="dxa"/>
            <w:noWrap w:val="0"/>
            <w:vAlign w:val="top"/>
          </w:tcPr>
          <w:p w14:paraId="62A51AC4">
            <w:pPr>
              <w:widowControl/>
              <w:spacing w:line="360" w:lineRule="atLeast"/>
              <w:ind w:firstLine="487" w:firstLineChars="196"/>
              <w:jc w:val="left"/>
              <w:rPr>
                <w:rFonts w:ascii="宋体"/>
                <w:color w:val="auto"/>
                <w:sz w:val="24"/>
              </w:rPr>
            </w:pPr>
          </w:p>
        </w:tc>
      </w:tr>
      <w:tr w14:paraId="3C03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59C5C68">
            <w:pPr>
              <w:widowControl/>
              <w:spacing w:line="360" w:lineRule="atLeast"/>
              <w:ind w:firstLine="487" w:firstLineChars="196"/>
              <w:jc w:val="left"/>
              <w:rPr>
                <w:rFonts w:ascii="宋体"/>
                <w:color w:val="auto"/>
                <w:sz w:val="24"/>
              </w:rPr>
            </w:pPr>
          </w:p>
        </w:tc>
        <w:tc>
          <w:tcPr>
            <w:tcW w:w="1144" w:type="dxa"/>
            <w:noWrap w:val="0"/>
            <w:vAlign w:val="top"/>
          </w:tcPr>
          <w:p w14:paraId="47F380BE">
            <w:pPr>
              <w:widowControl/>
              <w:spacing w:line="360" w:lineRule="atLeast"/>
              <w:ind w:firstLine="487" w:firstLineChars="196"/>
              <w:jc w:val="left"/>
              <w:rPr>
                <w:rFonts w:ascii="宋体"/>
                <w:color w:val="auto"/>
                <w:sz w:val="24"/>
              </w:rPr>
            </w:pPr>
          </w:p>
        </w:tc>
        <w:tc>
          <w:tcPr>
            <w:tcW w:w="2268" w:type="dxa"/>
            <w:noWrap w:val="0"/>
            <w:vAlign w:val="top"/>
          </w:tcPr>
          <w:p w14:paraId="02380945">
            <w:pPr>
              <w:widowControl/>
              <w:spacing w:line="360" w:lineRule="atLeast"/>
              <w:ind w:firstLine="487" w:firstLineChars="196"/>
              <w:jc w:val="left"/>
              <w:rPr>
                <w:rFonts w:ascii="宋体"/>
                <w:color w:val="auto"/>
                <w:sz w:val="24"/>
              </w:rPr>
            </w:pPr>
          </w:p>
        </w:tc>
        <w:tc>
          <w:tcPr>
            <w:tcW w:w="2829" w:type="dxa"/>
            <w:noWrap w:val="0"/>
            <w:vAlign w:val="top"/>
          </w:tcPr>
          <w:p w14:paraId="59B51849">
            <w:pPr>
              <w:widowControl/>
              <w:spacing w:line="360" w:lineRule="atLeast"/>
              <w:ind w:firstLine="487" w:firstLineChars="196"/>
              <w:jc w:val="left"/>
              <w:rPr>
                <w:rFonts w:ascii="宋体"/>
                <w:color w:val="auto"/>
                <w:sz w:val="24"/>
              </w:rPr>
            </w:pPr>
          </w:p>
        </w:tc>
        <w:tc>
          <w:tcPr>
            <w:tcW w:w="1614" w:type="dxa"/>
            <w:noWrap w:val="0"/>
            <w:vAlign w:val="top"/>
          </w:tcPr>
          <w:p w14:paraId="4BE8F7A3">
            <w:pPr>
              <w:widowControl/>
              <w:spacing w:line="360" w:lineRule="atLeast"/>
              <w:ind w:firstLine="487" w:firstLineChars="196"/>
              <w:jc w:val="left"/>
              <w:rPr>
                <w:rFonts w:ascii="宋体"/>
                <w:color w:val="auto"/>
                <w:sz w:val="24"/>
              </w:rPr>
            </w:pPr>
          </w:p>
        </w:tc>
      </w:tr>
      <w:tr w14:paraId="71DA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0C05FCCC">
            <w:pPr>
              <w:widowControl/>
              <w:spacing w:line="360" w:lineRule="atLeast"/>
              <w:ind w:firstLine="487" w:firstLineChars="196"/>
              <w:jc w:val="left"/>
              <w:rPr>
                <w:rFonts w:ascii="宋体"/>
                <w:color w:val="auto"/>
                <w:sz w:val="24"/>
              </w:rPr>
            </w:pPr>
          </w:p>
        </w:tc>
        <w:tc>
          <w:tcPr>
            <w:tcW w:w="1144" w:type="dxa"/>
            <w:noWrap w:val="0"/>
            <w:vAlign w:val="top"/>
          </w:tcPr>
          <w:p w14:paraId="71803F3E">
            <w:pPr>
              <w:widowControl/>
              <w:spacing w:line="360" w:lineRule="atLeast"/>
              <w:ind w:firstLine="487" w:firstLineChars="196"/>
              <w:jc w:val="left"/>
              <w:rPr>
                <w:rFonts w:ascii="宋体"/>
                <w:color w:val="auto"/>
                <w:sz w:val="24"/>
              </w:rPr>
            </w:pPr>
          </w:p>
        </w:tc>
        <w:tc>
          <w:tcPr>
            <w:tcW w:w="2268" w:type="dxa"/>
            <w:noWrap w:val="0"/>
            <w:vAlign w:val="top"/>
          </w:tcPr>
          <w:p w14:paraId="6C9110F9">
            <w:pPr>
              <w:widowControl/>
              <w:spacing w:line="360" w:lineRule="atLeast"/>
              <w:ind w:firstLine="487" w:firstLineChars="196"/>
              <w:jc w:val="left"/>
              <w:rPr>
                <w:rFonts w:ascii="宋体"/>
                <w:color w:val="auto"/>
                <w:sz w:val="24"/>
              </w:rPr>
            </w:pPr>
          </w:p>
        </w:tc>
        <w:tc>
          <w:tcPr>
            <w:tcW w:w="2829" w:type="dxa"/>
            <w:noWrap w:val="0"/>
            <w:vAlign w:val="top"/>
          </w:tcPr>
          <w:p w14:paraId="61940A26">
            <w:pPr>
              <w:widowControl/>
              <w:spacing w:line="360" w:lineRule="atLeast"/>
              <w:ind w:firstLine="487" w:firstLineChars="196"/>
              <w:jc w:val="left"/>
              <w:rPr>
                <w:rFonts w:ascii="宋体"/>
                <w:color w:val="auto"/>
                <w:sz w:val="24"/>
              </w:rPr>
            </w:pPr>
          </w:p>
        </w:tc>
        <w:tc>
          <w:tcPr>
            <w:tcW w:w="1614" w:type="dxa"/>
            <w:noWrap w:val="0"/>
            <w:vAlign w:val="top"/>
          </w:tcPr>
          <w:p w14:paraId="0184DCBE">
            <w:pPr>
              <w:widowControl/>
              <w:spacing w:line="360" w:lineRule="atLeast"/>
              <w:ind w:firstLine="487" w:firstLineChars="196"/>
              <w:jc w:val="left"/>
              <w:rPr>
                <w:rFonts w:ascii="宋体"/>
                <w:color w:val="auto"/>
                <w:sz w:val="24"/>
              </w:rPr>
            </w:pPr>
          </w:p>
        </w:tc>
      </w:tr>
      <w:tr w14:paraId="6103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31F0AA3B">
            <w:pPr>
              <w:widowControl/>
              <w:spacing w:line="360" w:lineRule="atLeast"/>
              <w:ind w:firstLine="487" w:firstLineChars="196"/>
              <w:jc w:val="left"/>
              <w:rPr>
                <w:rFonts w:ascii="宋体"/>
                <w:color w:val="auto"/>
                <w:sz w:val="24"/>
              </w:rPr>
            </w:pPr>
          </w:p>
        </w:tc>
        <w:tc>
          <w:tcPr>
            <w:tcW w:w="1144" w:type="dxa"/>
            <w:noWrap w:val="0"/>
            <w:vAlign w:val="top"/>
          </w:tcPr>
          <w:p w14:paraId="2EFA4DC1">
            <w:pPr>
              <w:widowControl/>
              <w:spacing w:line="360" w:lineRule="atLeast"/>
              <w:ind w:firstLine="487" w:firstLineChars="196"/>
              <w:jc w:val="left"/>
              <w:rPr>
                <w:rFonts w:ascii="宋体"/>
                <w:color w:val="auto"/>
                <w:sz w:val="24"/>
              </w:rPr>
            </w:pPr>
          </w:p>
        </w:tc>
        <w:tc>
          <w:tcPr>
            <w:tcW w:w="2268" w:type="dxa"/>
            <w:noWrap w:val="0"/>
            <w:vAlign w:val="top"/>
          </w:tcPr>
          <w:p w14:paraId="6B141895">
            <w:pPr>
              <w:widowControl/>
              <w:spacing w:line="360" w:lineRule="atLeast"/>
              <w:ind w:firstLine="487" w:firstLineChars="196"/>
              <w:jc w:val="left"/>
              <w:rPr>
                <w:rFonts w:ascii="宋体"/>
                <w:color w:val="auto"/>
                <w:sz w:val="24"/>
              </w:rPr>
            </w:pPr>
          </w:p>
        </w:tc>
        <w:tc>
          <w:tcPr>
            <w:tcW w:w="2829" w:type="dxa"/>
            <w:noWrap w:val="0"/>
            <w:vAlign w:val="top"/>
          </w:tcPr>
          <w:p w14:paraId="3D346AC2">
            <w:pPr>
              <w:widowControl/>
              <w:spacing w:line="360" w:lineRule="atLeast"/>
              <w:ind w:firstLine="487" w:firstLineChars="196"/>
              <w:jc w:val="left"/>
              <w:rPr>
                <w:rFonts w:ascii="宋体"/>
                <w:color w:val="auto"/>
                <w:sz w:val="24"/>
              </w:rPr>
            </w:pPr>
          </w:p>
        </w:tc>
        <w:tc>
          <w:tcPr>
            <w:tcW w:w="1614" w:type="dxa"/>
            <w:noWrap w:val="0"/>
            <w:vAlign w:val="top"/>
          </w:tcPr>
          <w:p w14:paraId="6814DC32">
            <w:pPr>
              <w:widowControl/>
              <w:spacing w:line="360" w:lineRule="atLeast"/>
              <w:ind w:firstLine="487" w:firstLineChars="196"/>
              <w:jc w:val="left"/>
              <w:rPr>
                <w:rFonts w:ascii="宋体"/>
                <w:color w:val="auto"/>
                <w:sz w:val="24"/>
              </w:rPr>
            </w:pPr>
          </w:p>
        </w:tc>
      </w:tr>
      <w:tr w14:paraId="37AC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35284BC6">
            <w:pPr>
              <w:widowControl/>
              <w:spacing w:line="360" w:lineRule="atLeast"/>
              <w:ind w:firstLine="487" w:firstLineChars="196"/>
              <w:jc w:val="left"/>
              <w:rPr>
                <w:rFonts w:ascii="宋体"/>
                <w:color w:val="auto"/>
                <w:sz w:val="24"/>
              </w:rPr>
            </w:pPr>
          </w:p>
        </w:tc>
        <w:tc>
          <w:tcPr>
            <w:tcW w:w="1144" w:type="dxa"/>
            <w:noWrap w:val="0"/>
            <w:vAlign w:val="top"/>
          </w:tcPr>
          <w:p w14:paraId="360366BF">
            <w:pPr>
              <w:widowControl/>
              <w:spacing w:line="360" w:lineRule="atLeast"/>
              <w:ind w:firstLine="487" w:firstLineChars="196"/>
              <w:jc w:val="left"/>
              <w:rPr>
                <w:rFonts w:ascii="宋体"/>
                <w:color w:val="auto"/>
                <w:sz w:val="24"/>
              </w:rPr>
            </w:pPr>
          </w:p>
        </w:tc>
        <w:tc>
          <w:tcPr>
            <w:tcW w:w="2268" w:type="dxa"/>
            <w:noWrap w:val="0"/>
            <w:vAlign w:val="top"/>
          </w:tcPr>
          <w:p w14:paraId="4AFA18BC">
            <w:pPr>
              <w:widowControl/>
              <w:spacing w:line="360" w:lineRule="atLeast"/>
              <w:ind w:firstLine="487" w:firstLineChars="196"/>
              <w:jc w:val="left"/>
              <w:rPr>
                <w:rFonts w:ascii="宋体"/>
                <w:color w:val="auto"/>
                <w:sz w:val="24"/>
              </w:rPr>
            </w:pPr>
          </w:p>
        </w:tc>
        <w:tc>
          <w:tcPr>
            <w:tcW w:w="2829" w:type="dxa"/>
            <w:noWrap w:val="0"/>
            <w:vAlign w:val="top"/>
          </w:tcPr>
          <w:p w14:paraId="14E20A47">
            <w:pPr>
              <w:widowControl/>
              <w:spacing w:line="360" w:lineRule="atLeast"/>
              <w:ind w:firstLine="487" w:firstLineChars="196"/>
              <w:jc w:val="left"/>
              <w:rPr>
                <w:rFonts w:ascii="宋体"/>
                <w:color w:val="auto"/>
                <w:sz w:val="24"/>
              </w:rPr>
            </w:pPr>
          </w:p>
        </w:tc>
        <w:tc>
          <w:tcPr>
            <w:tcW w:w="1614" w:type="dxa"/>
            <w:noWrap w:val="0"/>
            <w:vAlign w:val="top"/>
          </w:tcPr>
          <w:p w14:paraId="499436C9">
            <w:pPr>
              <w:widowControl/>
              <w:spacing w:line="360" w:lineRule="atLeast"/>
              <w:ind w:firstLine="487" w:firstLineChars="196"/>
              <w:jc w:val="left"/>
              <w:rPr>
                <w:rFonts w:ascii="宋体"/>
                <w:color w:val="auto"/>
                <w:sz w:val="24"/>
              </w:rPr>
            </w:pPr>
          </w:p>
        </w:tc>
      </w:tr>
    </w:tbl>
    <w:p w14:paraId="0489E656">
      <w:pPr>
        <w:widowControl/>
        <w:spacing w:line="360" w:lineRule="atLeast"/>
        <w:ind w:firstLine="487" w:firstLineChars="196"/>
        <w:jc w:val="left"/>
        <w:rPr>
          <w:rFonts w:ascii="宋体"/>
          <w:color w:val="auto"/>
          <w:sz w:val="24"/>
        </w:rPr>
      </w:pPr>
    </w:p>
    <w:p w14:paraId="4837BA49">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7E02808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00DA34F">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5887B4E8">
      <w:pPr>
        <w:widowControl/>
        <w:spacing w:line="360" w:lineRule="atLeast"/>
        <w:ind w:firstLine="487" w:firstLineChars="196"/>
        <w:jc w:val="left"/>
        <w:rPr>
          <w:rFonts w:ascii="宋体"/>
          <w:color w:val="auto"/>
          <w:sz w:val="24"/>
        </w:rPr>
      </w:pPr>
    </w:p>
    <w:p w14:paraId="2D12B311">
      <w:pPr>
        <w:widowControl/>
        <w:spacing w:line="360" w:lineRule="atLeast"/>
        <w:ind w:firstLine="487" w:firstLineChars="196"/>
        <w:jc w:val="left"/>
        <w:rPr>
          <w:rFonts w:ascii="宋体"/>
          <w:color w:val="auto"/>
          <w:sz w:val="24"/>
        </w:rPr>
      </w:pPr>
      <w:r>
        <w:rPr>
          <w:rFonts w:hint="eastAsia" w:ascii="宋体"/>
          <w:color w:val="auto"/>
          <w:sz w:val="24"/>
        </w:rPr>
        <w:t>注：比选申请人必须根据第四章《比选需求》内容据实填写，按</w:t>
      </w:r>
      <w:r>
        <w:rPr>
          <w:rFonts w:hint="eastAsia" w:hAnsi="宋体"/>
          <w:color w:val="auto"/>
          <w:sz w:val="24"/>
        </w:rPr>
        <w:t>顺序逐条应答，</w:t>
      </w:r>
      <w:r>
        <w:rPr>
          <w:rFonts w:hint="eastAsia" w:ascii="宋体"/>
          <w:color w:val="auto"/>
          <w:sz w:val="24"/>
        </w:rPr>
        <w:t>不得虚假应答，否则将取消其申请或中选资格。若比选文件中有要求提供证明材料的服务条款，应当在此表中列出并应答。</w:t>
      </w:r>
    </w:p>
    <w:p w14:paraId="6A51B0B4">
      <w:pPr>
        <w:widowControl/>
        <w:spacing w:line="360" w:lineRule="atLeast"/>
        <w:ind w:firstLine="487" w:firstLineChars="196"/>
        <w:jc w:val="left"/>
        <w:rPr>
          <w:rFonts w:ascii="宋体"/>
          <w:color w:val="auto"/>
          <w:sz w:val="24"/>
        </w:rPr>
      </w:pPr>
    </w:p>
    <w:p w14:paraId="342A48C3">
      <w:pPr>
        <w:widowControl/>
        <w:spacing w:line="360" w:lineRule="atLeast"/>
        <w:ind w:firstLine="487" w:firstLineChars="196"/>
        <w:jc w:val="left"/>
        <w:rPr>
          <w:rFonts w:ascii="宋体"/>
          <w:color w:val="auto"/>
          <w:sz w:val="24"/>
        </w:rPr>
      </w:pPr>
    </w:p>
    <w:p w14:paraId="029D2178">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格式九、</w:t>
      </w:r>
      <w:bookmarkEnd w:id="43"/>
      <w:r>
        <w:rPr>
          <w:rFonts w:hint="eastAsia" w:ascii="宋体" w:hAnsi="宋体"/>
          <w:color w:val="auto"/>
          <w:sz w:val="28"/>
          <w:szCs w:val="28"/>
        </w:rPr>
        <w:t>承诺函</w:t>
      </w:r>
    </w:p>
    <w:p w14:paraId="50852992">
      <w:pPr>
        <w:widowControl/>
        <w:spacing w:line="360" w:lineRule="atLeast"/>
        <w:jc w:val="left"/>
        <w:rPr>
          <w:rFonts w:hint="eastAsia" w:ascii="宋体"/>
          <w:color w:val="auto"/>
          <w:sz w:val="24"/>
          <w:u w:val="single"/>
        </w:rPr>
      </w:pPr>
      <w:r>
        <w:rPr>
          <w:rFonts w:hint="eastAsia" w:ascii="宋体"/>
          <w:color w:val="auto"/>
          <w:sz w:val="24"/>
        </w:rPr>
        <w:t>致：</w:t>
      </w:r>
      <w:r>
        <w:rPr>
          <w:rFonts w:hint="eastAsia" w:ascii="宋体"/>
          <w:color w:val="auto"/>
          <w:sz w:val="24"/>
          <w:u w:val="single"/>
        </w:rPr>
        <w:t>金堂县第一人民医院</w:t>
      </w:r>
    </w:p>
    <w:p w14:paraId="4606F1A2">
      <w:pPr>
        <w:widowControl/>
        <w:spacing w:line="360" w:lineRule="atLeast"/>
        <w:ind w:firstLine="487" w:firstLineChars="196"/>
        <w:jc w:val="left"/>
        <w:rPr>
          <w:rFonts w:ascii="宋体"/>
          <w:color w:val="auto"/>
          <w:sz w:val="24"/>
        </w:rPr>
      </w:pPr>
      <w:r>
        <w:rPr>
          <w:rFonts w:hint="eastAsia" w:ascii="宋体"/>
          <w:color w:val="auto"/>
          <w:sz w:val="24"/>
        </w:rPr>
        <w:t>本公司</w:t>
      </w:r>
      <w:r>
        <w:rPr>
          <w:rFonts w:hint="eastAsia" w:ascii="宋体"/>
          <w:color w:val="auto"/>
          <w:sz w:val="24"/>
          <w:u w:val="single"/>
        </w:rPr>
        <w:t xml:space="preserve">         （比选申请人名称）</w:t>
      </w:r>
      <w:r>
        <w:rPr>
          <w:rFonts w:hint="eastAsia" w:ascii="宋体"/>
          <w:color w:val="auto"/>
          <w:sz w:val="24"/>
        </w:rPr>
        <w:t>参加</w:t>
      </w:r>
      <w:r>
        <w:rPr>
          <w:rFonts w:hint="eastAsia" w:ascii="宋体"/>
          <w:color w:val="auto"/>
          <w:sz w:val="24"/>
          <w:u w:val="single"/>
        </w:rPr>
        <w:t xml:space="preserve">      （项目名称） （项目编号：          ）</w:t>
      </w:r>
      <w:r>
        <w:rPr>
          <w:rFonts w:hint="eastAsia" w:ascii="宋体"/>
          <w:color w:val="auto"/>
          <w:sz w:val="24"/>
        </w:rPr>
        <w:t>的比选活动，现针对以下条款，郑重承诺：</w:t>
      </w:r>
    </w:p>
    <w:p w14:paraId="47E80BC1">
      <w:pPr>
        <w:spacing w:line="480" w:lineRule="auto"/>
        <w:ind w:firstLine="498" w:firstLineChars="200"/>
        <w:rPr>
          <w:rFonts w:hAnsi="宋体"/>
          <w:color w:val="auto"/>
          <w:sz w:val="24"/>
        </w:rPr>
      </w:pPr>
      <w:r>
        <w:rPr>
          <w:rFonts w:hint="eastAsia" w:hAnsi="宋体"/>
          <w:color w:val="auto"/>
          <w:sz w:val="24"/>
        </w:rPr>
        <w:t>（一）具有独立承担民事责任的能力；</w:t>
      </w:r>
    </w:p>
    <w:p w14:paraId="5A878D70">
      <w:pPr>
        <w:spacing w:line="480" w:lineRule="auto"/>
        <w:ind w:firstLine="498" w:firstLineChars="200"/>
        <w:rPr>
          <w:rFonts w:hAnsi="宋体"/>
          <w:color w:val="auto"/>
          <w:sz w:val="24"/>
        </w:rPr>
      </w:pPr>
      <w:r>
        <w:rPr>
          <w:rFonts w:hint="eastAsia" w:hAnsi="宋体"/>
          <w:color w:val="auto"/>
          <w:sz w:val="24"/>
        </w:rPr>
        <w:t>（二）具有良好的商业信誉和健全的财务会计制度；</w:t>
      </w:r>
    </w:p>
    <w:p w14:paraId="2BC653E0">
      <w:pPr>
        <w:spacing w:line="480" w:lineRule="auto"/>
        <w:ind w:firstLine="498" w:firstLineChars="200"/>
        <w:rPr>
          <w:rFonts w:hAnsi="宋体"/>
          <w:color w:val="auto"/>
          <w:sz w:val="24"/>
        </w:rPr>
      </w:pPr>
      <w:r>
        <w:rPr>
          <w:rFonts w:hint="eastAsia" w:hAnsi="宋体"/>
          <w:color w:val="auto"/>
          <w:sz w:val="24"/>
        </w:rPr>
        <w:t>（三）具有履行合同所必需的专业技术能力；</w:t>
      </w:r>
    </w:p>
    <w:p w14:paraId="747F5047">
      <w:pPr>
        <w:spacing w:line="480" w:lineRule="auto"/>
        <w:ind w:firstLine="498" w:firstLineChars="200"/>
        <w:rPr>
          <w:rFonts w:hAnsi="宋体"/>
          <w:color w:val="auto"/>
          <w:sz w:val="24"/>
        </w:rPr>
      </w:pPr>
      <w:r>
        <w:rPr>
          <w:rFonts w:hint="eastAsia" w:hAnsi="宋体"/>
          <w:color w:val="auto"/>
          <w:sz w:val="24"/>
        </w:rPr>
        <w:t>（四）有依法缴纳税收和社会保障资金的良好记录；</w:t>
      </w:r>
    </w:p>
    <w:p w14:paraId="18626338">
      <w:pPr>
        <w:spacing w:line="480" w:lineRule="auto"/>
        <w:ind w:firstLine="498" w:firstLineChars="200"/>
        <w:rPr>
          <w:rFonts w:hAnsi="宋体"/>
          <w:color w:val="auto"/>
          <w:sz w:val="24"/>
        </w:rPr>
      </w:pPr>
      <w:r>
        <w:rPr>
          <w:rFonts w:hint="eastAsia" w:hAnsi="宋体"/>
          <w:color w:val="auto"/>
          <w:sz w:val="24"/>
        </w:rPr>
        <w:t>（五）参加采购活动前三年内，在经营活动中没有重大违法记录；</w:t>
      </w:r>
    </w:p>
    <w:p w14:paraId="534A6694">
      <w:pPr>
        <w:spacing w:line="480" w:lineRule="auto"/>
        <w:ind w:firstLine="498" w:firstLineChars="200"/>
        <w:rPr>
          <w:rFonts w:hint="eastAsia" w:hAnsi="宋体"/>
          <w:color w:val="auto"/>
          <w:sz w:val="24"/>
        </w:rPr>
      </w:pPr>
      <w:r>
        <w:rPr>
          <w:rFonts w:hint="eastAsia" w:hAnsi="宋体"/>
          <w:color w:val="auto"/>
          <w:sz w:val="24"/>
        </w:rPr>
        <w:t>（六）</w:t>
      </w:r>
      <w:r>
        <w:rPr>
          <w:rFonts w:hint="eastAsia" w:ascii="宋体" w:hAnsi="宋体" w:cs="宋体"/>
          <w:color w:val="auto"/>
          <w:sz w:val="24"/>
        </w:rPr>
        <w:t>比选申请人还符合法律、行政法规规定的其他强制性条件</w:t>
      </w:r>
      <w:r>
        <w:rPr>
          <w:rFonts w:hint="eastAsia" w:hAnsi="宋体"/>
          <w:color w:val="auto"/>
          <w:sz w:val="24"/>
        </w:rPr>
        <w:t>；</w:t>
      </w:r>
    </w:p>
    <w:p w14:paraId="51365DD8">
      <w:pPr>
        <w:spacing w:line="480" w:lineRule="auto"/>
        <w:ind w:firstLine="498"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rPr>
        <w:t>根据采购项目提出的特殊条件</w:t>
      </w:r>
      <w:r>
        <w:rPr>
          <w:rFonts w:hint="eastAsia" w:ascii="宋体" w:hAnsi="宋体" w:eastAsia="宋体" w:cs="宋体"/>
          <w:color w:val="auto"/>
          <w:sz w:val="24"/>
          <w:lang w:eastAsia="zh-CN"/>
        </w:rPr>
        <w:t>；</w:t>
      </w:r>
    </w:p>
    <w:p w14:paraId="29F8C343">
      <w:pPr>
        <w:spacing w:line="360" w:lineRule="auto"/>
        <w:ind w:firstLine="498" w:firstLineChars="200"/>
        <w:rPr>
          <w:rFonts w:ascii="宋体" w:hAnsi="宋体"/>
          <w:color w:val="auto"/>
          <w:sz w:val="24"/>
        </w:rPr>
      </w:pPr>
      <w:bookmarkStart w:id="47" w:name="_Toc491724433"/>
      <w:r>
        <w:rPr>
          <w:rFonts w:hint="eastAsia" w:ascii="宋体" w:hAnsi="宋体"/>
          <w:color w:val="auto"/>
          <w:sz w:val="24"/>
        </w:rPr>
        <w:t>（</w:t>
      </w:r>
      <w:r>
        <w:rPr>
          <w:rFonts w:hint="eastAsia" w:ascii="宋体" w:hAnsi="宋体"/>
          <w:color w:val="auto"/>
          <w:sz w:val="24"/>
          <w:lang w:val="en-US" w:eastAsia="zh-CN"/>
        </w:rPr>
        <w:t>八</w:t>
      </w:r>
      <w:r>
        <w:rPr>
          <w:rFonts w:hint="eastAsia" w:ascii="宋体" w:hAnsi="宋体"/>
          <w:color w:val="auto"/>
          <w:sz w:val="24"/>
        </w:rPr>
        <w:t>）参加本次比选采购活动，不存在与单位负责人为同一人或者存在直接控股、管理关系的其他供应商参与同一合同项下的采购活动的行为。</w:t>
      </w:r>
      <w:bookmarkEnd w:id="47"/>
    </w:p>
    <w:p w14:paraId="180BB189">
      <w:pPr>
        <w:spacing w:line="360" w:lineRule="auto"/>
        <w:ind w:firstLine="498" w:firstLineChars="200"/>
        <w:rPr>
          <w:rFonts w:ascii="宋体" w:hAnsi="宋体"/>
          <w:color w:val="auto"/>
          <w:sz w:val="24"/>
        </w:rPr>
      </w:pPr>
      <w:bookmarkStart w:id="48" w:name="_Toc491724434"/>
      <w:r>
        <w:rPr>
          <w:rFonts w:hint="eastAsia" w:ascii="宋体" w:hAnsi="宋体"/>
          <w:color w:val="auto"/>
          <w:sz w:val="24"/>
        </w:rPr>
        <w:t>（</w:t>
      </w:r>
      <w:r>
        <w:rPr>
          <w:rFonts w:hint="eastAsia" w:ascii="宋体" w:hAnsi="宋体"/>
          <w:color w:val="auto"/>
          <w:sz w:val="24"/>
          <w:lang w:val="en-US" w:eastAsia="zh-CN"/>
        </w:rPr>
        <w:t>九</w:t>
      </w:r>
      <w:r>
        <w:rPr>
          <w:rFonts w:hint="eastAsia" w:ascii="宋体" w:hAnsi="宋体"/>
          <w:color w:val="auto"/>
          <w:sz w:val="24"/>
        </w:rPr>
        <w:t>）参加本次比选采购活动，不存在和其他供应商在同一合同项下的采购项目中，同时委托同一个自然人、同一单位的人员作为代理人的行为。</w:t>
      </w:r>
      <w:bookmarkEnd w:id="48"/>
    </w:p>
    <w:p w14:paraId="74EC5151">
      <w:pPr>
        <w:spacing w:line="360" w:lineRule="auto"/>
        <w:ind w:firstLine="498" w:firstLineChars="200"/>
        <w:rPr>
          <w:rFonts w:ascii="宋体" w:hAnsi="宋体"/>
          <w:color w:val="auto"/>
          <w:sz w:val="24"/>
        </w:rPr>
      </w:pPr>
      <w:bookmarkStart w:id="49" w:name="_Toc491724436"/>
      <w:r>
        <w:rPr>
          <w:rFonts w:hint="eastAsia" w:ascii="宋体" w:hAnsi="宋体"/>
          <w:color w:val="auto"/>
          <w:sz w:val="24"/>
        </w:rPr>
        <w:t>（</w:t>
      </w:r>
      <w:r>
        <w:rPr>
          <w:rFonts w:hint="eastAsia" w:ascii="宋体" w:hAnsi="宋体"/>
          <w:color w:val="auto"/>
          <w:sz w:val="24"/>
          <w:lang w:val="en-US" w:eastAsia="zh-CN"/>
        </w:rPr>
        <w:t>十</w:t>
      </w:r>
      <w:r>
        <w:rPr>
          <w:rFonts w:hint="eastAsia" w:ascii="宋体" w:hAnsi="宋体"/>
          <w:color w:val="auto"/>
          <w:sz w:val="24"/>
        </w:rPr>
        <w:t>）响应文件中提供的能够给予我公司带来优惠、好处的任何材料资料和技术、服务、商务等响应承诺情况都是真实的、有效的、合法的。</w:t>
      </w:r>
      <w:bookmarkEnd w:id="49"/>
    </w:p>
    <w:p w14:paraId="2108382A">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w:t>
      </w:r>
      <w:r>
        <w:rPr>
          <w:rFonts w:ascii="宋体" w:hAnsi="宋体"/>
          <w:color w:val="auto"/>
          <w:sz w:val="24"/>
        </w:rPr>
        <w:t>我方将严格按照相关法律法规的要求参与医院采购活动，积极配合医院营造风清气正的亲清营商环境。不以现金、红包、回扣、有价证券、贵重礼品等任何形式影响采购人采购行为。  </w:t>
      </w:r>
    </w:p>
    <w:p w14:paraId="1AB0CE75">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）我公司郑重承诺：不组织、不参与任何陪标、围标、串标行为；绝不以他人名义比选申请，不以任何弄虚作假的方式参加比选申请。</w:t>
      </w:r>
    </w:p>
    <w:p w14:paraId="479747D2">
      <w:pPr>
        <w:spacing w:line="360" w:lineRule="auto"/>
        <w:ind w:firstLine="498" w:firstLineChars="200"/>
        <w:rPr>
          <w:rFonts w:ascii="宋体" w:hAnsi="宋体"/>
          <w:color w:val="auto"/>
          <w:sz w:val="24"/>
        </w:rPr>
      </w:pPr>
      <w:r>
        <w:rPr>
          <w:rFonts w:ascii="宋体" w:hAnsi="宋体"/>
          <w:color w:val="auto"/>
          <w:sz w:val="24"/>
        </w:rPr>
        <w:t>如违反以上承诺，本公司愿承担一切法律责任。</w:t>
      </w:r>
    </w:p>
    <w:p w14:paraId="4AFE5136">
      <w:pPr>
        <w:spacing w:line="360" w:lineRule="auto"/>
        <w:ind w:firstLine="498" w:firstLineChars="200"/>
        <w:rPr>
          <w:rFonts w:ascii="宋体" w:hAnsi="宋体"/>
          <w:color w:val="auto"/>
          <w:sz w:val="24"/>
        </w:rPr>
      </w:pPr>
      <w:bookmarkStart w:id="50" w:name="_Toc491724438"/>
      <w:r>
        <w:rPr>
          <w:rFonts w:hint="eastAsia" w:ascii="宋体" w:hAnsi="宋体"/>
          <w:color w:val="auto"/>
          <w:sz w:val="24"/>
        </w:rPr>
        <w:t>本公司对上述承诺的内容和事项真实性负责。如经查实上述承诺的内容事项存在虚假，我公司愿意接受以提供虚假材料谋取成交追究法律责任。</w:t>
      </w:r>
      <w:bookmarkEnd w:id="50"/>
    </w:p>
    <w:p w14:paraId="4FD10AA0">
      <w:pPr>
        <w:widowControl/>
        <w:spacing w:line="360" w:lineRule="atLeast"/>
        <w:ind w:firstLine="487" w:firstLineChars="196"/>
        <w:jc w:val="left"/>
        <w:rPr>
          <w:rFonts w:ascii="宋体"/>
          <w:color w:val="auto"/>
          <w:sz w:val="24"/>
        </w:rPr>
      </w:pPr>
    </w:p>
    <w:p w14:paraId="1FAF628C">
      <w:pPr>
        <w:widowControl/>
        <w:spacing w:line="360" w:lineRule="atLeast"/>
        <w:ind w:firstLine="487" w:firstLineChars="196"/>
        <w:jc w:val="left"/>
        <w:rPr>
          <w:rFonts w:ascii="宋体"/>
          <w:color w:val="auto"/>
          <w:sz w:val="24"/>
        </w:rPr>
      </w:pPr>
      <w:r>
        <w:rPr>
          <w:rFonts w:hint="eastAsia" w:ascii="宋体"/>
          <w:color w:val="auto"/>
          <w:sz w:val="24"/>
        </w:rPr>
        <w:t>如违反以上承诺，本公司愿承担一切法律责任。</w:t>
      </w:r>
    </w:p>
    <w:p w14:paraId="64611116">
      <w:pPr>
        <w:spacing w:line="360" w:lineRule="auto"/>
        <w:rPr>
          <w:rFonts w:hAnsi="宋体"/>
          <w:color w:val="auto"/>
          <w:sz w:val="24"/>
        </w:rPr>
      </w:pPr>
    </w:p>
    <w:p w14:paraId="15F43E65">
      <w:pPr>
        <w:widowControl/>
        <w:spacing w:line="360" w:lineRule="atLeast"/>
        <w:ind w:firstLine="487" w:firstLineChars="196"/>
        <w:jc w:val="left"/>
        <w:rPr>
          <w:rFonts w:ascii="宋体"/>
          <w:color w:val="auto"/>
          <w:sz w:val="24"/>
        </w:rPr>
      </w:pPr>
      <w:r>
        <w:rPr>
          <w:rFonts w:hint="eastAsia" w:ascii="宋体"/>
          <w:color w:val="auto"/>
          <w:sz w:val="24"/>
        </w:rPr>
        <w:t xml:space="preserve">比选申请人（全称并加盖公章）：                  </w:t>
      </w:r>
    </w:p>
    <w:p w14:paraId="6D1F143B">
      <w:pPr>
        <w:widowControl/>
        <w:spacing w:line="360" w:lineRule="atLeast"/>
        <w:ind w:firstLine="487" w:firstLineChars="196"/>
        <w:jc w:val="left"/>
        <w:rPr>
          <w:rFonts w:ascii="宋体"/>
          <w:color w:val="auto"/>
          <w:sz w:val="24"/>
        </w:rPr>
      </w:pPr>
      <w:r>
        <w:rPr>
          <w:rFonts w:hint="eastAsia" w:ascii="宋体"/>
          <w:color w:val="auto"/>
          <w:sz w:val="24"/>
        </w:rPr>
        <w:t xml:space="preserve">法定代表人或授权代理人（签字）：              </w:t>
      </w:r>
    </w:p>
    <w:p w14:paraId="2D40D645">
      <w:pPr>
        <w:widowControl/>
        <w:spacing w:line="360" w:lineRule="atLeast"/>
        <w:ind w:firstLine="487" w:firstLineChars="196"/>
        <w:jc w:val="left"/>
        <w:rPr>
          <w:rFonts w:hAnsi="宋体"/>
          <w:color w:val="auto"/>
          <w:sz w:val="24"/>
          <w:u w:val="single"/>
        </w:rPr>
      </w:pPr>
      <w:r>
        <w:rPr>
          <w:rFonts w:hint="eastAsia" w:ascii="宋体"/>
          <w:color w:val="auto"/>
          <w:sz w:val="24"/>
        </w:rPr>
        <w:t xml:space="preserve">日      期：        </w:t>
      </w:r>
      <w:r>
        <w:rPr>
          <w:rFonts w:hAnsi="宋体"/>
          <w:color w:val="auto"/>
          <w:sz w:val="24"/>
          <w:u w:val="single"/>
        </w:rPr>
        <w:t xml:space="preserve">                        </w:t>
      </w:r>
    </w:p>
    <w:p w14:paraId="392D1A21">
      <w:pPr>
        <w:spacing w:line="360" w:lineRule="auto"/>
        <w:rPr>
          <w:rFonts w:hAnsi="宋体"/>
          <w:bCs/>
          <w:color w:val="auto"/>
          <w:sz w:val="24"/>
        </w:rPr>
      </w:pPr>
    </w:p>
    <w:p w14:paraId="3CDCFF64">
      <w:pPr>
        <w:widowControl/>
        <w:spacing w:line="360" w:lineRule="atLeast"/>
        <w:ind w:firstLine="487" w:firstLineChars="196"/>
        <w:jc w:val="left"/>
        <w:rPr>
          <w:rFonts w:ascii="黑体" w:eastAsia="黑体"/>
          <w:b/>
          <w:color w:val="auto"/>
          <w:sz w:val="32"/>
          <w:szCs w:val="32"/>
        </w:rPr>
      </w:pPr>
      <w:r>
        <w:rPr>
          <w:rFonts w:hint="eastAsia" w:ascii="宋体"/>
          <w:color w:val="auto"/>
          <w:sz w:val="24"/>
        </w:rPr>
        <w:t>注：1.可自行提供具有有效签字和盖章的格式，但承诺函的内容至少应该包含本格式中涉及的承诺内容。</w:t>
      </w:r>
    </w:p>
    <w:bookmarkEnd w:id="44"/>
    <w:bookmarkEnd w:id="45"/>
    <w:p w14:paraId="0650929F">
      <w:pPr>
        <w:spacing w:line="360" w:lineRule="auto"/>
        <w:rPr>
          <w:rFonts w:hAnsi="宋体"/>
          <w:bCs/>
          <w:color w:val="auto"/>
          <w:sz w:val="24"/>
        </w:rPr>
      </w:pPr>
      <w:bookmarkStart w:id="51" w:name="_Toc325028476"/>
      <w:bookmarkStart w:id="52" w:name="_Toc453578493"/>
      <w:bookmarkStart w:id="53" w:name="_Toc476736029"/>
    </w:p>
    <w:p w14:paraId="5755DC10">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w:t>
      </w:r>
      <w:bookmarkEnd w:id="51"/>
      <w:bookmarkEnd w:id="52"/>
      <w:bookmarkEnd w:id="53"/>
      <w:r>
        <w:rPr>
          <w:rFonts w:hint="eastAsia" w:ascii="宋体" w:hAnsi="宋体"/>
          <w:color w:val="auto"/>
          <w:sz w:val="28"/>
          <w:szCs w:val="28"/>
        </w:rPr>
        <w:t>比选申请人符合资格要求的相关资格证明材料</w:t>
      </w:r>
    </w:p>
    <w:p w14:paraId="06B2A5BF">
      <w:pPr>
        <w:spacing w:line="360" w:lineRule="auto"/>
        <w:ind w:firstLine="560" w:firstLineChars="225"/>
        <w:rPr>
          <w:rFonts w:ascii="宋体" w:cs="Arial"/>
          <w:color w:val="auto"/>
          <w:kern w:val="0"/>
          <w:sz w:val="24"/>
        </w:rPr>
      </w:pPr>
      <w:r>
        <w:rPr>
          <w:rFonts w:hint="eastAsia" w:ascii="宋体" w:cs="Arial"/>
          <w:color w:val="auto"/>
          <w:kern w:val="0"/>
          <w:sz w:val="24"/>
        </w:rPr>
        <w:t>比选申请人根据比选文件第二章9.2（5）条的要求，</w:t>
      </w:r>
      <w:r>
        <w:rPr>
          <w:rFonts w:hint="eastAsia" w:ascii="宋体" w:cs="Arial"/>
          <w:color w:val="auto"/>
          <w:kern w:val="0"/>
          <w:sz w:val="24"/>
          <w:lang w:eastAsia="zh-CN"/>
        </w:rPr>
        <w:t>提供</w:t>
      </w:r>
      <w:r>
        <w:rPr>
          <w:rFonts w:hint="eastAsia" w:ascii="宋体" w:cs="Arial"/>
          <w:color w:val="auto"/>
          <w:kern w:val="0"/>
          <w:sz w:val="24"/>
        </w:rPr>
        <w:t>全部相关证明材料。</w:t>
      </w:r>
    </w:p>
    <w:p w14:paraId="40B2194F">
      <w:pPr>
        <w:spacing w:line="360" w:lineRule="auto"/>
        <w:rPr>
          <w:rFonts w:ascii="宋体" w:cs="Arial"/>
          <w:color w:val="auto"/>
          <w:kern w:val="0"/>
          <w:sz w:val="24"/>
        </w:rPr>
      </w:pPr>
    </w:p>
    <w:p w14:paraId="1756D498">
      <w:pPr>
        <w:spacing w:line="360" w:lineRule="auto"/>
        <w:ind w:firstLine="560" w:firstLineChars="225"/>
        <w:rPr>
          <w:rFonts w:ascii="宋体" w:cs="Arial"/>
          <w:color w:val="auto"/>
          <w:kern w:val="0"/>
          <w:sz w:val="24"/>
        </w:rPr>
      </w:pPr>
    </w:p>
    <w:p w14:paraId="2DEE80D9">
      <w:pPr>
        <w:spacing w:line="360" w:lineRule="auto"/>
        <w:ind w:firstLine="560" w:firstLineChars="225"/>
        <w:rPr>
          <w:rFonts w:ascii="宋体" w:cs="Arial"/>
          <w:color w:val="auto"/>
          <w:kern w:val="0"/>
          <w:sz w:val="24"/>
        </w:rPr>
      </w:pPr>
    </w:p>
    <w:p w14:paraId="7510B74B">
      <w:pPr>
        <w:spacing w:line="360" w:lineRule="auto"/>
        <w:ind w:firstLine="560" w:firstLineChars="225"/>
        <w:rPr>
          <w:rFonts w:ascii="宋体" w:cs="Arial"/>
          <w:color w:val="auto"/>
          <w:kern w:val="0"/>
          <w:sz w:val="24"/>
        </w:rPr>
      </w:pPr>
    </w:p>
    <w:p w14:paraId="656D1790">
      <w:pPr>
        <w:spacing w:line="360" w:lineRule="auto"/>
        <w:ind w:firstLine="560" w:firstLineChars="225"/>
        <w:rPr>
          <w:rFonts w:ascii="宋体" w:cs="Arial"/>
          <w:color w:val="auto"/>
          <w:kern w:val="0"/>
          <w:sz w:val="24"/>
        </w:rPr>
      </w:pPr>
    </w:p>
    <w:p w14:paraId="75443BC8">
      <w:pPr>
        <w:pStyle w:val="3"/>
        <w:jc w:val="both"/>
        <w:rPr>
          <w:rFonts w:hint="eastAsia" w:ascii="宋体" w:hAnsi="宋体"/>
          <w:color w:val="auto"/>
          <w:sz w:val="28"/>
          <w:szCs w:val="28"/>
        </w:rPr>
      </w:pPr>
    </w:p>
    <w:p w14:paraId="764DAE07">
      <w:pPr>
        <w:pStyle w:val="3"/>
        <w:jc w:val="center"/>
        <w:rPr>
          <w:rFonts w:hint="eastAsia" w:ascii="宋体" w:hAnsi="宋体"/>
          <w:color w:val="auto"/>
          <w:sz w:val="28"/>
          <w:szCs w:val="28"/>
        </w:rPr>
      </w:pPr>
    </w:p>
    <w:p w14:paraId="77F9E369">
      <w:pPr>
        <w:pStyle w:val="3"/>
        <w:jc w:val="center"/>
        <w:rPr>
          <w:rFonts w:hint="eastAsia" w:ascii="宋体" w:hAnsi="宋体"/>
          <w:color w:val="auto"/>
          <w:sz w:val="28"/>
          <w:szCs w:val="28"/>
        </w:rPr>
      </w:pPr>
    </w:p>
    <w:p w14:paraId="273CCB79">
      <w:pPr>
        <w:pStyle w:val="3"/>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格式十一、比选申请人认为还需提供的其他材料</w:t>
      </w:r>
    </w:p>
    <w:p w14:paraId="6190AF84">
      <w:pPr>
        <w:pStyle w:val="13"/>
        <w:rPr>
          <w:color w:val="auto"/>
        </w:rPr>
      </w:pPr>
      <w:r>
        <w:rPr>
          <w:rFonts w:hint="eastAsia"/>
          <w:color w:val="auto"/>
        </w:rPr>
        <w:t>比选申请人根据比选文件第五章《综合评分明细表》等的相关要求认为还需提供的其他材料。</w:t>
      </w:r>
    </w:p>
    <w:p w14:paraId="4053BCF1">
      <w:pPr>
        <w:spacing w:line="360" w:lineRule="auto"/>
        <w:ind w:firstLine="560" w:firstLineChars="225"/>
        <w:rPr>
          <w:rFonts w:ascii="宋体" w:cs="Arial"/>
          <w:color w:val="auto"/>
          <w:kern w:val="0"/>
          <w:sz w:val="24"/>
        </w:rPr>
      </w:pPr>
    </w:p>
    <w:p w14:paraId="55504771">
      <w:pPr>
        <w:spacing w:line="360" w:lineRule="auto"/>
        <w:ind w:firstLine="560" w:firstLineChars="225"/>
        <w:rPr>
          <w:rFonts w:ascii="宋体" w:cs="Arial"/>
          <w:color w:val="auto"/>
          <w:kern w:val="0"/>
          <w:sz w:val="24"/>
        </w:rPr>
      </w:pPr>
    </w:p>
    <w:p w14:paraId="1D7F291B">
      <w:pPr>
        <w:spacing w:line="360" w:lineRule="auto"/>
        <w:ind w:firstLine="560" w:firstLineChars="225"/>
        <w:rPr>
          <w:rFonts w:ascii="宋体" w:cs="Arial"/>
          <w:color w:val="auto"/>
          <w:kern w:val="0"/>
          <w:sz w:val="24"/>
        </w:rPr>
      </w:pPr>
    </w:p>
    <w:p w14:paraId="2BCC7792">
      <w:pPr>
        <w:spacing w:line="360" w:lineRule="auto"/>
        <w:ind w:firstLine="560" w:firstLineChars="225"/>
        <w:rPr>
          <w:rFonts w:ascii="宋体" w:cs="Arial"/>
          <w:color w:val="auto"/>
          <w:kern w:val="0"/>
          <w:sz w:val="24"/>
        </w:rPr>
      </w:pPr>
    </w:p>
    <w:p w14:paraId="04E64EE2">
      <w:pPr>
        <w:spacing w:line="360" w:lineRule="auto"/>
        <w:ind w:firstLine="560" w:firstLineChars="225"/>
        <w:rPr>
          <w:rFonts w:ascii="宋体" w:cs="Arial"/>
          <w:color w:val="auto"/>
          <w:kern w:val="0"/>
          <w:sz w:val="24"/>
        </w:rPr>
      </w:pPr>
    </w:p>
    <w:p w14:paraId="7CC0AA13">
      <w:pPr>
        <w:tabs>
          <w:tab w:val="left" w:pos="432"/>
        </w:tabs>
        <w:jc w:val="center"/>
        <w:outlineLvl w:val="0"/>
        <w:rPr>
          <w:rFonts w:ascii="华文中宋" w:hAnsi="华文中宋" w:eastAsia="华文中宋"/>
          <w:b/>
          <w:color w:val="auto"/>
          <w:sz w:val="36"/>
          <w:szCs w:val="36"/>
        </w:rPr>
      </w:pPr>
      <w:r>
        <w:rPr>
          <w:color w:val="auto"/>
        </w:rPr>
        <w:br w:type="page"/>
      </w:r>
      <w:bookmarkStart w:id="54" w:name="_Toc31849"/>
      <w:r>
        <w:rPr>
          <w:rFonts w:hint="eastAsia" w:ascii="华文中宋" w:hAnsi="华文中宋" w:eastAsia="华文中宋"/>
          <w:b/>
          <w:color w:val="auto"/>
          <w:sz w:val="36"/>
          <w:szCs w:val="36"/>
        </w:rPr>
        <w:t xml:space="preserve">第四章  </w:t>
      </w:r>
      <w:bookmarkEnd w:id="54"/>
      <w:r>
        <w:rPr>
          <w:rFonts w:hint="eastAsia" w:ascii="华文中宋" w:hAnsi="华文中宋" w:eastAsia="华文中宋"/>
          <w:b/>
          <w:color w:val="auto"/>
          <w:sz w:val="36"/>
          <w:szCs w:val="36"/>
        </w:rPr>
        <w:t>比选需求</w:t>
      </w:r>
    </w:p>
    <w:p w14:paraId="4D5AC207">
      <w:pPr>
        <w:spacing w:line="440" w:lineRule="exact"/>
        <w:ind w:firstLine="498" w:firstLineChars="200"/>
        <w:rPr>
          <w:rFonts w:ascii="宋体" w:hAnsi="宋体"/>
          <w:b/>
          <w:color w:val="auto"/>
          <w:sz w:val="24"/>
        </w:rPr>
      </w:pPr>
      <w:r>
        <w:rPr>
          <w:rFonts w:hint="eastAsia" w:ascii="宋体" w:hAnsi="宋体"/>
          <w:b/>
          <w:color w:val="auto"/>
          <w:sz w:val="24"/>
        </w:rPr>
        <w:t>前提：本章中标注“★”的条款为本项目的实质性条款，比选申请人不满足的，将按照无效响应处理。</w:t>
      </w:r>
    </w:p>
    <w:p w14:paraId="755CD6ED">
      <w:pPr>
        <w:pStyle w:val="83"/>
        <w:numPr>
          <w:ilvl w:val="0"/>
          <w:numId w:val="3"/>
        </w:numPr>
        <w:spacing w:line="360" w:lineRule="auto"/>
        <w:ind w:firstLine="498" w:firstLineChars="200"/>
        <w:jc w:val="left"/>
        <w:outlineLvl w:val="1"/>
        <w:rPr>
          <w:rFonts w:hint="eastAsia" w:ascii="宋体" w:hAnsi="宋体" w:eastAsia="宋体" w:cs="Times New Roman"/>
          <w:color w:val="auto"/>
          <w:szCs w:val="28"/>
        </w:rPr>
      </w:pPr>
      <w:bookmarkStart w:id="55" w:name="_Toc10491"/>
      <w:r>
        <w:rPr>
          <w:rFonts w:hint="eastAsia" w:ascii="宋体" w:hAnsi="宋体" w:eastAsia="宋体" w:cs="Times New Roman"/>
          <w:color w:val="auto"/>
          <w:szCs w:val="28"/>
        </w:rPr>
        <w:t>项目概况</w:t>
      </w:r>
    </w:p>
    <w:p w14:paraId="4EAD07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本项目共1个包，弱电安防系统维护保养服务，预算金额：9万元/年，最高限价：6.75万元/年，服务期三年，合同一年一签。</w:t>
      </w:r>
    </w:p>
    <w:p w14:paraId="3F5D582D">
      <w:pPr>
        <w:pStyle w:val="83"/>
        <w:numPr>
          <w:ilvl w:val="0"/>
          <w:numId w:val="0"/>
        </w:numPr>
        <w:spacing w:line="360" w:lineRule="auto"/>
        <w:ind w:firstLine="498" w:firstLineChars="200"/>
        <w:jc w:val="left"/>
        <w:outlineLvl w:val="1"/>
        <w:rPr>
          <w:rFonts w:hint="eastAsia" w:hAnsi="宋体"/>
          <w:color w:val="auto"/>
          <w:szCs w:val="28"/>
        </w:rPr>
      </w:pPr>
      <w:r>
        <w:rPr>
          <w:rFonts w:hint="eastAsia" w:ascii="宋体" w:hAnsi="宋体"/>
          <w:color w:val="auto"/>
          <w:kern w:val="0"/>
          <w:sz w:val="24"/>
        </w:rPr>
        <w:t>★</w:t>
      </w:r>
      <w:r>
        <w:rPr>
          <w:rFonts w:hint="eastAsia" w:ascii="宋体" w:hAnsi="宋体"/>
          <w:color w:val="auto"/>
          <w:kern w:val="0"/>
          <w:sz w:val="24"/>
          <w:lang w:val="en-US" w:eastAsia="zh-CN"/>
        </w:rPr>
        <w:t>二、</w:t>
      </w:r>
      <w:r>
        <w:rPr>
          <w:rFonts w:hint="eastAsia" w:hAnsi="宋体"/>
          <w:color w:val="auto"/>
          <w:szCs w:val="28"/>
        </w:rPr>
        <w:t>商务要求</w:t>
      </w:r>
    </w:p>
    <w:p w14:paraId="56EEA1A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r>
        <w:rPr>
          <w:rFonts w:hint="eastAsia" w:ascii="宋体" w:hAnsi="宋体" w:eastAsia="宋体" w:cs="Times New Roman"/>
          <w:color w:val="auto"/>
          <w:kern w:val="0"/>
          <w:sz w:val="24"/>
          <w:lang w:val="en-US" w:eastAsia="en-US"/>
        </w:rPr>
        <w:t>付款方式：</w:t>
      </w:r>
      <w:r>
        <w:rPr>
          <w:rFonts w:hint="eastAsia" w:ascii="宋体" w:hAnsi="宋体" w:eastAsia="宋体" w:cs="Times New Roman"/>
          <w:color w:val="auto"/>
          <w:kern w:val="0"/>
          <w:sz w:val="24"/>
          <w:lang w:val="en-US" w:eastAsia="zh-CN"/>
        </w:rPr>
        <w:t>年度服务期内，维保服务满6个月，采购人接到供应商出具的含税正规发票及相关资料后30个工作日内支付合同金额的50%，年度维保服务期满，采购人接到供应商出具的含税正规发票及相关资料后，30个工作日内支付合同总金额剩余50%。</w:t>
      </w:r>
    </w:p>
    <w:p w14:paraId="5DA2F81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2</w:t>
      </w:r>
      <w:r>
        <w:rPr>
          <w:rFonts w:hint="eastAsia" w:ascii="宋体" w:hAnsi="宋体" w:eastAsia="宋体" w:cs="Times New Roman"/>
          <w:color w:val="auto"/>
          <w:kern w:val="0"/>
          <w:sz w:val="24"/>
          <w:lang w:val="en-US" w:eastAsia="zh-CN"/>
        </w:rPr>
        <w:t>、服务期限：三年，合同一年一签，经采购人年考核合格后方可签署下一年的服务合同，考核要求见附件1（每月对供应商进行一次考核，考核分数≥80分，为合格；考核分数＜80分，为不合格，每年考核不合格次数≥3次，甲方有权终止合同，每年考核不合格次数＜3次，视为年考核合格</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方可签署下一年的服务合同</w:t>
      </w:r>
      <w:r>
        <w:rPr>
          <w:rFonts w:hint="eastAsia" w:ascii="宋体" w:hAnsi="宋体" w:eastAsia="宋体" w:cs="Times New Roman"/>
          <w:color w:val="auto"/>
          <w:kern w:val="0"/>
          <w:sz w:val="24"/>
          <w:lang w:val="zh-CN" w:eastAsia="zh-CN"/>
        </w:rPr>
        <w:t>）</w:t>
      </w:r>
      <w:r>
        <w:rPr>
          <w:rFonts w:hint="eastAsia" w:ascii="宋体" w:hAnsi="宋体" w:eastAsia="宋体" w:cs="Times New Roman"/>
          <w:color w:val="auto"/>
          <w:kern w:val="0"/>
          <w:sz w:val="24"/>
          <w:lang w:val="en-US" w:eastAsia="zh-CN"/>
        </w:rPr>
        <w:t>。</w:t>
      </w:r>
    </w:p>
    <w:p w14:paraId="241364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3</w:t>
      </w:r>
      <w:r>
        <w:rPr>
          <w:rFonts w:hint="eastAsia" w:ascii="宋体" w:hAnsi="宋体" w:eastAsia="宋体" w:cs="Times New Roman"/>
          <w:color w:val="auto"/>
          <w:kern w:val="0"/>
          <w:sz w:val="24"/>
          <w:lang w:val="en-US" w:eastAsia="zh-CN"/>
        </w:rPr>
        <w:t>、服务地点：金堂县第一人民医院</w:t>
      </w:r>
    </w:p>
    <w:p w14:paraId="5075D27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cs="Times New Roman"/>
          <w:color w:val="auto"/>
          <w:kern w:val="0"/>
          <w:sz w:val="24"/>
          <w:lang w:val="en-US" w:eastAsia="zh-CN"/>
        </w:rPr>
        <w:t>4</w:t>
      </w:r>
      <w:r>
        <w:rPr>
          <w:rFonts w:hint="eastAsia" w:ascii="宋体" w:hAnsi="宋体" w:eastAsia="宋体" w:cs="Times New Roman"/>
          <w:color w:val="auto"/>
          <w:kern w:val="0"/>
          <w:sz w:val="24"/>
          <w:lang w:val="en-US" w:eastAsia="zh-CN"/>
        </w:rPr>
        <w:t>、供应商</w:t>
      </w:r>
      <w:r>
        <w:rPr>
          <w:rFonts w:hint="eastAsia" w:ascii="宋体" w:hAnsi="宋体" w:eastAsia="宋体" w:cs="Times New Roman"/>
          <w:color w:val="auto"/>
          <w:kern w:val="0"/>
          <w:sz w:val="24"/>
          <w:lang w:val="en-US" w:eastAsia="en-US"/>
        </w:rPr>
        <w:t>具有保密义务，未经采购人许可，不得将</w:t>
      </w:r>
      <w:r>
        <w:rPr>
          <w:rFonts w:hint="eastAsia" w:ascii="宋体" w:hAnsi="宋体" w:eastAsia="宋体" w:cs="Times New Roman"/>
          <w:color w:val="auto"/>
          <w:kern w:val="0"/>
          <w:sz w:val="24"/>
          <w:lang w:val="en-US" w:eastAsia="zh-CN"/>
        </w:rPr>
        <w:t>项目信息</w:t>
      </w:r>
      <w:r>
        <w:rPr>
          <w:rFonts w:hint="eastAsia" w:ascii="宋体" w:hAnsi="宋体" w:eastAsia="宋体" w:cs="Times New Roman"/>
          <w:color w:val="auto"/>
          <w:kern w:val="0"/>
          <w:sz w:val="24"/>
          <w:lang w:val="en-US" w:eastAsia="en-US"/>
        </w:rPr>
        <w:t>泄露给第三方，违者依法追究相关法律责任。</w:t>
      </w:r>
    </w:p>
    <w:p w14:paraId="15F479A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cs="Times New Roman"/>
          <w:color w:val="auto"/>
          <w:kern w:val="0"/>
          <w:sz w:val="24"/>
          <w:lang w:val="en-US" w:eastAsia="zh-CN"/>
        </w:rPr>
      </w:pP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lang w:val="en-US" w:eastAsia="en-US"/>
        </w:rPr>
        <w:t>供应商在服务期内不得以任何理由拖延维保工作，一季度三次及以上拖延维保工作的，采购方有权终止合同</w:t>
      </w:r>
      <w:r>
        <w:rPr>
          <w:rFonts w:hint="eastAsia" w:ascii="宋体" w:hAnsi="宋体" w:cs="Times New Roman"/>
          <w:color w:val="auto"/>
          <w:kern w:val="0"/>
          <w:sz w:val="24"/>
          <w:lang w:val="en-US" w:eastAsia="zh-CN"/>
        </w:rPr>
        <w:t>。</w:t>
      </w:r>
    </w:p>
    <w:p w14:paraId="70CB037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cs="Times New Roman"/>
          <w:color w:val="auto"/>
          <w:kern w:val="0"/>
          <w:sz w:val="24"/>
          <w:lang w:val="en-US" w:eastAsia="zh-CN"/>
        </w:rPr>
      </w:pPr>
      <w:r>
        <w:rPr>
          <w:rFonts w:hint="eastAsia" w:ascii="宋体" w:hAnsi="宋体" w:eastAsia="宋体" w:cs="Times New Roman"/>
          <w:color w:val="auto"/>
          <w:kern w:val="0"/>
          <w:sz w:val="24"/>
          <w:lang w:val="en-US" w:eastAsia="zh-CN"/>
        </w:rPr>
        <w:t>6、</w:t>
      </w:r>
      <w:r>
        <w:rPr>
          <w:rFonts w:hint="eastAsia" w:ascii="宋体" w:hAnsi="宋体" w:eastAsia="宋体" w:cs="Times New Roman"/>
          <w:color w:val="auto"/>
          <w:kern w:val="0"/>
          <w:sz w:val="24"/>
          <w:lang w:val="en-US" w:eastAsia="en-US"/>
        </w:rPr>
        <w:t>双方需签订《安全生产管理协议》（附件</w:t>
      </w:r>
      <w:r>
        <w:rPr>
          <w:rFonts w:hint="eastAsia" w:ascii="宋体" w:hAnsi="宋体" w:eastAsia="宋体" w:cs="Times New Roman"/>
          <w:color w:val="auto"/>
          <w:kern w:val="0"/>
          <w:sz w:val="24"/>
          <w:lang w:val="en-US" w:eastAsia="zh-CN"/>
        </w:rPr>
        <w:t>2</w:t>
      </w:r>
      <w:r>
        <w:rPr>
          <w:rFonts w:hint="eastAsia" w:ascii="宋体" w:hAnsi="宋体" w:eastAsia="宋体" w:cs="Times New Roman"/>
          <w:color w:val="auto"/>
          <w:kern w:val="0"/>
          <w:sz w:val="24"/>
          <w:lang w:val="en-US" w:eastAsia="en-US"/>
        </w:rPr>
        <w:t>）</w:t>
      </w:r>
      <w:r>
        <w:rPr>
          <w:rFonts w:hint="eastAsia" w:ascii="宋体" w:hAnsi="宋体" w:eastAsia="宋体" w:cs="Times New Roman"/>
          <w:color w:val="auto"/>
          <w:kern w:val="0"/>
          <w:sz w:val="24"/>
          <w:lang w:val="en-US" w:eastAsia="zh-CN"/>
        </w:rPr>
        <w:t>，供应商开展维保工作必须遵守采购方的规章制度，做到安全操作，发生安全等意外情况与采购方无关，由供应商承担一切责任</w:t>
      </w:r>
      <w:r>
        <w:rPr>
          <w:rFonts w:hint="eastAsia" w:ascii="宋体" w:hAnsi="宋体" w:cs="Times New Roman"/>
          <w:color w:val="auto"/>
          <w:kern w:val="0"/>
          <w:sz w:val="24"/>
          <w:lang w:val="en-US" w:eastAsia="zh-CN"/>
        </w:rPr>
        <w:t>。</w:t>
      </w:r>
    </w:p>
    <w:p w14:paraId="2AFF862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7、若因</w:t>
      </w:r>
      <w:r>
        <w:rPr>
          <w:rFonts w:hint="eastAsia" w:ascii="宋体" w:hAnsi="宋体" w:cs="Times New Roman"/>
          <w:color w:val="auto"/>
          <w:kern w:val="0"/>
          <w:sz w:val="24"/>
          <w:lang w:val="en-US" w:eastAsia="zh-CN"/>
        </w:rPr>
        <w:t>供应商</w:t>
      </w:r>
      <w:r>
        <w:rPr>
          <w:rFonts w:hint="eastAsia" w:ascii="宋体" w:hAnsi="宋体" w:eastAsia="宋体" w:cs="Times New Roman"/>
          <w:color w:val="auto"/>
          <w:kern w:val="0"/>
          <w:sz w:val="24"/>
          <w:lang w:val="en-US" w:eastAsia="zh-CN"/>
        </w:rPr>
        <w:t>操作不当发生各类安全事故或设备损坏事故，所有责任和经济损失由</w:t>
      </w:r>
      <w:r>
        <w:rPr>
          <w:rFonts w:hint="eastAsia" w:ascii="宋体" w:hAnsi="宋体" w:cs="Times New Roman"/>
          <w:color w:val="auto"/>
          <w:kern w:val="0"/>
          <w:sz w:val="24"/>
          <w:lang w:val="en-US" w:eastAsia="zh-CN"/>
        </w:rPr>
        <w:t>供应商</w:t>
      </w:r>
      <w:r>
        <w:rPr>
          <w:rFonts w:hint="eastAsia" w:ascii="宋体" w:hAnsi="宋体" w:eastAsia="宋体" w:cs="Times New Roman"/>
          <w:color w:val="auto"/>
          <w:kern w:val="0"/>
          <w:sz w:val="24"/>
          <w:lang w:val="en-US" w:eastAsia="zh-CN"/>
        </w:rPr>
        <w:t>承担</w:t>
      </w:r>
      <w:r>
        <w:rPr>
          <w:rFonts w:hint="eastAsia" w:ascii="宋体" w:hAnsi="宋体" w:cs="Times New Roman"/>
          <w:color w:val="auto"/>
          <w:kern w:val="0"/>
          <w:sz w:val="24"/>
          <w:lang w:val="en-US" w:eastAsia="zh-CN"/>
        </w:rPr>
        <w:t>。</w:t>
      </w:r>
    </w:p>
    <w:p w14:paraId="64303514">
      <w:pPr>
        <w:pStyle w:val="16"/>
        <w:numPr>
          <w:ilvl w:val="0"/>
          <w:numId w:val="0"/>
        </w:numPr>
        <w:spacing w:line="440" w:lineRule="exact"/>
        <w:ind w:firstLine="446" w:firstLineChars="200"/>
        <w:jc w:val="both"/>
        <w:rPr>
          <w:rFonts w:hint="eastAsia" w:ascii="宋体" w:hAnsi="宋体"/>
          <w:b/>
          <w:bCs/>
          <w:color w:val="auto"/>
          <w:kern w:val="2"/>
          <w:szCs w:val="28"/>
        </w:rPr>
      </w:pP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color w:val="auto"/>
          <w:sz w:val="24"/>
          <w:lang w:val="en-US" w:eastAsia="zh-CN"/>
        </w:rPr>
        <w:t>三、</w:t>
      </w:r>
      <w:r>
        <w:rPr>
          <w:rFonts w:hint="eastAsia" w:ascii="宋体" w:hAnsi="宋体"/>
          <w:b/>
          <w:bCs/>
          <w:color w:val="auto"/>
          <w:kern w:val="2"/>
          <w:szCs w:val="28"/>
        </w:rPr>
        <w:t>技术、服务要求</w:t>
      </w:r>
    </w:p>
    <w:p w14:paraId="02D2B685">
      <w:pPr>
        <w:pStyle w:val="16"/>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firstLine="498" w:firstLineChars="200"/>
        <w:jc w:val="both"/>
        <w:textAlignment w:val="baseline"/>
        <w:rPr>
          <w:rFonts w:hint="eastAsia" w:ascii="宋体" w:hAnsi="宋体"/>
          <w:b/>
          <w:bCs/>
          <w:color w:val="auto"/>
          <w:kern w:val="2"/>
          <w:szCs w:val="28"/>
          <w:lang w:val="en-US" w:eastAsia="zh-CN"/>
        </w:rPr>
      </w:pPr>
      <w:r>
        <w:rPr>
          <w:rFonts w:hint="eastAsia" w:ascii="宋体" w:hAnsi="宋体"/>
          <w:b/>
          <w:bCs/>
          <w:color w:val="auto"/>
          <w:kern w:val="2"/>
          <w:szCs w:val="28"/>
          <w:lang w:val="en-US" w:eastAsia="zh-CN"/>
        </w:rPr>
        <w:t>1、弱电设施设备维保清单</w:t>
      </w:r>
    </w:p>
    <w:tbl>
      <w:tblPr>
        <w:tblStyle w:val="195"/>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375"/>
        <w:gridCol w:w="1940"/>
        <w:gridCol w:w="1131"/>
        <w:gridCol w:w="2357"/>
        <w:gridCol w:w="2412"/>
      </w:tblGrid>
      <w:tr w14:paraId="0FA4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vAlign w:val="center"/>
          </w:tcPr>
          <w:p w14:paraId="3E4806D7">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序号</w:t>
            </w:r>
          </w:p>
        </w:tc>
        <w:tc>
          <w:tcPr>
            <w:tcW w:w="1375" w:type="dxa"/>
            <w:vAlign w:val="center"/>
          </w:tcPr>
          <w:p w14:paraId="141FC3E8">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设备名称</w:t>
            </w:r>
          </w:p>
        </w:tc>
        <w:tc>
          <w:tcPr>
            <w:tcW w:w="1940" w:type="dxa"/>
            <w:vAlign w:val="center"/>
          </w:tcPr>
          <w:p w14:paraId="1424DC05">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生产厂家或品牌名</w:t>
            </w:r>
          </w:p>
        </w:tc>
        <w:tc>
          <w:tcPr>
            <w:tcW w:w="1131" w:type="dxa"/>
            <w:vAlign w:val="center"/>
          </w:tcPr>
          <w:p w14:paraId="01B2DBA2">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设备数量</w:t>
            </w:r>
          </w:p>
        </w:tc>
        <w:tc>
          <w:tcPr>
            <w:tcW w:w="2357" w:type="dxa"/>
            <w:vAlign w:val="center"/>
          </w:tcPr>
          <w:p w14:paraId="1376E805">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型号</w:t>
            </w:r>
          </w:p>
        </w:tc>
        <w:tc>
          <w:tcPr>
            <w:tcW w:w="2412" w:type="dxa"/>
            <w:shd w:val="clear" w:color="auto" w:fill="auto"/>
            <w:vAlign w:val="center"/>
          </w:tcPr>
          <w:p w14:paraId="51C1290F">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color w:val="000000"/>
                <w:sz w:val="18"/>
                <w:szCs w:val="18"/>
              </w:rPr>
              <w:t>备注</w:t>
            </w:r>
          </w:p>
        </w:tc>
      </w:tr>
      <w:tr w14:paraId="76E2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9" w:type="dxa"/>
            <w:vMerge w:val="restart"/>
            <w:vAlign w:val="center"/>
          </w:tcPr>
          <w:p w14:paraId="5501E4F8">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375" w:type="dxa"/>
            <w:vMerge w:val="restart"/>
            <w:vAlign w:val="center"/>
          </w:tcPr>
          <w:p w14:paraId="0E1F874F">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监控摄像头</w:t>
            </w:r>
          </w:p>
        </w:tc>
        <w:tc>
          <w:tcPr>
            <w:tcW w:w="1940" w:type="dxa"/>
            <w:vAlign w:val="center"/>
          </w:tcPr>
          <w:p w14:paraId="6EE064CC">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大华</w:t>
            </w:r>
          </w:p>
        </w:tc>
        <w:tc>
          <w:tcPr>
            <w:tcW w:w="1131" w:type="dxa"/>
            <w:vAlign w:val="center"/>
          </w:tcPr>
          <w:p w14:paraId="0CA121D6">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168</w:t>
            </w:r>
            <w:r>
              <w:rPr>
                <w:rFonts w:hint="eastAsia" w:ascii="宋体" w:hAnsi="宋体" w:eastAsia="宋体" w:cs="宋体"/>
                <w:sz w:val="18"/>
                <w:szCs w:val="18"/>
              </w:rPr>
              <w:t>个</w:t>
            </w:r>
          </w:p>
        </w:tc>
        <w:tc>
          <w:tcPr>
            <w:tcW w:w="2357" w:type="dxa"/>
            <w:vAlign w:val="center"/>
          </w:tcPr>
          <w:p w14:paraId="62ED4BDE">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DH-IPC-HFW4238M-I1-V2</w:t>
            </w:r>
          </w:p>
          <w:p w14:paraId="51017FE6">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DH-IPC-HDW32XYZC-ABCD</w:t>
            </w:r>
          </w:p>
          <w:p w14:paraId="055075DA">
            <w:pPr>
              <w:spacing w:line="240" w:lineRule="auto"/>
              <w:jc w:val="center"/>
              <w:rPr>
                <w:rFonts w:hint="eastAsia" w:ascii="宋体" w:hAnsi="宋体" w:eastAsia="宋体" w:cs="宋体"/>
                <w:lang w:val="en-US" w:eastAsia="zh-CN"/>
              </w:rPr>
            </w:pPr>
            <w:r>
              <w:rPr>
                <w:rFonts w:hint="eastAsia" w:ascii="宋体" w:hAnsi="宋体" w:eastAsia="宋体" w:cs="宋体"/>
                <w:sz w:val="18"/>
                <w:szCs w:val="18"/>
                <w:lang w:val="en-US" w:eastAsia="zh-CN"/>
              </w:rPr>
              <w:t>DH-IPC-HFW12-A-SC</w:t>
            </w:r>
          </w:p>
        </w:tc>
        <w:tc>
          <w:tcPr>
            <w:tcW w:w="2412" w:type="dxa"/>
            <w:shd w:val="clear" w:color="auto" w:fill="auto"/>
            <w:vAlign w:val="center"/>
          </w:tcPr>
          <w:p w14:paraId="6BE368ED">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color w:val="000000"/>
                <w:sz w:val="18"/>
                <w:szCs w:val="18"/>
              </w:rPr>
              <w:t>（枪机</w:t>
            </w:r>
            <w:r>
              <w:rPr>
                <w:rFonts w:hint="eastAsia" w:ascii="宋体" w:hAnsi="宋体" w:eastAsia="宋体" w:cs="宋体"/>
                <w:color w:val="000000"/>
                <w:sz w:val="18"/>
                <w:szCs w:val="18"/>
                <w:lang w:val="en-US" w:eastAsia="zh-CN"/>
              </w:rPr>
              <w:t>62</w:t>
            </w:r>
            <w:r>
              <w:rPr>
                <w:rFonts w:hint="eastAsia" w:ascii="宋体" w:hAnsi="宋体" w:eastAsia="宋体" w:cs="宋体"/>
                <w:color w:val="000000"/>
                <w:sz w:val="18"/>
                <w:szCs w:val="18"/>
              </w:rPr>
              <w:t>个，球机9个，半球机</w:t>
            </w:r>
            <w:r>
              <w:rPr>
                <w:rFonts w:hint="eastAsia" w:ascii="宋体" w:hAnsi="宋体" w:eastAsia="宋体" w:cs="宋体"/>
                <w:color w:val="000000"/>
                <w:sz w:val="18"/>
                <w:szCs w:val="18"/>
                <w:lang w:val="en-US" w:eastAsia="zh-CN"/>
              </w:rPr>
              <w:t>97</w:t>
            </w:r>
            <w:r>
              <w:rPr>
                <w:rFonts w:hint="eastAsia" w:ascii="宋体" w:hAnsi="宋体" w:eastAsia="宋体" w:cs="宋体"/>
                <w:color w:val="000000"/>
                <w:sz w:val="18"/>
                <w:szCs w:val="18"/>
              </w:rPr>
              <w:t>个）</w:t>
            </w:r>
          </w:p>
        </w:tc>
      </w:tr>
      <w:tr w14:paraId="4ECC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29" w:type="dxa"/>
            <w:vMerge w:val="continue"/>
            <w:vAlign w:val="center"/>
          </w:tcPr>
          <w:p w14:paraId="0DD5CFE8">
            <w:pPr>
              <w:spacing w:line="360" w:lineRule="auto"/>
              <w:ind w:firstLine="378" w:firstLineChars="200"/>
              <w:jc w:val="center"/>
              <w:rPr>
                <w:rFonts w:hint="eastAsia" w:ascii="宋体" w:hAnsi="宋体" w:eastAsia="宋体" w:cs="宋体"/>
                <w:sz w:val="18"/>
                <w:szCs w:val="18"/>
              </w:rPr>
            </w:pPr>
          </w:p>
        </w:tc>
        <w:tc>
          <w:tcPr>
            <w:tcW w:w="1375" w:type="dxa"/>
            <w:vMerge w:val="continue"/>
            <w:vAlign w:val="center"/>
          </w:tcPr>
          <w:p w14:paraId="40A4B2EB">
            <w:pPr>
              <w:spacing w:line="360" w:lineRule="auto"/>
              <w:ind w:firstLine="378" w:firstLineChars="200"/>
              <w:jc w:val="center"/>
              <w:rPr>
                <w:rFonts w:hint="eastAsia" w:ascii="宋体" w:hAnsi="宋体" w:eastAsia="宋体" w:cs="宋体"/>
                <w:sz w:val="18"/>
                <w:szCs w:val="18"/>
              </w:rPr>
            </w:pPr>
          </w:p>
        </w:tc>
        <w:tc>
          <w:tcPr>
            <w:tcW w:w="1940" w:type="dxa"/>
            <w:vAlign w:val="center"/>
          </w:tcPr>
          <w:p w14:paraId="1E368311">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英飞拓</w:t>
            </w:r>
          </w:p>
        </w:tc>
        <w:tc>
          <w:tcPr>
            <w:tcW w:w="1131" w:type="dxa"/>
            <w:vAlign w:val="center"/>
          </w:tcPr>
          <w:p w14:paraId="0F268DE5">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554</w:t>
            </w:r>
            <w:r>
              <w:rPr>
                <w:rFonts w:hint="eastAsia" w:ascii="宋体" w:hAnsi="宋体" w:eastAsia="宋体" w:cs="宋体"/>
                <w:sz w:val="18"/>
                <w:szCs w:val="18"/>
              </w:rPr>
              <w:t>个</w:t>
            </w:r>
          </w:p>
        </w:tc>
        <w:tc>
          <w:tcPr>
            <w:tcW w:w="2357" w:type="dxa"/>
            <w:vAlign w:val="center"/>
          </w:tcPr>
          <w:p w14:paraId="2044B160">
            <w:pPr>
              <w:spacing w:line="360" w:lineRule="auto"/>
              <w:jc w:val="center"/>
              <w:rPr>
                <w:rFonts w:hint="eastAsia" w:ascii="宋体" w:hAnsi="宋体" w:eastAsia="宋体" w:cs="宋体"/>
                <w:sz w:val="18"/>
                <w:szCs w:val="18"/>
              </w:rPr>
            </w:pPr>
            <w:r>
              <w:rPr>
                <w:rFonts w:hint="eastAsia" w:ascii="宋体" w:hAnsi="宋体" w:eastAsia="宋体" w:cs="宋体"/>
                <w:sz w:val="18"/>
              </w:rPr>
              <w:t>V6812IR-H0065SB</w:t>
            </w:r>
          </w:p>
          <w:p w14:paraId="890494DF">
            <w:pPr>
              <w:spacing w:line="360" w:lineRule="auto"/>
              <w:jc w:val="center"/>
              <w:rPr>
                <w:rFonts w:hint="eastAsia" w:ascii="宋体" w:hAnsi="宋体" w:eastAsia="宋体" w:cs="宋体"/>
                <w:sz w:val="18"/>
              </w:rPr>
            </w:pPr>
            <w:r>
              <w:rPr>
                <w:rFonts w:hint="eastAsia" w:ascii="宋体" w:hAnsi="宋体" w:eastAsia="宋体" w:cs="宋体"/>
                <w:sz w:val="18"/>
              </w:rPr>
              <w:t>V6812IR-H0065SA</w:t>
            </w:r>
          </w:p>
        </w:tc>
        <w:tc>
          <w:tcPr>
            <w:tcW w:w="2412" w:type="dxa"/>
            <w:shd w:val="clear" w:color="auto" w:fill="auto"/>
            <w:vAlign w:val="center"/>
          </w:tcPr>
          <w:p w14:paraId="0437C027">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color w:val="000000"/>
                <w:sz w:val="18"/>
                <w:szCs w:val="18"/>
              </w:rPr>
              <w:t>（枪机 35个，球机12个，半球486个，带录音功能21个）</w:t>
            </w:r>
          </w:p>
        </w:tc>
      </w:tr>
      <w:tr w14:paraId="6787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vMerge w:val="continue"/>
            <w:vAlign w:val="center"/>
          </w:tcPr>
          <w:p w14:paraId="7E0AB715">
            <w:pPr>
              <w:spacing w:line="360" w:lineRule="auto"/>
              <w:ind w:firstLine="378" w:firstLineChars="200"/>
              <w:jc w:val="center"/>
              <w:rPr>
                <w:rFonts w:hint="eastAsia" w:ascii="宋体" w:hAnsi="宋体" w:eastAsia="宋体" w:cs="宋体"/>
                <w:sz w:val="18"/>
                <w:szCs w:val="18"/>
              </w:rPr>
            </w:pPr>
          </w:p>
        </w:tc>
        <w:tc>
          <w:tcPr>
            <w:tcW w:w="1375" w:type="dxa"/>
            <w:vMerge w:val="continue"/>
            <w:vAlign w:val="center"/>
          </w:tcPr>
          <w:p w14:paraId="30F9EDFF">
            <w:pPr>
              <w:spacing w:line="360" w:lineRule="auto"/>
              <w:ind w:firstLine="378" w:firstLineChars="200"/>
              <w:jc w:val="center"/>
              <w:rPr>
                <w:rFonts w:hint="eastAsia" w:ascii="宋体" w:hAnsi="宋体" w:eastAsia="宋体" w:cs="宋体"/>
                <w:sz w:val="18"/>
                <w:szCs w:val="18"/>
              </w:rPr>
            </w:pPr>
          </w:p>
        </w:tc>
        <w:tc>
          <w:tcPr>
            <w:tcW w:w="1940" w:type="dxa"/>
            <w:vAlign w:val="center"/>
          </w:tcPr>
          <w:p w14:paraId="0D49ADC9">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感染科防疫新增</w:t>
            </w:r>
          </w:p>
        </w:tc>
        <w:tc>
          <w:tcPr>
            <w:tcW w:w="1131" w:type="dxa"/>
            <w:vAlign w:val="center"/>
          </w:tcPr>
          <w:p w14:paraId="4BADFB3C">
            <w:pPr>
              <w:spacing w:line="36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67</w:t>
            </w:r>
            <w:r>
              <w:rPr>
                <w:rFonts w:hint="eastAsia" w:ascii="宋体" w:hAnsi="宋体" w:eastAsia="宋体" w:cs="宋体"/>
                <w:sz w:val="18"/>
                <w:szCs w:val="18"/>
              </w:rPr>
              <w:t>个</w:t>
            </w:r>
          </w:p>
        </w:tc>
        <w:tc>
          <w:tcPr>
            <w:tcW w:w="2357" w:type="dxa"/>
            <w:vAlign w:val="center"/>
          </w:tcPr>
          <w:p w14:paraId="2210FFC3">
            <w:pPr>
              <w:spacing w:line="240" w:lineRule="auto"/>
              <w:jc w:val="center"/>
              <w:rPr>
                <w:rFonts w:hint="eastAsia" w:ascii="宋体" w:hAnsi="宋体" w:eastAsia="宋体" w:cs="宋体"/>
                <w:sz w:val="18"/>
                <w:szCs w:val="18"/>
              </w:rPr>
            </w:pPr>
            <w:r>
              <w:rPr>
                <w:rFonts w:hint="eastAsia" w:ascii="宋体" w:hAnsi="宋体" w:eastAsia="宋体" w:cs="宋体"/>
                <w:sz w:val="18"/>
              </w:rPr>
              <w:t>DS-2CD3325-I 4mm</w:t>
            </w:r>
          </w:p>
        </w:tc>
        <w:tc>
          <w:tcPr>
            <w:tcW w:w="2412" w:type="dxa"/>
            <w:shd w:val="clear" w:color="auto" w:fill="auto"/>
            <w:vAlign w:val="center"/>
          </w:tcPr>
          <w:p w14:paraId="622773A9">
            <w:pPr>
              <w:spacing w:line="360" w:lineRule="auto"/>
              <w:ind w:firstLine="378" w:firstLineChars="200"/>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感染科</w:t>
            </w:r>
          </w:p>
        </w:tc>
      </w:tr>
      <w:tr w14:paraId="7C59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9" w:type="dxa"/>
            <w:vMerge w:val="continue"/>
            <w:vAlign w:val="center"/>
          </w:tcPr>
          <w:p w14:paraId="2625CEE2">
            <w:pPr>
              <w:spacing w:line="360" w:lineRule="auto"/>
              <w:ind w:firstLine="378" w:firstLineChars="200"/>
              <w:jc w:val="center"/>
              <w:rPr>
                <w:rFonts w:hint="eastAsia" w:ascii="宋体" w:hAnsi="宋体" w:eastAsia="宋体" w:cs="宋体"/>
                <w:sz w:val="18"/>
                <w:szCs w:val="18"/>
              </w:rPr>
            </w:pPr>
          </w:p>
        </w:tc>
        <w:tc>
          <w:tcPr>
            <w:tcW w:w="1375" w:type="dxa"/>
            <w:vMerge w:val="continue"/>
            <w:vAlign w:val="center"/>
          </w:tcPr>
          <w:p w14:paraId="4171DAA1">
            <w:pPr>
              <w:spacing w:line="360" w:lineRule="auto"/>
              <w:ind w:firstLine="378" w:firstLineChars="200"/>
              <w:jc w:val="center"/>
              <w:rPr>
                <w:rFonts w:hint="eastAsia" w:ascii="宋体" w:hAnsi="宋体" w:eastAsia="宋体" w:cs="宋体"/>
                <w:sz w:val="18"/>
                <w:szCs w:val="18"/>
              </w:rPr>
            </w:pPr>
          </w:p>
        </w:tc>
        <w:tc>
          <w:tcPr>
            <w:tcW w:w="1940" w:type="dxa"/>
            <w:vAlign w:val="center"/>
          </w:tcPr>
          <w:p w14:paraId="5A7FD137">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海康威视</w:t>
            </w:r>
          </w:p>
        </w:tc>
        <w:tc>
          <w:tcPr>
            <w:tcW w:w="1131" w:type="dxa"/>
            <w:vAlign w:val="center"/>
          </w:tcPr>
          <w:p w14:paraId="24DCE3E4">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10</w:t>
            </w:r>
            <w:r>
              <w:rPr>
                <w:rFonts w:hint="eastAsia" w:ascii="宋体" w:hAnsi="宋体" w:eastAsia="宋体" w:cs="宋体"/>
                <w:sz w:val="18"/>
                <w:szCs w:val="18"/>
              </w:rPr>
              <w:t>个</w:t>
            </w:r>
          </w:p>
        </w:tc>
        <w:tc>
          <w:tcPr>
            <w:tcW w:w="2357" w:type="dxa"/>
            <w:vAlign w:val="center"/>
          </w:tcPr>
          <w:p w14:paraId="1E68824F">
            <w:pPr>
              <w:spacing w:line="240" w:lineRule="auto"/>
              <w:jc w:val="center"/>
              <w:rPr>
                <w:rFonts w:hint="eastAsia" w:ascii="宋体" w:hAnsi="宋体" w:eastAsia="宋体" w:cs="宋体"/>
                <w:sz w:val="18"/>
                <w:szCs w:val="18"/>
              </w:rPr>
            </w:pPr>
          </w:p>
        </w:tc>
        <w:tc>
          <w:tcPr>
            <w:tcW w:w="2412" w:type="dxa"/>
            <w:shd w:val="clear" w:color="auto" w:fill="auto"/>
            <w:vAlign w:val="center"/>
          </w:tcPr>
          <w:p w14:paraId="0C4F63A6">
            <w:pPr>
              <w:spacing w:line="360" w:lineRule="auto"/>
              <w:ind w:firstLine="378" w:firstLineChars="200"/>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核酸基地</w:t>
            </w:r>
          </w:p>
        </w:tc>
      </w:tr>
      <w:tr w14:paraId="1AE4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vMerge w:val="continue"/>
            <w:vAlign w:val="center"/>
          </w:tcPr>
          <w:p w14:paraId="1A51F2A9">
            <w:pPr>
              <w:spacing w:line="360" w:lineRule="auto"/>
              <w:jc w:val="center"/>
              <w:rPr>
                <w:rFonts w:hint="eastAsia" w:ascii="宋体" w:hAnsi="宋体" w:eastAsia="宋体" w:cs="宋体"/>
                <w:color w:val="000000"/>
                <w:kern w:val="0"/>
                <w:sz w:val="18"/>
                <w:szCs w:val="18"/>
                <w:lang w:val="en-US" w:eastAsia="en-US" w:bidi="ar-SA"/>
              </w:rPr>
            </w:pPr>
          </w:p>
        </w:tc>
        <w:tc>
          <w:tcPr>
            <w:tcW w:w="3315" w:type="dxa"/>
            <w:gridSpan w:val="2"/>
            <w:vAlign w:val="center"/>
          </w:tcPr>
          <w:p w14:paraId="0D48D777">
            <w:pPr>
              <w:spacing w:line="36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合计</w:t>
            </w:r>
          </w:p>
        </w:tc>
        <w:tc>
          <w:tcPr>
            <w:tcW w:w="1131" w:type="dxa"/>
            <w:shd w:val="clear" w:color="auto" w:fill="auto"/>
            <w:vAlign w:val="center"/>
          </w:tcPr>
          <w:p w14:paraId="44424565">
            <w:pPr>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val="en-US" w:eastAsia="zh-CN"/>
              </w:rPr>
              <w:t>799</w:t>
            </w:r>
            <w:r>
              <w:rPr>
                <w:rFonts w:hint="eastAsia" w:ascii="宋体" w:hAnsi="宋体" w:eastAsia="宋体" w:cs="宋体"/>
                <w:sz w:val="18"/>
                <w:szCs w:val="18"/>
              </w:rPr>
              <w:t>个</w:t>
            </w:r>
          </w:p>
        </w:tc>
        <w:tc>
          <w:tcPr>
            <w:tcW w:w="2357" w:type="dxa"/>
            <w:vAlign w:val="center"/>
          </w:tcPr>
          <w:p w14:paraId="6AEAB0DE">
            <w:pPr>
              <w:spacing w:line="360" w:lineRule="auto"/>
              <w:jc w:val="center"/>
              <w:rPr>
                <w:rFonts w:hint="eastAsia" w:ascii="宋体" w:hAnsi="宋体" w:eastAsia="宋体" w:cs="宋体"/>
                <w:color w:val="000000"/>
                <w:sz w:val="18"/>
                <w:szCs w:val="18"/>
              </w:rPr>
            </w:pPr>
          </w:p>
        </w:tc>
        <w:tc>
          <w:tcPr>
            <w:tcW w:w="2412" w:type="dxa"/>
            <w:vAlign w:val="center"/>
          </w:tcPr>
          <w:p w14:paraId="53AD4CDC">
            <w:pPr>
              <w:spacing w:line="360" w:lineRule="auto"/>
              <w:jc w:val="center"/>
              <w:rPr>
                <w:rFonts w:hint="eastAsia" w:ascii="宋体" w:hAnsi="宋体" w:eastAsia="宋体" w:cs="宋体"/>
                <w:color w:val="000000"/>
                <w:sz w:val="18"/>
                <w:szCs w:val="18"/>
              </w:rPr>
            </w:pPr>
          </w:p>
        </w:tc>
      </w:tr>
      <w:tr w14:paraId="15FB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29" w:type="dxa"/>
            <w:vAlign w:val="center"/>
          </w:tcPr>
          <w:p w14:paraId="1734227E">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2</w:t>
            </w:r>
          </w:p>
        </w:tc>
        <w:tc>
          <w:tcPr>
            <w:tcW w:w="1375" w:type="dxa"/>
            <w:vAlign w:val="center"/>
          </w:tcPr>
          <w:p w14:paraId="54F45FEA">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存储硬盘</w:t>
            </w:r>
          </w:p>
        </w:tc>
        <w:tc>
          <w:tcPr>
            <w:tcW w:w="1940" w:type="dxa"/>
            <w:vAlign w:val="center"/>
          </w:tcPr>
          <w:p w14:paraId="0F505702">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希捷</w:t>
            </w:r>
          </w:p>
        </w:tc>
        <w:tc>
          <w:tcPr>
            <w:tcW w:w="1131" w:type="dxa"/>
            <w:vAlign w:val="center"/>
          </w:tcPr>
          <w:p w14:paraId="378FD8ED">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319</w:t>
            </w:r>
            <w:r>
              <w:rPr>
                <w:rFonts w:hint="eastAsia" w:ascii="宋体" w:hAnsi="宋体" w:eastAsia="宋体" w:cs="宋体"/>
                <w:sz w:val="18"/>
                <w:szCs w:val="18"/>
              </w:rPr>
              <w:t>个</w:t>
            </w:r>
          </w:p>
        </w:tc>
        <w:tc>
          <w:tcPr>
            <w:tcW w:w="2357" w:type="dxa"/>
            <w:vAlign w:val="center"/>
          </w:tcPr>
          <w:p w14:paraId="77A9894E">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lang w:val="en-US" w:eastAsia="zh-CN"/>
              </w:rPr>
              <w:t>ST10000NM0086-2AA101</w:t>
            </w:r>
          </w:p>
          <w:p w14:paraId="C842E568">
            <w:pPr>
              <w:spacing w:line="360" w:lineRule="auto"/>
              <w:jc w:val="center"/>
              <w:rPr>
                <w:rFonts w:hint="eastAsia" w:ascii="宋体" w:hAnsi="宋体" w:eastAsia="宋体" w:cs="宋体"/>
                <w:sz w:val="18"/>
                <w:lang w:val="en-US" w:eastAsia="zh-CN"/>
              </w:rPr>
            </w:pPr>
            <w:r>
              <w:rPr>
                <w:rFonts w:hint="eastAsia" w:ascii="宋体" w:hAnsi="宋体" w:eastAsia="宋体" w:cs="宋体"/>
                <w:sz w:val="18"/>
                <w:lang w:val="en-US" w:eastAsia="zh-CN"/>
              </w:rPr>
              <w:t>ST4000HKVS002/4TB</w:t>
            </w:r>
          </w:p>
          <w:p w14:paraId="3A22FA8F">
            <w:pPr>
              <w:spacing w:line="360" w:lineRule="auto"/>
              <w:jc w:val="center"/>
              <w:rPr>
                <w:rFonts w:hint="eastAsia" w:ascii="宋体" w:hAnsi="宋体" w:eastAsia="宋体" w:cs="宋体"/>
                <w:sz w:val="18"/>
                <w:lang w:val="en-US" w:eastAsia="zh-CN"/>
              </w:rPr>
            </w:pPr>
            <w:r>
              <w:rPr>
                <w:rFonts w:hint="eastAsia" w:ascii="宋体" w:hAnsi="宋体" w:eastAsia="宋体" w:cs="宋体"/>
                <w:sz w:val="18"/>
                <w:lang w:val="en-US" w:eastAsia="zh-CN"/>
              </w:rPr>
              <w:t>ST6000HKVS002/6TB</w:t>
            </w:r>
          </w:p>
        </w:tc>
        <w:tc>
          <w:tcPr>
            <w:tcW w:w="2412" w:type="dxa"/>
            <w:shd w:val="clear" w:color="auto" w:fill="auto"/>
            <w:vAlign w:val="center"/>
          </w:tcPr>
          <w:p w14:paraId="206184C7">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color w:val="000000"/>
                <w:sz w:val="18"/>
                <w:szCs w:val="18"/>
              </w:rPr>
              <w:t>监控室</w:t>
            </w:r>
          </w:p>
        </w:tc>
      </w:tr>
      <w:tr w14:paraId="2FC3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29" w:type="dxa"/>
            <w:vAlign w:val="center"/>
          </w:tcPr>
          <w:p w14:paraId="6A5EC4FE">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3</w:t>
            </w:r>
          </w:p>
        </w:tc>
        <w:tc>
          <w:tcPr>
            <w:tcW w:w="1375" w:type="dxa"/>
            <w:vAlign w:val="center"/>
          </w:tcPr>
          <w:p w14:paraId="4E21A824">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大墙显示屏</w:t>
            </w:r>
          </w:p>
        </w:tc>
        <w:tc>
          <w:tcPr>
            <w:tcW w:w="1940" w:type="dxa"/>
            <w:vAlign w:val="center"/>
          </w:tcPr>
          <w:p w14:paraId="77F3F229">
            <w:pPr>
              <w:spacing w:line="360" w:lineRule="auto"/>
              <w:jc w:val="center"/>
              <w:rPr>
                <w:rFonts w:hint="eastAsia" w:ascii="宋体" w:hAnsi="宋体" w:eastAsia="宋体" w:cs="宋体"/>
                <w:sz w:val="18"/>
                <w:szCs w:val="18"/>
              </w:rPr>
            </w:pPr>
          </w:p>
        </w:tc>
        <w:tc>
          <w:tcPr>
            <w:tcW w:w="1131" w:type="dxa"/>
            <w:vAlign w:val="center"/>
          </w:tcPr>
          <w:p w14:paraId="2E8DEC38">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30</w:t>
            </w:r>
            <w:r>
              <w:rPr>
                <w:rFonts w:hint="eastAsia" w:ascii="宋体" w:hAnsi="宋体" w:eastAsia="宋体" w:cs="宋体"/>
                <w:sz w:val="18"/>
                <w:szCs w:val="18"/>
              </w:rPr>
              <w:t>个</w:t>
            </w:r>
          </w:p>
        </w:tc>
        <w:tc>
          <w:tcPr>
            <w:tcW w:w="2357" w:type="dxa"/>
            <w:vAlign w:val="center"/>
          </w:tcPr>
          <w:p w14:paraId="0714A28E">
            <w:pPr>
              <w:spacing w:line="360" w:lineRule="auto"/>
              <w:jc w:val="center"/>
              <w:rPr>
                <w:rFonts w:hint="eastAsia" w:ascii="宋体" w:hAnsi="宋体" w:eastAsia="宋体" w:cs="宋体"/>
                <w:sz w:val="18"/>
                <w:szCs w:val="18"/>
              </w:rPr>
            </w:pPr>
          </w:p>
        </w:tc>
        <w:tc>
          <w:tcPr>
            <w:tcW w:w="2412" w:type="dxa"/>
            <w:shd w:val="clear" w:color="auto" w:fill="auto"/>
            <w:vAlign w:val="center"/>
          </w:tcPr>
          <w:p w14:paraId="0C3F81EE">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监控室</w:t>
            </w:r>
          </w:p>
        </w:tc>
      </w:tr>
      <w:tr w14:paraId="3205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9" w:type="dxa"/>
            <w:vAlign w:val="center"/>
          </w:tcPr>
          <w:p w14:paraId="77B3AD38">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4</w:t>
            </w:r>
          </w:p>
        </w:tc>
        <w:tc>
          <w:tcPr>
            <w:tcW w:w="1375" w:type="dxa"/>
            <w:vAlign w:val="center"/>
          </w:tcPr>
          <w:p w14:paraId="15111504">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流媒体服务器</w:t>
            </w:r>
          </w:p>
        </w:tc>
        <w:tc>
          <w:tcPr>
            <w:tcW w:w="1940" w:type="dxa"/>
            <w:vAlign w:val="center"/>
          </w:tcPr>
          <w:p w14:paraId="74CD40AC">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英飞拓</w:t>
            </w:r>
          </w:p>
        </w:tc>
        <w:tc>
          <w:tcPr>
            <w:tcW w:w="1131" w:type="dxa"/>
            <w:vAlign w:val="center"/>
          </w:tcPr>
          <w:p w14:paraId="7282F38D">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7</w:t>
            </w:r>
            <w:r>
              <w:rPr>
                <w:rFonts w:hint="eastAsia" w:ascii="宋体" w:hAnsi="宋体" w:eastAsia="宋体" w:cs="宋体"/>
                <w:sz w:val="18"/>
                <w:szCs w:val="18"/>
              </w:rPr>
              <w:t>台</w:t>
            </w:r>
          </w:p>
        </w:tc>
        <w:tc>
          <w:tcPr>
            <w:tcW w:w="2357" w:type="dxa"/>
            <w:vAlign w:val="center"/>
          </w:tcPr>
          <w:p w14:paraId="3CD89BF9">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XY-NDM-D4-P</w:t>
            </w:r>
          </w:p>
        </w:tc>
        <w:tc>
          <w:tcPr>
            <w:tcW w:w="2412" w:type="dxa"/>
            <w:shd w:val="clear" w:color="auto" w:fill="auto"/>
            <w:vAlign w:val="center"/>
          </w:tcPr>
          <w:p w14:paraId="1768C849">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监控室</w:t>
            </w:r>
          </w:p>
        </w:tc>
      </w:tr>
      <w:tr w14:paraId="42BA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9" w:type="dxa"/>
            <w:vAlign w:val="center"/>
          </w:tcPr>
          <w:p w14:paraId="7A577D59">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5</w:t>
            </w:r>
          </w:p>
        </w:tc>
        <w:tc>
          <w:tcPr>
            <w:tcW w:w="1375" w:type="dxa"/>
            <w:vAlign w:val="center"/>
          </w:tcPr>
          <w:p w14:paraId="6C86041C">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存储服务器</w:t>
            </w:r>
          </w:p>
        </w:tc>
        <w:tc>
          <w:tcPr>
            <w:tcW w:w="1940" w:type="dxa"/>
            <w:vAlign w:val="center"/>
          </w:tcPr>
          <w:p w14:paraId="0A49C4AB">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英飞拓</w:t>
            </w:r>
          </w:p>
        </w:tc>
        <w:tc>
          <w:tcPr>
            <w:tcW w:w="1131" w:type="dxa"/>
            <w:vAlign w:val="center"/>
          </w:tcPr>
          <w:p w14:paraId="2FAB1D27">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17</w:t>
            </w:r>
            <w:r>
              <w:rPr>
                <w:rFonts w:hint="eastAsia" w:ascii="宋体" w:hAnsi="宋体" w:eastAsia="宋体" w:cs="宋体"/>
                <w:sz w:val="18"/>
                <w:szCs w:val="18"/>
              </w:rPr>
              <w:t>台</w:t>
            </w:r>
          </w:p>
        </w:tc>
        <w:tc>
          <w:tcPr>
            <w:tcW w:w="2357" w:type="dxa"/>
            <w:vAlign w:val="center"/>
          </w:tcPr>
          <w:p w14:paraId="18270223">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XY-CVRD-E16-D2</w:t>
            </w:r>
          </w:p>
        </w:tc>
        <w:tc>
          <w:tcPr>
            <w:tcW w:w="2412" w:type="dxa"/>
            <w:shd w:val="clear" w:color="auto" w:fill="auto"/>
            <w:vAlign w:val="center"/>
          </w:tcPr>
          <w:p w14:paraId="62D9ADC2">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监控室</w:t>
            </w:r>
          </w:p>
        </w:tc>
      </w:tr>
      <w:tr w14:paraId="1237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vAlign w:val="center"/>
          </w:tcPr>
          <w:p w14:paraId="4D84DE59">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6</w:t>
            </w:r>
          </w:p>
        </w:tc>
        <w:tc>
          <w:tcPr>
            <w:tcW w:w="1375" w:type="dxa"/>
            <w:vAlign w:val="center"/>
          </w:tcPr>
          <w:p w14:paraId="01F3C721">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视频解码器</w:t>
            </w:r>
          </w:p>
        </w:tc>
        <w:tc>
          <w:tcPr>
            <w:tcW w:w="1940" w:type="dxa"/>
            <w:vAlign w:val="center"/>
          </w:tcPr>
          <w:p w14:paraId="272E8174">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英飞拓</w:t>
            </w:r>
          </w:p>
        </w:tc>
        <w:tc>
          <w:tcPr>
            <w:tcW w:w="1131" w:type="dxa"/>
            <w:vAlign w:val="center"/>
          </w:tcPr>
          <w:p w14:paraId="2DE747A6">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1</w:t>
            </w:r>
            <w:r>
              <w:rPr>
                <w:rFonts w:hint="eastAsia" w:ascii="宋体" w:hAnsi="宋体" w:eastAsia="宋体" w:cs="宋体"/>
                <w:sz w:val="18"/>
                <w:szCs w:val="18"/>
              </w:rPr>
              <w:t>台</w:t>
            </w:r>
          </w:p>
        </w:tc>
        <w:tc>
          <w:tcPr>
            <w:tcW w:w="2357" w:type="dxa"/>
            <w:vAlign w:val="center"/>
          </w:tcPr>
          <w:p w14:paraId="214714EA">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XY-EDPS-D3V</w:t>
            </w:r>
          </w:p>
        </w:tc>
        <w:tc>
          <w:tcPr>
            <w:tcW w:w="2412" w:type="dxa"/>
            <w:shd w:val="clear" w:color="auto" w:fill="auto"/>
            <w:vAlign w:val="center"/>
          </w:tcPr>
          <w:p w14:paraId="76142F9B">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监控室</w:t>
            </w:r>
          </w:p>
        </w:tc>
      </w:tr>
      <w:tr w14:paraId="336E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vAlign w:val="center"/>
          </w:tcPr>
          <w:p w14:paraId="7A1EA459">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7</w:t>
            </w:r>
          </w:p>
        </w:tc>
        <w:tc>
          <w:tcPr>
            <w:tcW w:w="1375" w:type="dxa"/>
            <w:vAlign w:val="center"/>
          </w:tcPr>
          <w:p w14:paraId="43CCE4AD">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上墙矩阵</w:t>
            </w:r>
          </w:p>
        </w:tc>
        <w:tc>
          <w:tcPr>
            <w:tcW w:w="1940" w:type="dxa"/>
            <w:vAlign w:val="center"/>
          </w:tcPr>
          <w:p w14:paraId="5FA565F8">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智美视讯</w:t>
            </w:r>
          </w:p>
        </w:tc>
        <w:tc>
          <w:tcPr>
            <w:tcW w:w="1131" w:type="dxa"/>
            <w:vAlign w:val="center"/>
          </w:tcPr>
          <w:p w14:paraId="221D3CEB">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sz w:val="18"/>
                <w:szCs w:val="18"/>
              </w:rPr>
              <w:t>台</w:t>
            </w:r>
          </w:p>
        </w:tc>
        <w:tc>
          <w:tcPr>
            <w:tcW w:w="2357" w:type="dxa"/>
            <w:vAlign w:val="center"/>
          </w:tcPr>
          <w:p w14:paraId="2A7CBF5E">
            <w:pPr>
              <w:spacing w:line="360" w:lineRule="auto"/>
              <w:jc w:val="center"/>
              <w:rPr>
                <w:rFonts w:hint="eastAsia" w:ascii="宋体" w:hAnsi="宋体" w:eastAsia="宋体" w:cs="宋体"/>
                <w:sz w:val="18"/>
                <w:szCs w:val="18"/>
              </w:rPr>
            </w:pPr>
          </w:p>
        </w:tc>
        <w:tc>
          <w:tcPr>
            <w:tcW w:w="2412" w:type="dxa"/>
            <w:shd w:val="clear" w:color="auto" w:fill="auto"/>
            <w:vAlign w:val="center"/>
          </w:tcPr>
          <w:p w14:paraId="3A1E87F4">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监控室</w:t>
            </w:r>
          </w:p>
        </w:tc>
      </w:tr>
      <w:tr w14:paraId="0FE7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vAlign w:val="center"/>
          </w:tcPr>
          <w:p w14:paraId="32F7B215">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8</w:t>
            </w:r>
          </w:p>
        </w:tc>
        <w:tc>
          <w:tcPr>
            <w:tcW w:w="1375" w:type="dxa"/>
            <w:vAlign w:val="center"/>
          </w:tcPr>
          <w:p w14:paraId="72656180">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监控室电脑</w:t>
            </w:r>
          </w:p>
        </w:tc>
        <w:tc>
          <w:tcPr>
            <w:tcW w:w="1940" w:type="dxa"/>
            <w:vAlign w:val="center"/>
          </w:tcPr>
          <w:p w14:paraId="08EB9C38">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联想，戴尔、宏基</w:t>
            </w:r>
          </w:p>
        </w:tc>
        <w:tc>
          <w:tcPr>
            <w:tcW w:w="1131" w:type="dxa"/>
            <w:vAlign w:val="center"/>
          </w:tcPr>
          <w:p w14:paraId="4C491FC5">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4</w:t>
            </w:r>
            <w:r>
              <w:rPr>
                <w:rFonts w:hint="eastAsia" w:ascii="宋体" w:hAnsi="宋体" w:eastAsia="宋体" w:cs="宋体"/>
                <w:sz w:val="18"/>
                <w:szCs w:val="18"/>
              </w:rPr>
              <w:t>台</w:t>
            </w:r>
          </w:p>
        </w:tc>
        <w:tc>
          <w:tcPr>
            <w:tcW w:w="2357" w:type="dxa"/>
            <w:vAlign w:val="center"/>
          </w:tcPr>
          <w:p w14:paraId="09D51EC2">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组装机</w:t>
            </w:r>
          </w:p>
        </w:tc>
        <w:tc>
          <w:tcPr>
            <w:tcW w:w="2412" w:type="dxa"/>
            <w:shd w:val="clear" w:color="auto" w:fill="auto"/>
            <w:vAlign w:val="center"/>
          </w:tcPr>
          <w:p w14:paraId="06A2D990">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监控室</w:t>
            </w:r>
          </w:p>
        </w:tc>
      </w:tr>
      <w:tr w14:paraId="467B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vAlign w:val="center"/>
          </w:tcPr>
          <w:p w14:paraId="479B944C">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9</w:t>
            </w:r>
          </w:p>
        </w:tc>
        <w:tc>
          <w:tcPr>
            <w:tcW w:w="1375" w:type="dxa"/>
            <w:vAlign w:val="center"/>
          </w:tcPr>
          <w:p w14:paraId="3DFEEF57">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五方对讲</w:t>
            </w:r>
          </w:p>
        </w:tc>
        <w:tc>
          <w:tcPr>
            <w:tcW w:w="1940" w:type="dxa"/>
            <w:vAlign w:val="center"/>
          </w:tcPr>
          <w:p w14:paraId="579801FA">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鸿运达电器厂</w:t>
            </w:r>
          </w:p>
        </w:tc>
        <w:tc>
          <w:tcPr>
            <w:tcW w:w="1131" w:type="dxa"/>
            <w:vAlign w:val="center"/>
          </w:tcPr>
          <w:p w14:paraId="7C7F18D8">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1套</w:t>
            </w:r>
          </w:p>
        </w:tc>
        <w:tc>
          <w:tcPr>
            <w:tcW w:w="2357" w:type="dxa"/>
            <w:vAlign w:val="center"/>
          </w:tcPr>
          <w:p w14:paraId="10430891">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HYD-20A-32</w:t>
            </w:r>
          </w:p>
        </w:tc>
        <w:tc>
          <w:tcPr>
            <w:tcW w:w="2412" w:type="dxa"/>
            <w:shd w:val="clear" w:color="auto" w:fill="auto"/>
            <w:vAlign w:val="center"/>
          </w:tcPr>
          <w:p w14:paraId="37128A23">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color w:val="000000"/>
                <w:sz w:val="18"/>
                <w:szCs w:val="18"/>
              </w:rPr>
              <w:t>20部电梯</w:t>
            </w:r>
          </w:p>
        </w:tc>
      </w:tr>
      <w:tr w14:paraId="4B8C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9" w:type="dxa"/>
            <w:vAlign w:val="center"/>
          </w:tcPr>
          <w:p w14:paraId="27F43158">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10</w:t>
            </w:r>
          </w:p>
        </w:tc>
        <w:tc>
          <w:tcPr>
            <w:tcW w:w="1375" w:type="dxa"/>
            <w:vAlign w:val="center"/>
          </w:tcPr>
          <w:p w14:paraId="355DE628">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入侵报警</w:t>
            </w:r>
          </w:p>
        </w:tc>
        <w:tc>
          <w:tcPr>
            <w:tcW w:w="1940" w:type="dxa"/>
            <w:vAlign w:val="center"/>
          </w:tcPr>
          <w:p w14:paraId="06924606">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霍尼韦尔安防</w:t>
            </w:r>
          </w:p>
        </w:tc>
        <w:tc>
          <w:tcPr>
            <w:tcW w:w="1131" w:type="dxa"/>
            <w:vAlign w:val="center"/>
          </w:tcPr>
          <w:p w14:paraId="05E68FA9">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3套</w:t>
            </w:r>
          </w:p>
        </w:tc>
        <w:tc>
          <w:tcPr>
            <w:tcW w:w="2357" w:type="dxa"/>
            <w:vAlign w:val="center"/>
          </w:tcPr>
          <w:p w14:paraId="516B73DE">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6160</w:t>
            </w:r>
          </w:p>
        </w:tc>
        <w:tc>
          <w:tcPr>
            <w:tcW w:w="2412" w:type="dxa"/>
            <w:shd w:val="clear" w:color="auto" w:fill="auto"/>
            <w:vAlign w:val="center"/>
          </w:tcPr>
          <w:p w14:paraId="01AF235A">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color w:val="000000"/>
                <w:sz w:val="18"/>
                <w:szCs w:val="18"/>
              </w:rPr>
              <w:t>中药房、门诊西药房、住院西药库房</w:t>
            </w:r>
          </w:p>
        </w:tc>
      </w:tr>
      <w:tr w14:paraId="7057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vAlign w:val="center"/>
          </w:tcPr>
          <w:p w14:paraId="5ED82583">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11</w:t>
            </w:r>
          </w:p>
        </w:tc>
        <w:tc>
          <w:tcPr>
            <w:tcW w:w="1375" w:type="dxa"/>
            <w:vAlign w:val="center"/>
          </w:tcPr>
          <w:p w14:paraId="4EF65E1D">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一键报警</w:t>
            </w:r>
          </w:p>
        </w:tc>
        <w:tc>
          <w:tcPr>
            <w:tcW w:w="1940" w:type="dxa"/>
            <w:vAlign w:val="center"/>
          </w:tcPr>
          <w:p w14:paraId="5BF7A5BB">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霍尼韦尔安防</w:t>
            </w:r>
          </w:p>
        </w:tc>
        <w:tc>
          <w:tcPr>
            <w:tcW w:w="1131" w:type="dxa"/>
            <w:vAlign w:val="center"/>
          </w:tcPr>
          <w:p w14:paraId="678B6524">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83</w:t>
            </w:r>
            <w:r>
              <w:rPr>
                <w:rFonts w:hint="eastAsia" w:ascii="宋体" w:hAnsi="宋体" w:eastAsia="宋体" w:cs="宋体"/>
                <w:sz w:val="18"/>
                <w:szCs w:val="18"/>
              </w:rPr>
              <w:t>个</w:t>
            </w:r>
          </w:p>
        </w:tc>
        <w:tc>
          <w:tcPr>
            <w:tcW w:w="2357" w:type="dxa"/>
            <w:vAlign w:val="center"/>
          </w:tcPr>
          <w:p w14:paraId="33CA1D6F">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4193SN</w:t>
            </w:r>
          </w:p>
        </w:tc>
        <w:tc>
          <w:tcPr>
            <w:tcW w:w="2412" w:type="dxa"/>
            <w:shd w:val="clear" w:color="auto" w:fill="auto"/>
            <w:vAlign w:val="center"/>
          </w:tcPr>
          <w:p w14:paraId="7150DFBD">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全院</w:t>
            </w:r>
          </w:p>
        </w:tc>
      </w:tr>
      <w:tr w14:paraId="346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9" w:type="dxa"/>
            <w:vAlign w:val="center"/>
          </w:tcPr>
          <w:p w14:paraId="09F72B63">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12</w:t>
            </w:r>
          </w:p>
        </w:tc>
        <w:tc>
          <w:tcPr>
            <w:tcW w:w="1375" w:type="dxa"/>
            <w:vAlign w:val="center"/>
          </w:tcPr>
          <w:p w14:paraId="6B8CD7A1">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巡更点</w:t>
            </w:r>
          </w:p>
        </w:tc>
        <w:tc>
          <w:tcPr>
            <w:tcW w:w="1940" w:type="dxa"/>
            <w:vAlign w:val="center"/>
          </w:tcPr>
          <w:p w14:paraId="646885F5">
            <w:pPr>
              <w:spacing w:line="360" w:lineRule="auto"/>
              <w:jc w:val="center"/>
              <w:rPr>
                <w:rFonts w:hint="eastAsia" w:ascii="宋体" w:hAnsi="宋体" w:eastAsia="宋体" w:cs="宋体"/>
                <w:sz w:val="18"/>
                <w:szCs w:val="18"/>
              </w:rPr>
            </w:pPr>
          </w:p>
        </w:tc>
        <w:tc>
          <w:tcPr>
            <w:tcW w:w="1131" w:type="dxa"/>
            <w:vAlign w:val="center"/>
          </w:tcPr>
          <w:p w14:paraId="012F114D">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130</w:t>
            </w:r>
            <w:r>
              <w:rPr>
                <w:rFonts w:hint="eastAsia" w:ascii="宋体" w:hAnsi="宋体" w:eastAsia="宋体" w:cs="宋体"/>
                <w:sz w:val="18"/>
                <w:szCs w:val="18"/>
              </w:rPr>
              <w:t>个</w:t>
            </w:r>
          </w:p>
        </w:tc>
        <w:tc>
          <w:tcPr>
            <w:tcW w:w="2357" w:type="dxa"/>
            <w:vAlign w:val="center"/>
          </w:tcPr>
          <w:p w14:paraId="36924E2D">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L-3000EF</w:t>
            </w:r>
          </w:p>
        </w:tc>
        <w:tc>
          <w:tcPr>
            <w:tcW w:w="2412" w:type="dxa"/>
            <w:shd w:val="clear" w:color="auto" w:fill="auto"/>
            <w:vAlign w:val="center"/>
          </w:tcPr>
          <w:p w14:paraId="6BA834D9">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全院</w:t>
            </w:r>
          </w:p>
        </w:tc>
      </w:tr>
      <w:tr w14:paraId="7FEB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9" w:type="dxa"/>
            <w:vMerge w:val="restart"/>
            <w:vAlign w:val="center"/>
          </w:tcPr>
          <w:p w14:paraId="2A0EE7AB">
            <w:pPr>
              <w:spacing w:line="36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375" w:type="dxa"/>
            <w:vMerge w:val="restart"/>
            <w:vAlign w:val="center"/>
          </w:tcPr>
          <w:p w14:paraId="4F53CCD6">
            <w:pPr>
              <w:spacing w:line="360" w:lineRule="auto"/>
              <w:ind w:firstLine="378" w:firstLineChars="200"/>
              <w:jc w:val="both"/>
              <w:rPr>
                <w:rFonts w:hint="eastAsia" w:ascii="宋体" w:hAnsi="宋体" w:eastAsia="宋体" w:cs="宋体"/>
                <w:sz w:val="18"/>
                <w:szCs w:val="18"/>
              </w:rPr>
            </w:pPr>
            <w:r>
              <w:rPr>
                <w:rFonts w:hint="eastAsia" w:ascii="宋体" w:hAnsi="宋体" w:eastAsia="宋体" w:cs="宋体"/>
                <w:color w:val="000000"/>
                <w:sz w:val="18"/>
                <w:szCs w:val="18"/>
              </w:rPr>
              <w:t>门禁</w:t>
            </w:r>
          </w:p>
        </w:tc>
        <w:tc>
          <w:tcPr>
            <w:tcW w:w="1940" w:type="dxa"/>
            <w:vAlign w:val="center"/>
          </w:tcPr>
          <w:p w14:paraId="74D13568">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FUJICA富士智能</w:t>
            </w:r>
          </w:p>
        </w:tc>
        <w:tc>
          <w:tcPr>
            <w:tcW w:w="1131" w:type="dxa"/>
            <w:vAlign w:val="center"/>
          </w:tcPr>
          <w:p w14:paraId="78973607">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2</w:t>
            </w:r>
            <w:r>
              <w:rPr>
                <w:rFonts w:hint="eastAsia" w:ascii="宋体" w:hAnsi="宋体" w:eastAsia="宋体" w:cs="宋体"/>
                <w:sz w:val="18"/>
                <w:szCs w:val="18"/>
              </w:rPr>
              <w:t>个</w:t>
            </w:r>
          </w:p>
        </w:tc>
        <w:tc>
          <w:tcPr>
            <w:tcW w:w="2357" w:type="dxa"/>
            <w:vAlign w:val="center"/>
          </w:tcPr>
          <w:p w14:paraId="4BBA8AF9">
            <w:pPr>
              <w:spacing w:line="360" w:lineRule="auto"/>
              <w:jc w:val="center"/>
              <w:rPr>
                <w:rFonts w:hint="eastAsia" w:ascii="宋体" w:hAnsi="宋体" w:eastAsia="宋体" w:cs="宋体"/>
                <w:sz w:val="18"/>
                <w:szCs w:val="18"/>
              </w:rPr>
            </w:pPr>
            <w:r>
              <w:rPr>
                <w:rFonts w:hint="eastAsia" w:ascii="宋体" w:hAnsi="宋体" w:eastAsia="宋体" w:cs="宋体"/>
                <w:sz w:val="18"/>
              </w:rPr>
              <w:t>FJC-MAT613</w:t>
            </w:r>
          </w:p>
        </w:tc>
        <w:tc>
          <w:tcPr>
            <w:tcW w:w="2412" w:type="dxa"/>
            <w:shd w:val="clear" w:color="auto" w:fill="auto"/>
            <w:vAlign w:val="center"/>
          </w:tcPr>
          <w:p w14:paraId="52AF08C4">
            <w:pPr>
              <w:spacing w:line="360" w:lineRule="auto"/>
              <w:jc w:val="center"/>
              <w:rPr>
                <w:rFonts w:hint="eastAsia" w:ascii="宋体" w:hAnsi="宋体" w:eastAsia="宋体" w:cs="宋体"/>
                <w:color w:val="000000"/>
                <w:kern w:val="0"/>
                <w:sz w:val="18"/>
                <w:szCs w:val="18"/>
                <w:lang w:val="en-US" w:eastAsia="en-US" w:bidi="ar-SA"/>
              </w:rPr>
            </w:pPr>
            <w:r>
              <w:rPr>
                <w:rFonts w:hint="eastAsia" w:ascii="宋体" w:hAnsi="宋体" w:eastAsia="宋体" w:cs="宋体"/>
                <w:sz w:val="18"/>
                <w:szCs w:val="18"/>
              </w:rPr>
              <w:t>住院部、门诊部、行政办公区</w:t>
            </w:r>
          </w:p>
        </w:tc>
      </w:tr>
      <w:tr w14:paraId="7D29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29" w:type="dxa"/>
            <w:vMerge w:val="continue"/>
            <w:vAlign w:val="center"/>
          </w:tcPr>
          <w:p w14:paraId="6ABA9F18">
            <w:pPr>
              <w:spacing w:line="360" w:lineRule="auto"/>
              <w:ind w:firstLine="378" w:firstLineChars="200"/>
              <w:jc w:val="center"/>
              <w:rPr>
                <w:rFonts w:hint="eastAsia" w:ascii="宋体" w:hAnsi="宋体" w:eastAsia="宋体" w:cs="宋体"/>
                <w:sz w:val="18"/>
                <w:szCs w:val="18"/>
              </w:rPr>
            </w:pPr>
          </w:p>
        </w:tc>
        <w:tc>
          <w:tcPr>
            <w:tcW w:w="1375" w:type="dxa"/>
            <w:vMerge w:val="continue"/>
            <w:vAlign w:val="center"/>
          </w:tcPr>
          <w:p w14:paraId="228F4645">
            <w:pPr>
              <w:spacing w:line="360" w:lineRule="auto"/>
              <w:ind w:firstLine="378" w:firstLineChars="200"/>
              <w:jc w:val="center"/>
              <w:rPr>
                <w:rFonts w:hint="eastAsia" w:ascii="宋体" w:hAnsi="宋体" w:eastAsia="宋体" w:cs="宋体"/>
                <w:sz w:val="18"/>
                <w:szCs w:val="18"/>
              </w:rPr>
            </w:pPr>
          </w:p>
        </w:tc>
        <w:tc>
          <w:tcPr>
            <w:tcW w:w="1940" w:type="dxa"/>
            <w:vAlign w:val="center"/>
          </w:tcPr>
          <w:p w14:paraId="7694E6C0">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海康威视</w:t>
            </w:r>
          </w:p>
        </w:tc>
        <w:tc>
          <w:tcPr>
            <w:tcW w:w="1131" w:type="dxa"/>
            <w:vAlign w:val="center"/>
          </w:tcPr>
          <w:p w14:paraId="44666817">
            <w:pPr>
              <w:spacing w:line="360" w:lineRule="auto"/>
              <w:jc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8</w:t>
            </w:r>
            <w:r>
              <w:rPr>
                <w:rFonts w:hint="eastAsia" w:ascii="宋体" w:hAnsi="宋体" w:eastAsia="宋体" w:cs="宋体"/>
                <w:sz w:val="18"/>
                <w:szCs w:val="18"/>
              </w:rPr>
              <w:t>个</w:t>
            </w:r>
          </w:p>
        </w:tc>
        <w:tc>
          <w:tcPr>
            <w:tcW w:w="2357" w:type="dxa"/>
            <w:vAlign w:val="center"/>
          </w:tcPr>
          <w:p w14:paraId="6F9F9D62">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lang w:eastAsia="zh-CN"/>
              </w:rPr>
              <w:t>DS-K1T105AM</w:t>
            </w:r>
          </w:p>
          <w:p w14:paraId="8EEA4F4A">
            <w:pPr>
              <w:spacing w:line="360" w:lineRule="auto"/>
              <w:jc w:val="center"/>
              <w:rPr>
                <w:rFonts w:hint="eastAsia" w:ascii="宋体" w:hAnsi="宋体" w:eastAsia="宋体" w:cs="宋体"/>
                <w:sz w:val="18"/>
                <w:lang w:eastAsia="zh-CN"/>
              </w:rPr>
            </w:pPr>
            <w:r>
              <w:rPr>
                <w:rFonts w:hint="eastAsia" w:ascii="宋体" w:hAnsi="宋体" w:eastAsia="宋体" w:cs="宋体"/>
                <w:sz w:val="18"/>
                <w:lang w:eastAsia="zh-CN"/>
              </w:rPr>
              <w:t>DS-KH6330-C</w:t>
            </w:r>
          </w:p>
          <w:p w14:paraId="30AEE37C">
            <w:pPr>
              <w:spacing w:line="360" w:lineRule="auto"/>
              <w:jc w:val="center"/>
              <w:rPr>
                <w:rFonts w:hint="eastAsia" w:ascii="宋体" w:hAnsi="宋体" w:eastAsia="宋体" w:cs="宋体"/>
                <w:sz w:val="18"/>
                <w:lang w:eastAsia="zh-CN"/>
              </w:rPr>
            </w:pPr>
            <w:r>
              <w:rPr>
                <w:rFonts w:hint="eastAsia" w:ascii="宋体" w:hAnsi="宋体" w:eastAsia="宋体" w:cs="宋体"/>
                <w:sz w:val="18"/>
                <w:lang w:eastAsia="zh-CN"/>
              </w:rPr>
              <w:t>DS-KV6113-P</w:t>
            </w:r>
          </w:p>
          <w:p w14:paraId="A5B397A6">
            <w:pPr>
              <w:spacing w:line="360" w:lineRule="auto"/>
              <w:jc w:val="center"/>
              <w:rPr>
                <w:rFonts w:hint="eastAsia" w:ascii="宋体" w:hAnsi="宋体" w:eastAsia="宋体" w:cs="宋体"/>
                <w:sz w:val="18"/>
                <w:lang w:eastAsia="zh-CN"/>
              </w:rPr>
            </w:pPr>
            <w:r>
              <w:rPr>
                <w:rFonts w:hint="eastAsia" w:ascii="宋体" w:hAnsi="宋体" w:eastAsia="宋体" w:cs="宋体"/>
                <w:sz w:val="18"/>
                <w:lang w:eastAsia="zh-CN"/>
              </w:rPr>
              <w:t>DS-KVJ113-P</w:t>
            </w:r>
          </w:p>
        </w:tc>
        <w:tc>
          <w:tcPr>
            <w:tcW w:w="2412" w:type="dxa"/>
            <w:shd w:val="clear" w:color="auto" w:fill="auto"/>
            <w:vAlign w:val="center"/>
          </w:tcPr>
          <w:p w14:paraId="719FE1C5">
            <w:pPr>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lang w:val="en-US" w:eastAsia="zh-CN"/>
              </w:rPr>
              <w:t>全院</w:t>
            </w:r>
          </w:p>
        </w:tc>
      </w:tr>
      <w:tr w14:paraId="601F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9" w:type="dxa"/>
            <w:vMerge w:val="continue"/>
            <w:vAlign w:val="center"/>
          </w:tcPr>
          <w:p w14:paraId="0FE6D3E5">
            <w:pPr>
              <w:spacing w:line="360" w:lineRule="auto"/>
              <w:jc w:val="center"/>
              <w:rPr>
                <w:rFonts w:hint="eastAsia" w:ascii="宋体" w:hAnsi="宋体" w:eastAsia="宋体" w:cs="宋体"/>
                <w:color w:val="000000"/>
                <w:sz w:val="18"/>
                <w:szCs w:val="18"/>
                <w:lang w:val="en-US" w:eastAsia="zh-CN"/>
              </w:rPr>
            </w:pPr>
          </w:p>
        </w:tc>
        <w:tc>
          <w:tcPr>
            <w:tcW w:w="3315" w:type="dxa"/>
            <w:gridSpan w:val="2"/>
            <w:vAlign w:val="center"/>
          </w:tcPr>
          <w:p w14:paraId="4F55C52F">
            <w:pPr>
              <w:spacing w:line="36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合计</w:t>
            </w:r>
          </w:p>
        </w:tc>
        <w:tc>
          <w:tcPr>
            <w:tcW w:w="1131" w:type="dxa"/>
            <w:vAlign w:val="center"/>
          </w:tcPr>
          <w:p w14:paraId="3C872E55">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380</w:t>
            </w:r>
            <w:r>
              <w:rPr>
                <w:rFonts w:hint="eastAsia" w:ascii="宋体" w:hAnsi="宋体" w:eastAsia="宋体" w:cs="宋体"/>
                <w:sz w:val="18"/>
                <w:szCs w:val="18"/>
              </w:rPr>
              <w:t>个</w:t>
            </w:r>
          </w:p>
        </w:tc>
        <w:tc>
          <w:tcPr>
            <w:tcW w:w="2357" w:type="dxa"/>
            <w:vAlign w:val="center"/>
          </w:tcPr>
          <w:p w14:paraId="0D77B19F">
            <w:pPr>
              <w:spacing w:line="360" w:lineRule="auto"/>
              <w:jc w:val="center"/>
              <w:rPr>
                <w:rFonts w:hint="eastAsia" w:ascii="宋体" w:hAnsi="宋体" w:eastAsia="宋体" w:cs="宋体"/>
                <w:sz w:val="18"/>
                <w:szCs w:val="18"/>
                <w:lang w:val="en-US" w:eastAsia="zh-CN"/>
              </w:rPr>
            </w:pPr>
          </w:p>
        </w:tc>
        <w:tc>
          <w:tcPr>
            <w:tcW w:w="2412" w:type="dxa"/>
            <w:vAlign w:val="center"/>
          </w:tcPr>
          <w:p w14:paraId="49817D8A">
            <w:pPr>
              <w:spacing w:line="360" w:lineRule="auto"/>
              <w:jc w:val="center"/>
              <w:rPr>
                <w:rFonts w:hint="eastAsia" w:ascii="宋体" w:hAnsi="宋体" w:eastAsia="宋体" w:cs="宋体"/>
                <w:sz w:val="18"/>
                <w:szCs w:val="18"/>
                <w:lang w:val="en-US" w:eastAsia="zh-CN"/>
              </w:rPr>
            </w:pPr>
          </w:p>
        </w:tc>
      </w:tr>
    </w:tbl>
    <w:p w14:paraId="7A0A14C6">
      <w:pPr>
        <w:pStyle w:val="16"/>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18" w:firstLineChars="200"/>
        <w:jc w:val="both"/>
        <w:textAlignment w:val="baseline"/>
        <w:rPr>
          <w:rFonts w:hint="eastAsia" w:ascii="宋体" w:hAnsi="宋体"/>
          <w:b/>
          <w:bCs/>
          <w:color w:val="auto"/>
          <w:kern w:val="2"/>
          <w:szCs w:val="28"/>
          <w:lang w:val="en-US" w:eastAsia="zh-CN"/>
        </w:rPr>
      </w:pPr>
      <w:r>
        <w:rPr>
          <w:rFonts w:hint="eastAsia" w:ascii="Arial"/>
          <w:color w:val="FF0000"/>
          <w:sz w:val="20"/>
          <w:szCs w:val="20"/>
          <w:lang w:eastAsia="zh-CN"/>
        </w:rPr>
        <w:t>★</w:t>
      </w:r>
      <w:r>
        <w:rPr>
          <w:rFonts w:hint="eastAsia" w:ascii="宋体" w:hAnsi="宋体"/>
          <w:b/>
          <w:bCs/>
          <w:color w:val="auto"/>
          <w:kern w:val="2"/>
          <w:szCs w:val="28"/>
          <w:lang w:val="en-US" w:eastAsia="zh-CN"/>
        </w:rPr>
        <w:t>2、服务要求</w:t>
      </w:r>
    </w:p>
    <w:p w14:paraId="2CCC9EF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b/>
          <w:bCs/>
          <w:color w:val="auto"/>
          <w:kern w:val="0"/>
          <w:sz w:val="24"/>
          <w:lang w:val="en-US" w:eastAsia="zh-CN"/>
        </w:rPr>
        <w:t>（1）维护保养目标</w:t>
      </w:r>
      <w:r>
        <w:rPr>
          <w:rFonts w:hint="eastAsia" w:ascii="宋体" w:hAnsi="宋体" w:eastAsia="宋体" w:cs="Times New Roman"/>
          <w:color w:val="auto"/>
          <w:kern w:val="0"/>
          <w:sz w:val="24"/>
          <w:lang w:val="en-US" w:eastAsia="zh-CN"/>
        </w:rPr>
        <w:t> </w:t>
      </w:r>
    </w:p>
    <w:p w14:paraId="0CE1949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①系统稳定性：确保弱电系统各设备运行稳定，减少故障发生率。</w:t>
      </w:r>
    </w:p>
    <w:p w14:paraId="4511D85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②响应及时性：建立快速响应机制，及时处理突发故障，保障系统持续运行。 </w:t>
      </w:r>
    </w:p>
    <w:p w14:paraId="75BFF32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③数据安全性：保障信息传输的安全与稳定，防止数据泄露和丢失。</w:t>
      </w:r>
    </w:p>
    <w:p w14:paraId="56C6CC0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④设备寿命延长：通过定期维护，延长设备使用寿命，降低更换成本。</w:t>
      </w:r>
    </w:p>
    <w:p w14:paraId="2096065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b/>
          <w:bCs/>
          <w:color w:val="auto"/>
          <w:kern w:val="0"/>
          <w:sz w:val="24"/>
          <w:lang w:val="en-US" w:eastAsia="zh-CN"/>
        </w:rPr>
      </w:pPr>
      <w:r>
        <w:rPr>
          <w:rFonts w:hint="eastAsia" w:ascii="宋体" w:hAnsi="宋体" w:eastAsia="宋体" w:cs="Times New Roman"/>
          <w:b/>
          <w:bCs/>
          <w:color w:val="auto"/>
          <w:kern w:val="0"/>
          <w:sz w:val="24"/>
          <w:lang w:val="en-US" w:eastAsia="zh-CN"/>
        </w:rPr>
        <w:t>（2）维护保养标准</w:t>
      </w:r>
    </w:p>
    <w:p w14:paraId="1BBCAD4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①日常巡检</w:t>
      </w:r>
    </w:p>
    <w:p w14:paraId="37116F3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eastAsia="宋体" w:cs="Times New Roman"/>
          <w:color w:val="auto"/>
          <w:kern w:val="0"/>
          <w:sz w:val="24"/>
          <w:lang w:val="en-US" w:eastAsia="zh-CN"/>
        </w:rPr>
        <w:t>1</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en-US"/>
        </w:rPr>
        <w:t>每</w:t>
      </w:r>
      <w:r>
        <w:rPr>
          <w:rFonts w:hint="eastAsia" w:ascii="宋体" w:hAnsi="宋体" w:eastAsia="宋体" w:cs="Times New Roman"/>
          <w:color w:val="auto"/>
          <w:kern w:val="0"/>
          <w:sz w:val="24"/>
          <w:lang w:val="en-US" w:eastAsia="zh-CN"/>
        </w:rPr>
        <w:t>月至少</w:t>
      </w:r>
      <w:r>
        <w:rPr>
          <w:rFonts w:hint="eastAsia" w:ascii="宋体" w:hAnsi="宋体" w:eastAsia="宋体" w:cs="Times New Roman"/>
          <w:color w:val="auto"/>
          <w:kern w:val="0"/>
          <w:sz w:val="24"/>
          <w:lang w:val="en-US" w:eastAsia="en-US"/>
        </w:rPr>
        <w:t>进行</w:t>
      </w:r>
      <w:r>
        <w:rPr>
          <w:rFonts w:hint="eastAsia" w:ascii="宋体" w:hAnsi="宋体" w:eastAsia="宋体" w:cs="Times New Roman"/>
          <w:color w:val="auto"/>
          <w:kern w:val="0"/>
          <w:sz w:val="24"/>
          <w:lang w:val="en-US" w:eastAsia="zh-CN"/>
        </w:rPr>
        <w:t>四</w:t>
      </w:r>
      <w:r>
        <w:rPr>
          <w:rFonts w:hint="eastAsia" w:ascii="宋体" w:hAnsi="宋体" w:eastAsia="宋体" w:cs="Times New Roman"/>
          <w:color w:val="auto"/>
          <w:kern w:val="0"/>
          <w:sz w:val="24"/>
          <w:lang w:val="en-US" w:eastAsia="en-US"/>
        </w:rPr>
        <w:t>次</w:t>
      </w:r>
      <w:r>
        <w:rPr>
          <w:rFonts w:hint="eastAsia" w:ascii="宋体" w:hAnsi="宋体" w:eastAsia="宋体" w:cs="Times New Roman"/>
          <w:color w:val="auto"/>
          <w:kern w:val="0"/>
          <w:sz w:val="24"/>
          <w:lang w:val="en-US" w:eastAsia="zh-CN"/>
        </w:rPr>
        <w:t>设备</w:t>
      </w:r>
      <w:r>
        <w:rPr>
          <w:rFonts w:hint="eastAsia" w:ascii="宋体" w:hAnsi="宋体" w:eastAsia="宋体" w:cs="Times New Roman"/>
          <w:color w:val="auto"/>
          <w:kern w:val="0"/>
          <w:sz w:val="24"/>
          <w:lang w:val="en-US" w:eastAsia="en-US"/>
        </w:rPr>
        <w:t>巡检；</w:t>
      </w:r>
    </w:p>
    <w:p w14:paraId="76F7102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eastAsia="宋体" w:cs="Times New Roman"/>
          <w:color w:val="auto"/>
          <w:kern w:val="0"/>
          <w:sz w:val="24"/>
          <w:lang w:val="en-US" w:eastAsia="zh-CN"/>
        </w:rPr>
        <w:t>2</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en-US"/>
        </w:rPr>
        <w:t>每季度</w:t>
      </w:r>
      <w:r>
        <w:rPr>
          <w:rFonts w:hint="eastAsia" w:ascii="宋体" w:hAnsi="宋体" w:eastAsia="宋体" w:cs="Times New Roman"/>
          <w:color w:val="auto"/>
          <w:kern w:val="0"/>
          <w:sz w:val="24"/>
          <w:lang w:val="en-US" w:eastAsia="zh-CN"/>
        </w:rPr>
        <w:t>至少</w:t>
      </w:r>
      <w:r>
        <w:rPr>
          <w:rFonts w:hint="eastAsia" w:ascii="宋体" w:hAnsi="宋体" w:eastAsia="宋体" w:cs="Times New Roman"/>
          <w:color w:val="auto"/>
          <w:kern w:val="0"/>
          <w:sz w:val="24"/>
          <w:lang w:val="en-US" w:eastAsia="en-US"/>
        </w:rPr>
        <w:t>进行一次</w:t>
      </w:r>
      <w:r>
        <w:rPr>
          <w:rFonts w:hint="eastAsia" w:ascii="宋体" w:hAnsi="宋体" w:eastAsia="宋体" w:cs="Times New Roman"/>
          <w:color w:val="auto"/>
          <w:kern w:val="0"/>
          <w:sz w:val="24"/>
          <w:lang w:val="en-US" w:eastAsia="zh-CN"/>
        </w:rPr>
        <w:t>设备</w:t>
      </w:r>
      <w:r>
        <w:rPr>
          <w:rFonts w:hint="eastAsia" w:ascii="宋体" w:hAnsi="宋体" w:eastAsia="宋体" w:cs="Times New Roman"/>
          <w:color w:val="auto"/>
          <w:kern w:val="0"/>
          <w:sz w:val="24"/>
          <w:lang w:val="en-US" w:eastAsia="en-US"/>
        </w:rPr>
        <w:t>季检；</w:t>
      </w:r>
    </w:p>
    <w:p w14:paraId="6B5B7BE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eastAsia="宋体" w:cs="Times New Roman"/>
          <w:color w:val="auto"/>
          <w:kern w:val="0"/>
          <w:sz w:val="24"/>
          <w:lang w:val="en-US" w:eastAsia="zh-CN"/>
        </w:rPr>
        <w:t>3</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en-US"/>
        </w:rPr>
        <w:t>每年度</w:t>
      </w:r>
      <w:r>
        <w:rPr>
          <w:rFonts w:hint="eastAsia" w:ascii="宋体" w:hAnsi="宋体" w:eastAsia="宋体" w:cs="Times New Roman"/>
          <w:color w:val="auto"/>
          <w:kern w:val="0"/>
          <w:sz w:val="24"/>
          <w:lang w:val="en-US" w:eastAsia="zh-CN"/>
        </w:rPr>
        <w:t>至少</w:t>
      </w:r>
      <w:r>
        <w:rPr>
          <w:rFonts w:hint="eastAsia" w:ascii="宋体" w:hAnsi="宋体" w:eastAsia="宋体" w:cs="Times New Roman"/>
          <w:color w:val="auto"/>
          <w:kern w:val="0"/>
          <w:sz w:val="24"/>
          <w:lang w:val="en-US" w:eastAsia="en-US"/>
        </w:rPr>
        <w:t>进行一次</w:t>
      </w:r>
      <w:r>
        <w:rPr>
          <w:rFonts w:hint="eastAsia" w:ascii="宋体" w:hAnsi="宋体" w:eastAsia="宋体" w:cs="Times New Roman"/>
          <w:color w:val="auto"/>
          <w:kern w:val="0"/>
          <w:sz w:val="24"/>
          <w:lang w:val="en-US" w:eastAsia="zh-CN"/>
        </w:rPr>
        <w:t>全面的设备</w:t>
      </w:r>
      <w:r>
        <w:rPr>
          <w:rFonts w:hint="eastAsia" w:ascii="宋体" w:hAnsi="宋体" w:eastAsia="宋体" w:cs="Times New Roman"/>
          <w:color w:val="auto"/>
          <w:kern w:val="0"/>
          <w:sz w:val="24"/>
          <w:lang w:val="en-US" w:eastAsia="en-US"/>
        </w:rPr>
        <w:t>年检；</w:t>
      </w:r>
    </w:p>
    <w:p w14:paraId="3934C9D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en-US"/>
        </w:rPr>
      </w:pPr>
      <w:r>
        <w:rPr>
          <w:rFonts w:hint="eastAsia" w:ascii="宋体" w:hAnsi="宋体" w:eastAsia="宋体" w:cs="Times New Roman"/>
          <w:color w:val="auto"/>
          <w:kern w:val="0"/>
          <w:sz w:val="24"/>
          <w:lang w:val="en-US" w:eastAsia="zh-CN"/>
        </w:rPr>
        <w:t>4</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1、2、3</w:t>
      </w:r>
      <w:r>
        <w:rPr>
          <w:rFonts w:hint="eastAsia" w:ascii="宋体" w:hAnsi="宋体" w:eastAsia="宋体" w:cs="Times New Roman"/>
          <w:color w:val="auto"/>
          <w:kern w:val="0"/>
          <w:sz w:val="24"/>
          <w:lang w:val="en-US" w:eastAsia="en-US"/>
        </w:rPr>
        <w:t>项</w:t>
      </w:r>
      <w:r>
        <w:rPr>
          <w:rFonts w:hint="eastAsia" w:ascii="宋体" w:hAnsi="宋体" w:eastAsia="宋体" w:cs="Times New Roman"/>
          <w:color w:val="auto"/>
          <w:kern w:val="0"/>
          <w:sz w:val="24"/>
          <w:lang w:val="en-US" w:eastAsia="zh-CN"/>
        </w:rPr>
        <w:t>巡检</w:t>
      </w:r>
      <w:r>
        <w:rPr>
          <w:rFonts w:hint="eastAsia" w:ascii="宋体" w:hAnsi="宋体" w:eastAsia="宋体" w:cs="Times New Roman"/>
          <w:color w:val="auto"/>
          <w:kern w:val="0"/>
          <w:sz w:val="24"/>
          <w:lang w:val="en-US" w:eastAsia="en-US"/>
        </w:rPr>
        <w:t>提供检查报告及整改优化效果评价</w:t>
      </w:r>
      <w:r>
        <w:rPr>
          <w:rFonts w:hint="eastAsia" w:ascii="宋体" w:hAnsi="宋体" w:eastAsia="宋体" w:cs="Times New Roman"/>
          <w:color w:val="auto"/>
          <w:kern w:val="0"/>
          <w:sz w:val="24"/>
          <w:lang w:val="en-US" w:eastAsia="zh-CN"/>
        </w:rPr>
        <w:t>，严格执行定期检查各设备的运行状态，确保设备正常工作。</w:t>
      </w:r>
    </w:p>
    <w:p w14:paraId="7495C24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5</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清洁维护：供应商应提供本</w:t>
      </w:r>
      <w:r>
        <w:rPr>
          <w:rFonts w:hint="eastAsia" w:ascii="宋体" w:hAnsi="宋体" w:eastAsia="宋体" w:cs="Times New Roman"/>
          <w:color w:val="auto"/>
          <w:kern w:val="0"/>
          <w:sz w:val="24"/>
          <w:lang w:val="en-US" w:eastAsia="en-US"/>
        </w:rPr>
        <w:t>项目所有监控相关硬件设备的清洁、除尘、保养（监控摄像机、服务器、操作电脑、立杆、机柜、配电箱等</w:t>
      </w:r>
      <w:r>
        <w:rPr>
          <w:rFonts w:hint="eastAsia" w:ascii="宋体" w:hAnsi="宋体" w:eastAsia="宋体" w:cs="Times New Roman"/>
          <w:color w:val="auto"/>
          <w:kern w:val="0"/>
          <w:sz w:val="24"/>
          <w:lang w:val="en-US" w:eastAsia="zh-CN"/>
        </w:rPr>
        <w:t>，</w:t>
      </w:r>
      <w:r>
        <w:rPr>
          <w:rFonts w:hint="eastAsia" w:ascii="宋体" w:hAnsi="宋体" w:eastAsia="宋体" w:cs="Times New Roman"/>
          <w:color w:val="auto"/>
          <w:kern w:val="0"/>
          <w:sz w:val="24"/>
          <w:lang w:val="en-US" w:eastAsia="en-US"/>
        </w:rPr>
        <w:t>包括清扫蛛网、修剪</w:t>
      </w:r>
      <w:r>
        <w:rPr>
          <w:rFonts w:hint="eastAsia" w:ascii="宋体" w:hAnsi="宋体" w:eastAsia="宋体" w:cs="Times New Roman"/>
          <w:color w:val="auto"/>
          <w:kern w:val="0"/>
          <w:sz w:val="24"/>
          <w:lang w:val="en-US" w:eastAsia="zh-CN"/>
        </w:rPr>
        <w:t>遮挡设备</w:t>
      </w:r>
      <w:r>
        <w:rPr>
          <w:rFonts w:hint="eastAsia" w:ascii="宋体" w:hAnsi="宋体" w:eastAsia="宋体" w:cs="Times New Roman"/>
          <w:color w:val="auto"/>
          <w:kern w:val="0"/>
          <w:sz w:val="24"/>
          <w:lang w:val="en-US" w:eastAsia="en-US"/>
        </w:rPr>
        <w:t>绿植）</w:t>
      </w:r>
      <w:r>
        <w:rPr>
          <w:rFonts w:hint="eastAsia" w:ascii="宋体" w:hAnsi="宋体" w:eastAsia="宋体" w:cs="Times New Roman"/>
          <w:color w:val="auto"/>
          <w:kern w:val="0"/>
          <w:sz w:val="24"/>
          <w:lang w:val="en-US" w:eastAsia="zh-CN"/>
        </w:rPr>
        <w:t>的</w:t>
      </w:r>
      <w:r>
        <w:rPr>
          <w:rFonts w:hint="eastAsia" w:ascii="宋体" w:hAnsi="宋体" w:eastAsia="宋体" w:cs="Times New Roman"/>
          <w:color w:val="auto"/>
          <w:kern w:val="0"/>
          <w:sz w:val="24"/>
          <w:lang w:val="en-US" w:eastAsia="en-US"/>
        </w:rPr>
        <w:t>集中服务</w:t>
      </w:r>
      <w:r>
        <w:rPr>
          <w:rFonts w:hint="eastAsia" w:ascii="宋体" w:hAnsi="宋体" w:eastAsia="宋体" w:cs="Times New Roman"/>
          <w:color w:val="auto"/>
          <w:kern w:val="0"/>
          <w:sz w:val="24"/>
          <w:lang w:val="en-US" w:eastAsia="zh-CN"/>
        </w:rPr>
        <w:t>至少</w:t>
      </w:r>
      <w:r>
        <w:rPr>
          <w:rFonts w:hint="eastAsia" w:ascii="宋体" w:hAnsi="宋体" w:eastAsia="宋体" w:cs="Times New Roman"/>
          <w:color w:val="auto"/>
          <w:kern w:val="0"/>
          <w:sz w:val="24"/>
          <w:lang w:val="en-US" w:eastAsia="en-US"/>
        </w:rPr>
        <w:t>2次/年</w:t>
      </w:r>
      <w:r>
        <w:rPr>
          <w:rFonts w:hint="eastAsia" w:ascii="宋体" w:hAnsi="宋体" w:eastAsia="宋体" w:cs="Times New Roman"/>
          <w:color w:val="auto"/>
          <w:kern w:val="0"/>
          <w:sz w:val="24"/>
          <w:lang w:val="en-US" w:eastAsia="zh-CN"/>
        </w:rPr>
        <w:t>；分散服务：采购人根据实际情况提出要求，供应商须按要求响应。</w:t>
      </w:r>
    </w:p>
    <w:p w14:paraId="690CFB0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6</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记录管理：详细记录每次巡检的情况，建立设备运行档案，巡检结束后,巡检记录表需采购人相关部门负责人签字确认；巡检单一式贰份，采购人壹份，供应商壹份。</w:t>
      </w:r>
    </w:p>
    <w:p w14:paraId="3A1B146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②系统维护</w:t>
      </w:r>
    </w:p>
    <w:p w14:paraId="2108E17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系统检测：供应商应提供本项目</w:t>
      </w:r>
      <w:r>
        <w:rPr>
          <w:rFonts w:hint="eastAsia" w:ascii="宋体" w:hAnsi="宋体" w:eastAsia="宋体" w:cs="Times New Roman"/>
          <w:color w:val="auto"/>
          <w:kern w:val="0"/>
          <w:sz w:val="24"/>
          <w:lang w:val="en-US" w:eastAsia="en-US"/>
        </w:rPr>
        <w:t>所有监控相关系统软件、操作软件等及监控网络环境运行情况的检查、测试、调整、恢复、升级优化</w:t>
      </w:r>
      <w:r>
        <w:rPr>
          <w:rFonts w:hint="eastAsia" w:ascii="宋体" w:hAnsi="宋体" w:eastAsia="宋体" w:cs="Times New Roman"/>
          <w:color w:val="auto"/>
          <w:kern w:val="0"/>
          <w:sz w:val="24"/>
          <w:lang w:val="en-US" w:eastAsia="zh-CN"/>
        </w:rPr>
        <w:t>的</w:t>
      </w:r>
      <w:r>
        <w:rPr>
          <w:rFonts w:hint="eastAsia" w:ascii="宋体" w:hAnsi="宋体" w:eastAsia="宋体" w:cs="Times New Roman"/>
          <w:color w:val="auto"/>
          <w:kern w:val="0"/>
          <w:sz w:val="24"/>
          <w:lang w:val="en-US" w:eastAsia="en-US"/>
        </w:rPr>
        <w:t>集中服务</w:t>
      </w:r>
      <w:r>
        <w:rPr>
          <w:rFonts w:hint="eastAsia" w:ascii="宋体" w:hAnsi="宋体" w:eastAsia="宋体" w:cs="Times New Roman"/>
          <w:color w:val="auto"/>
          <w:kern w:val="0"/>
          <w:sz w:val="24"/>
          <w:lang w:val="en-US" w:eastAsia="zh-CN"/>
        </w:rPr>
        <w:t>至少</w:t>
      </w:r>
      <w:r>
        <w:rPr>
          <w:rFonts w:hint="eastAsia" w:ascii="宋体" w:hAnsi="宋体" w:eastAsia="宋体" w:cs="Times New Roman"/>
          <w:color w:val="auto"/>
          <w:kern w:val="0"/>
          <w:sz w:val="24"/>
          <w:lang w:val="en-US" w:eastAsia="en-US"/>
        </w:rPr>
        <w:t>2次/年</w:t>
      </w:r>
      <w:r>
        <w:rPr>
          <w:rFonts w:hint="eastAsia" w:ascii="宋体" w:hAnsi="宋体" w:eastAsia="宋体" w:cs="Times New Roman"/>
          <w:color w:val="auto"/>
          <w:kern w:val="0"/>
          <w:sz w:val="24"/>
          <w:lang w:val="en-US" w:eastAsia="zh-CN"/>
        </w:rPr>
        <w:t>；分散服务：采购人根据实际情况提出要求，供应商须按要求响应。</w:t>
      </w:r>
    </w:p>
    <w:p w14:paraId="7234DFD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硬件维护：供应商应提供本</w:t>
      </w:r>
      <w:r>
        <w:rPr>
          <w:rFonts w:hint="eastAsia" w:ascii="宋体" w:hAnsi="宋体" w:eastAsia="宋体" w:cs="Times New Roman"/>
          <w:color w:val="auto"/>
          <w:kern w:val="0"/>
          <w:sz w:val="24"/>
          <w:lang w:val="en-US" w:eastAsia="en-US"/>
        </w:rPr>
        <w:t>项目所有监控相关硬件设备的调整、运行状态检测、维修（监控摄像机、服务器、操作电脑、立杆、机柜、配电箱等；包括清扫蛛网、修剪</w:t>
      </w:r>
      <w:r>
        <w:rPr>
          <w:rFonts w:hint="eastAsia" w:ascii="宋体" w:hAnsi="宋体" w:eastAsia="宋体" w:cs="Times New Roman"/>
          <w:color w:val="auto"/>
          <w:kern w:val="0"/>
          <w:sz w:val="24"/>
          <w:lang w:val="en-US" w:eastAsia="zh-CN"/>
        </w:rPr>
        <w:t>遮挡设备</w:t>
      </w:r>
      <w:r>
        <w:rPr>
          <w:rFonts w:hint="eastAsia" w:ascii="宋体" w:hAnsi="宋体" w:eastAsia="宋体" w:cs="Times New Roman"/>
          <w:color w:val="auto"/>
          <w:kern w:val="0"/>
          <w:sz w:val="24"/>
          <w:lang w:val="en-US" w:eastAsia="en-US"/>
        </w:rPr>
        <w:t>绿植）</w:t>
      </w:r>
      <w:r>
        <w:rPr>
          <w:rFonts w:hint="eastAsia" w:ascii="宋体" w:hAnsi="宋体" w:eastAsia="宋体" w:cs="Times New Roman"/>
          <w:color w:val="auto"/>
          <w:kern w:val="0"/>
          <w:sz w:val="24"/>
          <w:lang w:val="en-US" w:eastAsia="zh-CN"/>
        </w:rPr>
        <w:t>的</w:t>
      </w:r>
      <w:r>
        <w:rPr>
          <w:rFonts w:hint="eastAsia" w:ascii="宋体" w:hAnsi="宋体" w:eastAsia="宋体" w:cs="Times New Roman"/>
          <w:color w:val="auto"/>
          <w:kern w:val="0"/>
          <w:sz w:val="24"/>
          <w:lang w:val="en-US" w:eastAsia="en-US"/>
        </w:rPr>
        <w:t>集中服务</w:t>
      </w:r>
      <w:r>
        <w:rPr>
          <w:rFonts w:hint="eastAsia" w:ascii="宋体" w:hAnsi="宋体" w:eastAsia="宋体" w:cs="Times New Roman"/>
          <w:color w:val="auto"/>
          <w:kern w:val="0"/>
          <w:sz w:val="24"/>
          <w:lang w:val="en-US" w:eastAsia="zh-CN"/>
        </w:rPr>
        <w:t>至少</w:t>
      </w:r>
      <w:r>
        <w:rPr>
          <w:rFonts w:hint="eastAsia" w:ascii="宋体" w:hAnsi="宋体" w:eastAsia="宋体" w:cs="Times New Roman"/>
          <w:color w:val="auto"/>
          <w:kern w:val="0"/>
          <w:sz w:val="24"/>
          <w:lang w:val="en-US" w:eastAsia="en-US"/>
        </w:rPr>
        <w:t>2次/年</w:t>
      </w:r>
      <w:r>
        <w:rPr>
          <w:rFonts w:hint="eastAsia" w:ascii="宋体" w:hAnsi="宋体" w:eastAsia="宋体" w:cs="Times New Roman"/>
          <w:color w:val="auto"/>
          <w:kern w:val="0"/>
          <w:sz w:val="24"/>
          <w:lang w:val="en-US" w:eastAsia="zh-CN"/>
        </w:rPr>
        <w:t>；分散服务：采购人根据实际情况提出要求，供应商须按要求响应。</w:t>
      </w:r>
    </w:p>
    <w:p w14:paraId="5DFFCFE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③ 故障处理</w:t>
      </w:r>
    </w:p>
    <w:p w14:paraId="38270B3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安防系统报障网络、供电链路的排查，可解决的故障现场恢复（如水晶头老化、接触不良、IP地址冲突、设备掉线等常见软硬件问题）；因链路隐蔽工程（如预埋线路失效等）、硬件故障而无法修复的故障，供应商维保人员应及时反馈给采购人并提出解决方案。</w:t>
      </w:r>
    </w:p>
    <w:p w14:paraId="5BD4F1F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故障处理到达现场时间不大于4小时；一般故障处理时间不得大于12小时；中级故障处理时间不得大于24小时；重大故障处理时间不得大于72小时。如在规定时间内不能处理的故障，须提交故障处理报告并由供应商提供相应的备用设备保证系统的正常运行。</w:t>
      </w:r>
    </w:p>
    <w:p w14:paraId="6DB38E3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故障设备的替换品采购到位后，由供应商负责故障设备拆卸和更换，供应商不得另行收费。</w:t>
      </w:r>
    </w:p>
    <w:p w14:paraId="419949E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4</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协助采购人排查因其它异常造成与系统的有关的故障。</w:t>
      </w:r>
    </w:p>
    <w:p w14:paraId="514A02E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5</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供应商负责更换配件，材料配件由采购</w:t>
      </w:r>
      <w:r>
        <w:rPr>
          <w:rFonts w:hint="eastAsia" w:ascii="宋体" w:hAnsi="宋体" w:cs="Times New Roman"/>
          <w:color w:val="auto"/>
          <w:kern w:val="0"/>
          <w:sz w:val="24"/>
          <w:lang w:val="en-US" w:eastAsia="zh-CN"/>
        </w:rPr>
        <w:t>人</w:t>
      </w:r>
      <w:r>
        <w:rPr>
          <w:rFonts w:hint="eastAsia" w:ascii="宋体" w:hAnsi="宋体" w:eastAsia="宋体" w:cs="Times New Roman"/>
          <w:color w:val="auto"/>
          <w:kern w:val="0"/>
          <w:sz w:val="24"/>
          <w:lang w:val="en-US" w:eastAsia="zh-CN"/>
        </w:rPr>
        <w:t>提供，供应商不得另行收费。</w:t>
      </w:r>
    </w:p>
    <w:p w14:paraId="42E3A79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6</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无论何种形式检查、检测、维护、维修均应及时做好原始记录，经采购人指定人员核对签字存档。</w:t>
      </w:r>
    </w:p>
    <w:p w14:paraId="2E0E8B4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b/>
          <w:bCs/>
          <w:color w:val="auto"/>
          <w:kern w:val="0"/>
          <w:sz w:val="24"/>
          <w:lang w:val="en-US" w:eastAsia="zh-CN"/>
        </w:rPr>
      </w:pPr>
      <w:r>
        <w:rPr>
          <w:rFonts w:hint="eastAsia" w:ascii="宋体" w:hAnsi="宋体" w:eastAsia="宋体" w:cs="Times New Roman"/>
          <w:b/>
          <w:bCs/>
          <w:color w:val="auto"/>
          <w:kern w:val="0"/>
          <w:sz w:val="24"/>
          <w:lang w:val="en-US" w:eastAsia="zh-CN"/>
        </w:rPr>
        <w:t>（4）性能优化</w:t>
      </w:r>
    </w:p>
    <w:p w14:paraId="51BE13A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①</w:t>
      </w:r>
      <w:r>
        <w:rPr>
          <w:rFonts w:hint="eastAsia" w:ascii="宋体" w:hAnsi="宋体" w:eastAsia="宋体" w:cs="Times New Roman"/>
          <w:color w:val="auto"/>
          <w:kern w:val="0"/>
          <w:sz w:val="24"/>
          <w:lang w:val="en-US" w:eastAsia="zh-CN"/>
        </w:rPr>
        <w:t>系统优化：根据系统运行情况，进行性能优化，提高系统效率。</w:t>
      </w:r>
    </w:p>
    <w:p w14:paraId="166D661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②</w:t>
      </w:r>
      <w:r>
        <w:rPr>
          <w:rFonts w:hint="eastAsia" w:ascii="宋体" w:hAnsi="宋体" w:eastAsia="宋体" w:cs="Times New Roman"/>
          <w:color w:val="auto"/>
          <w:kern w:val="0"/>
          <w:sz w:val="24"/>
          <w:lang w:val="en-US" w:eastAsia="zh-CN"/>
        </w:rPr>
        <w:t>负载均衡：对高负载设备进行调整，合理分配资源，避免系统瓶颈。</w:t>
      </w:r>
    </w:p>
    <w:p w14:paraId="46C43D73">
      <w:pPr>
        <w:pStyle w:val="16"/>
        <w:numPr>
          <w:ilvl w:val="0"/>
          <w:numId w:val="0"/>
        </w:numPr>
        <w:spacing w:line="440" w:lineRule="exact"/>
        <w:ind w:firstLine="498" w:firstLineChars="200"/>
        <w:jc w:val="both"/>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四、</w:t>
      </w:r>
      <w:r>
        <w:rPr>
          <w:rFonts w:hint="eastAsia" w:ascii="宋体" w:hAnsi="宋体" w:cs="宋体"/>
          <w:b/>
          <w:bCs/>
          <w:color w:val="auto"/>
          <w:sz w:val="24"/>
          <w:lang w:val="en-US" w:eastAsia="zh-CN"/>
        </w:rPr>
        <w:t>其他要求</w:t>
      </w:r>
    </w:p>
    <w:p w14:paraId="6003604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1、</w:t>
      </w:r>
      <w:r>
        <w:rPr>
          <w:rFonts w:hint="eastAsia" w:ascii="宋体" w:hAnsi="宋体" w:eastAsia="宋体" w:cs="Times New Roman"/>
          <w:color w:val="auto"/>
          <w:kern w:val="0"/>
          <w:sz w:val="24"/>
          <w:lang w:val="en-US" w:eastAsia="zh-CN"/>
        </w:rPr>
        <w:t>供应商需要提供完整的实施方案，内容包括但不限于：</w:t>
      </w:r>
    </w:p>
    <w:p w14:paraId="70EE344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（1）维保服务内容（2）维保方案（3）响应时间（4）备件管理</w:t>
      </w:r>
    </w:p>
    <w:p w14:paraId="3490E1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（5）维保人员配置（6）应急预案（7）培训方案（8）服务质量保证措施</w:t>
      </w:r>
    </w:p>
    <w:p w14:paraId="5FD3CFB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2、</w:t>
      </w:r>
      <w:r>
        <w:rPr>
          <w:rFonts w:hint="eastAsia" w:ascii="宋体" w:hAnsi="宋体" w:eastAsia="宋体" w:cs="Times New Roman"/>
          <w:color w:val="auto"/>
          <w:kern w:val="0"/>
          <w:sz w:val="24"/>
          <w:lang w:val="en-US" w:eastAsia="zh-CN"/>
        </w:rPr>
        <w:t>维保团队和服务的要求</w:t>
      </w:r>
      <w:r>
        <w:rPr>
          <w:rFonts w:hint="eastAsia" w:ascii="宋体" w:hAnsi="宋体" w:cs="Times New Roman"/>
          <w:color w:val="auto"/>
          <w:kern w:val="0"/>
          <w:sz w:val="24"/>
          <w:lang w:val="en-US" w:eastAsia="zh-CN"/>
        </w:rPr>
        <w:t>：</w:t>
      </w:r>
      <w:r>
        <w:rPr>
          <w:rFonts w:hint="eastAsia" w:ascii="宋体" w:hAnsi="宋体" w:eastAsia="宋体" w:cs="Times New Roman"/>
          <w:color w:val="auto"/>
          <w:kern w:val="0"/>
          <w:sz w:val="24"/>
          <w:lang w:val="en-US" w:eastAsia="zh-CN"/>
        </w:rPr>
        <w:t>供应商派至本项目的服务人员需技术专业，操作熟练、 严谨、规范</w:t>
      </w:r>
      <w:r>
        <w:rPr>
          <w:rFonts w:hint="eastAsia" w:ascii="宋体" w:hAnsi="宋体" w:cs="Times New Roman"/>
          <w:color w:val="auto"/>
          <w:kern w:val="0"/>
          <w:sz w:val="24"/>
          <w:lang w:val="en-US" w:eastAsia="zh-CN"/>
        </w:rPr>
        <w:t>：</w:t>
      </w:r>
    </w:p>
    <w:p w14:paraId="02EF337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（1）</w:t>
      </w:r>
      <w:r>
        <w:rPr>
          <w:rFonts w:hint="eastAsia" w:ascii="宋体" w:hAnsi="宋体" w:eastAsia="宋体" w:cs="Times New Roman"/>
          <w:color w:val="auto"/>
          <w:kern w:val="0"/>
          <w:sz w:val="24"/>
          <w:lang w:val="en-US" w:eastAsia="zh-CN"/>
        </w:rPr>
        <w:t>供应商持有《电子与智能化工程专业承包资质证书》（提供相关证明材料复印件并加盖鲜章）；</w:t>
      </w:r>
    </w:p>
    <w:p w14:paraId="6286E84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（2）</w:t>
      </w:r>
      <w:r>
        <w:rPr>
          <w:rFonts w:hint="eastAsia" w:ascii="宋体" w:hAnsi="宋体" w:eastAsia="宋体" w:cs="Times New Roman"/>
          <w:color w:val="auto"/>
          <w:kern w:val="0"/>
          <w:sz w:val="24"/>
          <w:lang w:val="en-US" w:eastAsia="zh-CN"/>
        </w:rPr>
        <w:t>供应商项目维护人员，具有《信息安全保障人员认证证书》或《网络工程师证》或《机电工程师证书》（提供相关证明材料复印件并加盖鲜章)；</w:t>
      </w:r>
    </w:p>
    <w:p w14:paraId="332BE76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（3）</w:t>
      </w:r>
      <w:r>
        <w:rPr>
          <w:rFonts w:hint="eastAsia" w:ascii="宋体" w:hAnsi="宋体" w:eastAsia="宋体" w:cs="Times New Roman"/>
          <w:color w:val="auto"/>
          <w:kern w:val="0"/>
          <w:sz w:val="24"/>
          <w:lang w:val="en-US" w:eastAsia="zh-CN"/>
        </w:rPr>
        <w:t>供应商项目管理人员，持有《网络工程师》证或《机电工程师》证或《系统集成项目管理工程师》中级及以上证书（提供相关证明材料复印件并加盖鲜章）；</w:t>
      </w:r>
    </w:p>
    <w:p w14:paraId="1727FF0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（4）</w:t>
      </w:r>
      <w:r>
        <w:rPr>
          <w:rFonts w:hint="eastAsia" w:ascii="宋体" w:hAnsi="宋体" w:eastAsia="宋体" w:cs="Times New Roman"/>
          <w:color w:val="auto"/>
          <w:kern w:val="0"/>
          <w:sz w:val="24"/>
          <w:lang w:val="en-US" w:eastAsia="zh-CN"/>
        </w:rPr>
        <w:t>供应商项目维护人员，持有效电工特种作业操作证（并提供相关证明材料复印件并加盖鲜章）。</w:t>
      </w:r>
    </w:p>
    <w:p w14:paraId="40DDB9EF">
      <w:pP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br w:type="page"/>
      </w:r>
    </w:p>
    <w:p w14:paraId="151B3F57">
      <w:pPr>
        <w:pStyle w:val="16"/>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ascii="宋体" w:hAnsi="宋体"/>
          <w:color w:val="auto"/>
          <w:sz w:val="24"/>
        </w:rPr>
      </w:pPr>
      <w:r>
        <w:rPr>
          <w:rFonts w:hint="eastAsia" w:ascii="华文中宋" w:hAnsi="华文中宋" w:eastAsia="华文中宋"/>
          <w:b/>
          <w:color w:val="auto"/>
          <w:sz w:val="36"/>
          <w:szCs w:val="36"/>
        </w:rPr>
        <w:t>第五章  评审办法</w:t>
      </w:r>
      <w:bookmarkEnd w:id="55"/>
    </w:p>
    <w:p w14:paraId="7F1E10E9">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1、总则</w:t>
      </w:r>
    </w:p>
    <w:p w14:paraId="134686F3">
      <w:pPr>
        <w:spacing w:line="360" w:lineRule="auto"/>
        <w:ind w:firstLine="498" w:firstLineChars="200"/>
        <w:rPr>
          <w:rFonts w:ascii="宋体" w:hAnsi="宋体"/>
          <w:bCs/>
          <w:color w:val="auto"/>
          <w:sz w:val="24"/>
          <w:szCs w:val="22"/>
        </w:rPr>
      </w:pPr>
      <w:r>
        <w:rPr>
          <w:rFonts w:hint="eastAsia" w:ascii="宋体" w:hAnsi="宋体"/>
          <w:bCs/>
          <w:color w:val="auto"/>
          <w:sz w:val="24"/>
          <w:szCs w:val="22"/>
        </w:rPr>
        <w:t>1.1 根据比选人本次比选项目实际需求制定本评审办法。</w:t>
      </w:r>
    </w:p>
    <w:p w14:paraId="2C7DB016">
      <w:pPr>
        <w:spacing w:line="360" w:lineRule="auto"/>
        <w:ind w:firstLine="498" w:firstLineChars="200"/>
        <w:rPr>
          <w:rFonts w:ascii="宋体" w:hAnsi="宋体"/>
          <w:bCs/>
          <w:color w:val="auto"/>
          <w:sz w:val="24"/>
          <w:szCs w:val="22"/>
        </w:rPr>
      </w:pPr>
      <w:r>
        <w:rPr>
          <w:rFonts w:hint="eastAsia" w:ascii="宋体" w:hAnsi="宋体"/>
          <w:bCs/>
          <w:color w:val="auto"/>
          <w:sz w:val="24"/>
          <w:szCs w:val="22"/>
        </w:rPr>
        <w:t>1.2 评审工作由比选人负责组织，具体评审事务由组建的评审委员会负责。评审委员会由比选人代表和有关专家</w:t>
      </w:r>
      <w:r>
        <w:rPr>
          <w:rFonts w:hint="eastAsia" w:ascii="宋体" w:hAnsi="宋体"/>
          <w:color w:val="auto"/>
          <w:sz w:val="24"/>
        </w:rPr>
        <w:t>三人及以上单数组成</w:t>
      </w:r>
      <w:r>
        <w:rPr>
          <w:rFonts w:hint="eastAsia" w:ascii="宋体" w:hAnsi="宋体"/>
          <w:bCs/>
          <w:color w:val="auto"/>
          <w:sz w:val="24"/>
          <w:szCs w:val="22"/>
        </w:rPr>
        <w:t>。</w:t>
      </w:r>
    </w:p>
    <w:p w14:paraId="716B08CC">
      <w:pPr>
        <w:spacing w:line="360" w:lineRule="auto"/>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评审工作应遵循公开、公平、公正、科学及择优的原则，并以相同的评审程序和标准对待所有的比选申请人。</w:t>
      </w:r>
    </w:p>
    <w:p w14:paraId="4D37C57A">
      <w:pPr>
        <w:spacing w:line="360" w:lineRule="auto"/>
        <w:ind w:firstLine="498" w:firstLineChars="200"/>
        <w:rPr>
          <w:rFonts w:ascii="宋体" w:hAnsi="宋体"/>
          <w:bCs/>
          <w:color w:val="auto"/>
          <w:sz w:val="24"/>
          <w:szCs w:val="22"/>
        </w:rPr>
      </w:pPr>
      <w:r>
        <w:rPr>
          <w:rFonts w:hint="eastAsia" w:ascii="宋体" w:hAnsi="宋体"/>
          <w:bCs/>
          <w:color w:val="auto"/>
          <w:sz w:val="24"/>
          <w:szCs w:val="22"/>
        </w:rPr>
        <w:t>1.4 评审委员会按照比选文件规定的评审方法和标准进行评审，并独立履行下列职责：</w:t>
      </w:r>
    </w:p>
    <w:p w14:paraId="51D8D796">
      <w:pPr>
        <w:spacing w:line="360" w:lineRule="auto"/>
        <w:ind w:firstLine="498" w:firstLineChars="200"/>
        <w:rPr>
          <w:rFonts w:ascii="宋体" w:hAnsi="宋体"/>
          <w:bCs/>
          <w:color w:val="auto"/>
          <w:sz w:val="24"/>
          <w:szCs w:val="22"/>
        </w:rPr>
      </w:pPr>
      <w:r>
        <w:rPr>
          <w:rFonts w:hint="eastAsia" w:ascii="宋体" w:hAnsi="宋体"/>
          <w:bCs/>
          <w:color w:val="auto"/>
          <w:sz w:val="24"/>
          <w:szCs w:val="22"/>
        </w:rPr>
        <w:t>（1）审查比选申请文件是否符合比选文件要求，并作出评价；</w:t>
      </w:r>
    </w:p>
    <w:p w14:paraId="514E0D1D">
      <w:pPr>
        <w:spacing w:line="360" w:lineRule="auto"/>
        <w:ind w:firstLine="498" w:firstLineChars="200"/>
        <w:rPr>
          <w:rFonts w:ascii="宋体" w:hAnsi="宋体"/>
          <w:bCs/>
          <w:color w:val="auto"/>
          <w:sz w:val="24"/>
          <w:szCs w:val="22"/>
        </w:rPr>
      </w:pPr>
      <w:r>
        <w:rPr>
          <w:rFonts w:hint="eastAsia" w:ascii="宋体" w:hAnsi="宋体"/>
          <w:bCs/>
          <w:color w:val="auto"/>
          <w:sz w:val="24"/>
          <w:szCs w:val="22"/>
        </w:rPr>
        <w:t>（2）要求比选申请人对比选申请文件有关事项作出解释或者澄清；</w:t>
      </w:r>
    </w:p>
    <w:p w14:paraId="53E1FDD4">
      <w:pPr>
        <w:spacing w:line="360" w:lineRule="auto"/>
        <w:ind w:firstLine="498" w:firstLineChars="200"/>
        <w:rPr>
          <w:rFonts w:ascii="宋体" w:hAnsi="宋体"/>
          <w:bCs/>
          <w:color w:val="auto"/>
          <w:sz w:val="24"/>
          <w:szCs w:val="22"/>
        </w:rPr>
      </w:pPr>
      <w:r>
        <w:rPr>
          <w:rFonts w:hint="eastAsia" w:ascii="宋体" w:hAnsi="宋体"/>
          <w:bCs/>
          <w:color w:val="auto"/>
          <w:sz w:val="24"/>
          <w:szCs w:val="22"/>
        </w:rPr>
        <w:t>（3）推荐候选申请人名单；</w:t>
      </w:r>
    </w:p>
    <w:p w14:paraId="23883779">
      <w:pPr>
        <w:spacing w:line="360" w:lineRule="auto"/>
        <w:ind w:firstLine="498" w:firstLineChars="200"/>
        <w:rPr>
          <w:rFonts w:ascii="宋体" w:hAnsi="宋体"/>
          <w:bCs/>
          <w:color w:val="auto"/>
          <w:sz w:val="24"/>
          <w:szCs w:val="22"/>
        </w:rPr>
      </w:pPr>
      <w:bookmarkStart w:id="56" w:name="_Toc217446098"/>
      <w:r>
        <w:rPr>
          <w:rFonts w:hint="eastAsia" w:ascii="宋体" w:hAnsi="宋体"/>
          <w:bCs/>
          <w:color w:val="auto"/>
          <w:sz w:val="24"/>
          <w:szCs w:val="22"/>
        </w:rPr>
        <w:t>1.5评委会决定申请文件的响应性，仅依据比选申请文件本身的内容，而不寻求外部的证据。</w:t>
      </w:r>
    </w:p>
    <w:p w14:paraId="1C43864C">
      <w:pPr>
        <w:spacing w:line="360" w:lineRule="auto"/>
        <w:ind w:firstLine="498" w:firstLineChars="200"/>
        <w:rPr>
          <w:rFonts w:ascii="宋体" w:hAnsi="宋体"/>
          <w:bCs/>
          <w:color w:val="auto"/>
          <w:sz w:val="24"/>
          <w:szCs w:val="22"/>
        </w:rPr>
      </w:pPr>
      <w:r>
        <w:rPr>
          <w:rFonts w:hint="eastAsia" w:ascii="宋体" w:hAnsi="宋体"/>
          <w:bCs/>
          <w:color w:val="auto"/>
          <w:sz w:val="24"/>
          <w:szCs w:val="22"/>
        </w:rPr>
        <w:t>1.6评委会发现比选文件表述不明确或需要说明的事项，可提请比选人书面解释说明。</w:t>
      </w:r>
    </w:p>
    <w:p w14:paraId="61DA6F7C">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2、评审方法</w:t>
      </w:r>
    </w:p>
    <w:p w14:paraId="755AD64E">
      <w:pPr>
        <w:tabs>
          <w:tab w:val="left" w:pos="720"/>
        </w:tabs>
        <w:spacing w:line="400" w:lineRule="exact"/>
        <w:ind w:firstLine="498" w:firstLineChars="200"/>
        <w:rPr>
          <w:rFonts w:hAnsi="宋体"/>
          <w:color w:val="auto"/>
          <w:sz w:val="24"/>
        </w:rPr>
      </w:pPr>
      <w:r>
        <w:rPr>
          <w:rFonts w:hint="eastAsia" w:hAnsi="宋体"/>
          <w:color w:val="auto"/>
          <w:sz w:val="24"/>
        </w:rPr>
        <w:t>2.1本项目评审方法为：综合评分法。</w:t>
      </w:r>
    </w:p>
    <w:p w14:paraId="1B8A75A5">
      <w:pPr>
        <w:pStyle w:val="3"/>
        <w:spacing w:line="400" w:lineRule="exact"/>
        <w:ind w:firstLine="498" w:firstLineChars="200"/>
        <w:rPr>
          <w:rFonts w:ascii="黑体" w:hAnsi="黑体"/>
          <w:color w:val="auto"/>
          <w:sz w:val="24"/>
          <w:szCs w:val="24"/>
        </w:rPr>
      </w:pPr>
      <w:r>
        <w:rPr>
          <w:rFonts w:hint="eastAsia" w:ascii="黑体" w:hAnsi="黑体"/>
          <w:color w:val="auto"/>
          <w:sz w:val="24"/>
          <w:szCs w:val="24"/>
        </w:rPr>
        <w:t>3、评审程序</w:t>
      </w:r>
      <w:bookmarkEnd w:id="56"/>
    </w:p>
    <w:p w14:paraId="6D9220A8">
      <w:pPr>
        <w:tabs>
          <w:tab w:val="left" w:pos="720"/>
        </w:tabs>
        <w:spacing w:line="360" w:lineRule="auto"/>
        <w:ind w:firstLine="498" w:firstLineChars="200"/>
        <w:rPr>
          <w:rFonts w:hAnsi="宋体"/>
          <w:color w:val="auto"/>
          <w:sz w:val="24"/>
        </w:rPr>
      </w:pPr>
      <w:bookmarkStart w:id="57" w:name="_Toc217446099"/>
      <w:r>
        <w:rPr>
          <w:rFonts w:hint="eastAsia" w:hAnsi="宋体"/>
          <w:color w:val="auto"/>
          <w:sz w:val="24"/>
        </w:rPr>
        <w:t>3.1比选申请文件初审。初审分为资格性检查和符合性检查。</w:t>
      </w:r>
    </w:p>
    <w:p w14:paraId="6FFE2B37">
      <w:pPr>
        <w:tabs>
          <w:tab w:val="left" w:pos="720"/>
        </w:tabs>
        <w:spacing w:line="360" w:lineRule="auto"/>
        <w:ind w:firstLine="498" w:firstLineChars="200"/>
        <w:rPr>
          <w:rFonts w:hAnsi="宋体"/>
          <w:color w:val="auto"/>
          <w:sz w:val="24"/>
        </w:rPr>
      </w:pPr>
      <w:r>
        <w:rPr>
          <w:rFonts w:hint="eastAsia" w:hAnsi="宋体"/>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141C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68E3FC8B">
            <w:pPr>
              <w:jc w:val="center"/>
              <w:rPr>
                <w:b/>
                <w:color w:val="auto"/>
              </w:rPr>
            </w:pPr>
            <w:r>
              <w:rPr>
                <w:rFonts w:hint="eastAsia"/>
                <w:b/>
                <w:color w:val="auto"/>
              </w:rPr>
              <w:t>序号</w:t>
            </w:r>
          </w:p>
        </w:tc>
        <w:tc>
          <w:tcPr>
            <w:tcW w:w="5954" w:type="dxa"/>
            <w:vMerge w:val="restart"/>
            <w:noWrap w:val="0"/>
            <w:vAlign w:val="center"/>
          </w:tcPr>
          <w:p w14:paraId="03666B63">
            <w:pPr>
              <w:jc w:val="center"/>
              <w:rPr>
                <w:b/>
                <w:color w:val="auto"/>
              </w:rPr>
            </w:pPr>
            <w:r>
              <w:rPr>
                <w:rFonts w:hint="eastAsia"/>
                <w:b/>
                <w:color w:val="auto"/>
              </w:rPr>
              <w:t>资格审查内容</w:t>
            </w:r>
          </w:p>
        </w:tc>
        <w:tc>
          <w:tcPr>
            <w:tcW w:w="1893" w:type="dxa"/>
            <w:gridSpan w:val="2"/>
            <w:noWrap w:val="0"/>
            <w:vAlign w:val="center"/>
          </w:tcPr>
          <w:p w14:paraId="4F4C873E">
            <w:pPr>
              <w:jc w:val="center"/>
              <w:rPr>
                <w:b/>
                <w:color w:val="auto"/>
              </w:rPr>
            </w:pPr>
            <w:r>
              <w:rPr>
                <w:rFonts w:hint="eastAsia"/>
                <w:b/>
                <w:color w:val="auto"/>
              </w:rPr>
              <w:t>审查情况</w:t>
            </w:r>
          </w:p>
        </w:tc>
      </w:tr>
      <w:tr w14:paraId="2CA6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1D4C66C5">
            <w:pPr>
              <w:jc w:val="center"/>
              <w:rPr>
                <w:b/>
                <w:color w:val="auto"/>
              </w:rPr>
            </w:pPr>
          </w:p>
        </w:tc>
        <w:tc>
          <w:tcPr>
            <w:tcW w:w="5954" w:type="dxa"/>
            <w:vMerge w:val="continue"/>
            <w:noWrap w:val="0"/>
            <w:vAlign w:val="center"/>
          </w:tcPr>
          <w:p w14:paraId="0A157286">
            <w:pPr>
              <w:jc w:val="center"/>
              <w:rPr>
                <w:b/>
                <w:color w:val="auto"/>
              </w:rPr>
            </w:pPr>
          </w:p>
        </w:tc>
        <w:tc>
          <w:tcPr>
            <w:tcW w:w="992" w:type="dxa"/>
            <w:noWrap w:val="0"/>
            <w:vAlign w:val="center"/>
          </w:tcPr>
          <w:p w14:paraId="40E53893">
            <w:pPr>
              <w:jc w:val="center"/>
              <w:rPr>
                <w:b/>
                <w:color w:val="auto"/>
              </w:rPr>
            </w:pPr>
            <w:r>
              <w:rPr>
                <w:rFonts w:hint="eastAsia"/>
                <w:b/>
                <w:color w:val="auto"/>
              </w:rPr>
              <w:t>通过</w:t>
            </w:r>
          </w:p>
        </w:tc>
        <w:tc>
          <w:tcPr>
            <w:tcW w:w="901" w:type="dxa"/>
            <w:noWrap w:val="0"/>
            <w:vAlign w:val="center"/>
          </w:tcPr>
          <w:p w14:paraId="0A53F22A">
            <w:pPr>
              <w:jc w:val="center"/>
              <w:rPr>
                <w:b/>
                <w:color w:val="auto"/>
              </w:rPr>
            </w:pPr>
            <w:r>
              <w:rPr>
                <w:rFonts w:hint="eastAsia"/>
                <w:b/>
                <w:color w:val="auto"/>
              </w:rPr>
              <w:t>不通过</w:t>
            </w:r>
          </w:p>
        </w:tc>
      </w:tr>
      <w:tr w14:paraId="3AF6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1830905">
            <w:pPr>
              <w:rPr>
                <w:color w:val="auto"/>
              </w:rPr>
            </w:pPr>
            <w:r>
              <w:rPr>
                <w:rFonts w:hint="eastAsia"/>
                <w:color w:val="auto"/>
              </w:rPr>
              <w:t>1</w:t>
            </w:r>
          </w:p>
        </w:tc>
        <w:tc>
          <w:tcPr>
            <w:tcW w:w="5954" w:type="dxa"/>
            <w:noWrap w:val="0"/>
            <w:vAlign w:val="center"/>
          </w:tcPr>
          <w:p w14:paraId="652A7E6C">
            <w:pPr>
              <w:rPr>
                <w:color w:val="auto"/>
              </w:rPr>
            </w:pPr>
            <w:r>
              <w:rPr>
                <w:rFonts w:hint="eastAsia"/>
                <w:color w:val="auto"/>
              </w:rPr>
              <w:t>是否按照第二章要求提供法定代表人证明书或授权书等材料</w:t>
            </w:r>
          </w:p>
        </w:tc>
        <w:tc>
          <w:tcPr>
            <w:tcW w:w="992" w:type="dxa"/>
            <w:noWrap w:val="0"/>
            <w:vAlign w:val="center"/>
          </w:tcPr>
          <w:p w14:paraId="3CD7C0FC">
            <w:pPr>
              <w:rPr>
                <w:color w:val="auto"/>
              </w:rPr>
            </w:pPr>
          </w:p>
        </w:tc>
        <w:tc>
          <w:tcPr>
            <w:tcW w:w="901" w:type="dxa"/>
            <w:noWrap w:val="0"/>
            <w:vAlign w:val="center"/>
          </w:tcPr>
          <w:p w14:paraId="3E7B7811">
            <w:pPr>
              <w:rPr>
                <w:color w:val="auto"/>
              </w:rPr>
            </w:pPr>
          </w:p>
        </w:tc>
      </w:tr>
      <w:tr w14:paraId="6E9C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9CE2753">
            <w:pPr>
              <w:rPr>
                <w:color w:val="auto"/>
              </w:rPr>
            </w:pPr>
            <w:r>
              <w:rPr>
                <w:rFonts w:hint="eastAsia"/>
                <w:color w:val="auto"/>
              </w:rPr>
              <w:t>2</w:t>
            </w:r>
          </w:p>
        </w:tc>
        <w:tc>
          <w:tcPr>
            <w:tcW w:w="5954" w:type="dxa"/>
            <w:noWrap w:val="0"/>
            <w:vAlign w:val="center"/>
          </w:tcPr>
          <w:p w14:paraId="39A19B6E">
            <w:pPr>
              <w:rPr>
                <w:color w:val="auto"/>
              </w:rPr>
            </w:pPr>
            <w:r>
              <w:rPr>
                <w:rFonts w:hint="eastAsia"/>
                <w:color w:val="auto"/>
              </w:rPr>
              <w:t>是否按照第二章要求提供营业执照等材料</w:t>
            </w:r>
          </w:p>
        </w:tc>
        <w:tc>
          <w:tcPr>
            <w:tcW w:w="992" w:type="dxa"/>
            <w:noWrap w:val="0"/>
            <w:vAlign w:val="center"/>
          </w:tcPr>
          <w:p w14:paraId="3FC8FC7B">
            <w:pPr>
              <w:rPr>
                <w:color w:val="auto"/>
              </w:rPr>
            </w:pPr>
          </w:p>
        </w:tc>
        <w:tc>
          <w:tcPr>
            <w:tcW w:w="901" w:type="dxa"/>
            <w:noWrap w:val="0"/>
            <w:vAlign w:val="center"/>
          </w:tcPr>
          <w:p w14:paraId="06A3263C">
            <w:pPr>
              <w:rPr>
                <w:color w:val="auto"/>
              </w:rPr>
            </w:pPr>
          </w:p>
        </w:tc>
      </w:tr>
      <w:tr w14:paraId="5E5D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D81891B">
            <w:pPr>
              <w:rPr>
                <w:color w:val="auto"/>
              </w:rPr>
            </w:pPr>
            <w:r>
              <w:rPr>
                <w:rFonts w:hint="eastAsia"/>
                <w:color w:val="auto"/>
              </w:rPr>
              <w:t>3</w:t>
            </w:r>
          </w:p>
        </w:tc>
        <w:tc>
          <w:tcPr>
            <w:tcW w:w="5954" w:type="dxa"/>
            <w:noWrap w:val="0"/>
            <w:vAlign w:val="center"/>
          </w:tcPr>
          <w:p w14:paraId="06CC7FE5">
            <w:pPr>
              <w:rPr>
                <w:color w:val="auto"/>
              </w:rPr>
            </w:pPr>
            <w:r>
              <w:rPr>
                <w:rFonts w:hint="eastAsia"/>
                <w:color w:val="auto"/>
              </w:rPr>
              <w:t>是否按照第二章要求提供具有良好的商业信誉和健全的财务会计制度的证明材料</w:t>
            </w:r>
          </w:p>
        </w:tc>
        <w:tc>
          <w:tcPr>
            <w:tcW w:w="992" w:type="dxa"/>
            <w:noWrap w:val="0"/>
            <w:vAlign w:val="center"/>
          </w:tcPr>
          <w:p w14:paraId="3848E260">
            <w:pPr>
              <w:rPr>
                <w:color w:val="auto"/>
              </w:rPr>
            </w:pPr>
          </w:p>
        </w:tc>
        <w:tc>
          <w:tcPr>
            <w:tcW w:w="901" w:type="dxa"/>
            <w:noWrap w:val="0"/>
            <w:vAlign w:val="center"/>
          </w:tcPr>
          <w:p w14:paraId="4410B599">
            <w:pPr>
              <w:rPr>
                <w:color w:val="auto"/>
              </w:rPr>
            </w:pPr>
          </w:p>
        </w:tc>
      </w:tr>
      <w:tr w14:paraId="1E55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3E2410BD">
            <w:pPr>
              <w:rPr>
                <w:color w:val="auto"/>
              </w:rPr>
            </w:pPr>
            <w:r>
              <w:rPr>
                <w:rFonts w:hint="eastAsia"/>
                <w:color w:val="auto"/>
              </w:rPr>
              <w:t>4</w:t>
            </w:r>
          </w:p>
        </w:tc>
        <w:tc>
          <w:tcPr>
            <w:tcW w:w="5954" w:type="dxa"/>
            <w:noWrap w:val="0"/>
            <w:vAlign w:val="center"/>
          </w:tcPr>
          <w:p w14:paraId="2EE38CD6">
            <w:pPr>
              <w:rPr>
                <w:color w:val="auto"/>
              </w:rPr>
            </w:pPr>
            <w:r>
              <w:rPr>
                <w:rFonts w:hint="eastAsia"/>
                <w:color w:val="auto"/>
              </w:rPr>
              <w:t>是否按照第二章具有依法缴纳税收和社会保障资金的良好记录的证明材料</w:t>
            </w:r>
          </w:p>
        </w:tc>
        <w:tc>
          <w:tcPr>
            <w:tcW w:w="992" w:type="dxa"/>
            <w:noWrap w:val="0"/>
            <w:vAlign w:val="center"/>
          </w:tcPr>
          <w:p w14:paraId="0640C97F">
            <w:pPr>
              <w:rPr>
                <w:color w:val="auto"/>
              </w:rPr>
            </w:pPr>
          </w:p>
        </w:tc>
        <w:tc>
          <w:tcPr>
            <w:tcW w:w="901" w:type="dxa"/>
            <w:noWrap w:val="0"/>
            <w:vAlign w:val="center"/>
          </w:tcPr>
          <w:p w14:paraId="56862BD4">
            <w:pPr>
              <w:rPr>
                <w:color w:val="auto"/>
              </w:rPr>
            </w:pPr>
          </w:p>
        </w:tc>
      </w:tr>
      <w:tr w14:paraId="028E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AB246C1">
            <w:pPr>
              <w:rPr>
                <w:color w:val="auto"/>
              </w:rPr>
            </w:pPr>
            <w:r>
              <w:rPr>
                <w:rFonts w:hint="eastAsia"/>
                <w:color w:val="auto"/>
              </w:rPr>
              <w:t>5</w:t>
            </w:r>
          </w:p>
        </w:tc>
        <w:tc>
          <w:tcPr>
            <w:tcW w:w="5954" w:type="dxa"/>
            <w:noWrap w:val="0"/>
            <w:vAlign w:val="center"/>
          </w:tcPr>
          <w:p w14:paraId="4F310A1D">
            <w:pPr>
              <w:rPr>
                <w:color w:val="auto"/>
              </w:rPr>
            </w:pPr>
            <w:r>
              <w:rPr>
                <w:rFonts w:hint="eastAsia"/>
                <w:color w:val="auto"/>
              </w:rPr>
              <w:t>是否按照第二章具备履行合同所必需的专业技术能力的证明材料</w:t>
            </w:r>
          </w:p>
        </w:tc>
        <w:tc>
          <w:tcPr>
            <w:tcW w:w="992" w:type="dxa"/>
            <w:noWrap w:val="0"/>
            <w:vAlign w:val="center"/>
          </w:tcPr>
          <w:p w14:paraId="72030F10">
            <w:pPr>
              <w:rPr>
                <w:color w:val="auto"/>
              </w:rPr>
            </w:pPr>
          </w:p>
        </w:tc>
        <w:tc>
          <w:tcPr>
            <w:tcW w:w="901" w:type="dxa"/>
            <w:noWrap w:val="0"/>
            <w:vAlign w:val="center"/>
          </w:tcPr>
          <w:p w14:paraId="385FEDC9">
            <w:pPr>
              <w:rPr>
                <w:color w:val="auto"/>
              </w:rPr>
            </w:pPr>
          </w:p>
        </w:tc>
      </w:tr>
      <w:tr w14:paraId="705A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95E69AA">
            <w:pPr>
              <w:rPr>
                <w:color w:val="auto"/>
              </w:rPr>
            </w:pPr>
            <w:r>
              <w:rPr>
                <w:rFonts w:hint="eastAsia"/>
                <w:color w:val="auto"/>
              </w:rPr>
              <w:t>6</w:t>
            </w:r>
          </w:p>
        </w:tc>
        <w:tc>
          <w:tcPr>
            <w:tcW w:w="5954" w:type="dxa"/>
            <w:noWrap w:val="0"/>
            <w:vAlign w:val="center"/>
          </w:tcPr>
          <w:p w14:paraId="084AA027">
            <w:pPr>
              <w:rPr>
                <w:color w:val="auto"/>
              </w:rPr>
            </w:pPr>
            <w:r>
              <w:rPr>
                <w:rFonts w:hint="eastAsia"/>
                <w:color w:val="auto"/>
              </w:rPr>
              <w:t>是否按照第二章要求提供比选申请人还满足法律、行政法规规定的其他强制性条件的证明材料</w:t>
            </w:r>
          </w:p>
        </w:tc>
        <w:tc>
          <w:tcPr>
            <w:tcW w:w="992" w:type="dxa"/>
            <w:noWrap w:val="0"/>
            <w:vAlign w:val="center"/>
          </w:tcPr>
          <w:p w14:paraId="2150283F">
            <w:pPr>
              <w:rPr>
                <w:color w:val="auto"/>
              </w:rPr>
            </w:pPr>
          </w:p>
        </w:tc>
        <w:tc>
          <w:tcPr>
            <w:tcW w:w="901" w:type="dxa"/>
            <w:noWrap w:val="0"/>
            <w:vAlign w:val="center"/>
          </w:tcPr>
          <w:p w14:paraId="21584D67">
            <w:pPr>
              <w:rPr>
                <w:color w:val="auto"/>
              </w:rPr>
            </w:pPr>
          </w:p>
        </w:tc>
      </w:tr>
      <w:tr w14:paraId="29F2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436979D">
            <w:pPr>
              <w:rPr>
                <w:color w:val="auto"/>
              </w:rPr>
            </w:pPr>
            <w:r>
              <w:rPr>
                <w:rFonts w:hint="eastAsia"/>
                <w:color w:val="auto"/>
              </w:rPr>
              <w:t>7</w:t>
            </w:r>
          </w:p>
        </w:tc>
        <w:tc>
          <w:tcPr>
            <w:tcW w:w="5954" w:type="dxa"/>
            <w:noWrap w:val="0"/>
            <w:vAlign w:val="center"/>
          </w:tcPr>
          <w:p w14:paraId="3CD38378">
            <w:pPr>
              <w:rPr>
                <w:color w:val="auto"/>
              </w:rPr>
            </w:pPr>
            <w:r>
              <w:rPr>
                <w:rFonts w:hint="eastAsia"/>
                <w:color w:val="auto"/>
              </w:rPr>
              <w:t>是否按照第二章要求提供参加本次比选活动前三年内，比选申请人在经营活动中没有重大违法记录的证明材料</w:t>
            </w:r>
          </w:p>
        </w:tc>
        <w:tc>
          <w:tcPr>
            <w:tcW w:w="992" w:type="dxa"/>
            <w:noWrap w:val="0"/>
            <w:vAlign w:val="center"/>
          </w:tcPr>
          <w:p w14:paraId="2F74BCF1">
            <w:pPr>
              <w:rPr>
                <w:color w:val="auto"/>
              </w:rPr>
            </w:pPr>
          </w:p>
        </w:tc>
        <w:tc>
          <w:tcPr>
            <w:tcW w:w="901" w:type="dxa"/>
            <w:noWrap w:val="0"/>
            <w:vAlign w:val="center"/>
          </w:tcPr>
          <w:p w14:paraId="073F03BC">
            <w:pPr>
              <w:rPr>
                <w:color w:val="auto"/>
              </w:rPr>
            </w:pPr>
          </w:p>
        </w:tc>
      </w:tr>
    </w:tbl>
    <w:p w14:paraId="75B7150B">
      <w:pPr>
        <w:spacing w:line="360" w:lineRule="auto"/>
        <w:ind w:firstLine="498" w:firstLineChars="200"/>
        <w:rPr>
          <w:rFonts w:hAnsi="宋体"/>
          <w:color w:val="auto"/>
          <w:sz w:val="24"/>
        </w:rPr>
      </w:pPr>
      <w:r>
        <w:rPr>
          <w:rFonts w:hint="eastAsia" w:hAnsi="宋体"/>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432A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26EF200E">
            <w:pPr>
              <w:jc w:val="center"/>
              <w:rPr>
                <w:b/>
                <w:color w:val="auto"/>
              </w:rPr>
            </w:pPr>
            <w:r>
              <w:rPr>
                <w:rFonts w:hint="eastAsia"/>
                <w:b/>
                <w:color w:val="auto"/>
              </w:rPr>
              <w:t>序号</w:t>
            </w:r>
          </w:p>
        </w:tc>
        <w:tc>
          <w:tcPr>
            <w:tcW w:w="5954" w:type="dxa"/>
            <w:vMerge w:val="restart"/>
            <w:noWrap w:val="0"/>
            <w:vAlign w:val="center"/>
          </w:tcPr>
          <w:p w14:paraId="7BE16A37">
            <w:pPr>
              <w:jc w:val="center"/>
              <w:rPr>
                <w:b/>
                <w:color w:val="auto"/>
              </w:rPr>
            </w:pPr>
            <w:r>
              <w:rPr>
                <w:rFonts w:hint="eastAsia"/>
                <w:b/>
                <w:color w:val="auto"/>
              </w:rPr>
              <w:t>符合性审查内容</w:t>
            </w:r>
          </w:p>
        </w:tc>
        <w:tc>
          <w:tcPr>
            <w:tcW w:w="1893" w:type="dxa"/>
            <w:gridSpan w:val="2"/>
            <w:noWrap w:val="0"/>
            <w:vAlign w:val="center"/>
          </w:tcPr>
          <w:p w14:paraId="23B01E46">
            <w:pPr>
              <w:jc w:val="center"/>
              <w:rPr>
                <w:b/>
                <w:color w:val="auto"/>
              </w:rPr>
            </w:pPr>
            <w:r>
              <w:rPr>
                <w:rFonts w:hint="eastAsia"/>
                <w:b/>
                <w:color w:val="auto"/>
              </w:rPr>
              <w:t>审查情况</w:t>
            </w:r>
          </w:p>
        </w:tc>
      </w:tr>
      <w:tr w14:paraId="58B5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7B1812FC">
            <w:pPr>
              <w:jc w:val="center"/>
              <w:rPr>
                <w:b/>
                <w:color w:val="auto"/>
              </w:rPr>
            </w:pPr>
          </w:p>
        </w:tc>
        <w:tc>
          <w:tcPr>
            <w:tcW w:w="5954" w:type="dxa"/>
            <w:vMerge w:val="continue"/>
            <w:noWrap w:val="0"/>
            <w:vAlign w:val="center"/>
          </w:tcPr>
          <w:p w14:paraId="18FA02F7">
            <w:pPr>
              <w:jc w:val="center"/>
              <w:rPr>
                <w:b/>
                <w:color w:val="auto"/>
              </w:rPr>
            </w:pPr>
          </w:p>
        </w:tc>
        <w:tc>
          <w:tcPr>
            <w:tcW w:w="992" w:type="dxa"/>
            <w:noWrap w:val="0"/>
            <w:vAlign w:val="center"/>
          </w:tcPr>
          <w:p w14:paraId="242A76A7">
            <w:pPr>
              <w:jc w:val="center"/>
              <w:rPr>
                <w:b/>
                <w:color w:val="auto"/>
              </w:rPr>
            </w:pPr>
            <w:r>
              <w:rPr>
                <w:rFonts w:hint="eastAsia"/>
                <w:b/>
                <w:color w:val="auto"/>
              </w:rPr>
              <w:t>通过</w:t>
            </w:r>
          </w:p>
        </w:tc>
        <w:tc>
          <w:tcPr>
            <w:tcW w:w="901" w:type="dxa"/>
            <w:noWrap w:val="0"/>
            <w:vAlign w:val="center"/>
          </w:tcPr>
          <w:p w14:paraId="4C6F5C34">
            <w:pPr>
              <w:jc w:val="center"/>
              <w:rPr>
                <w:b/>
                <w:color w:val="auto"/>
              </w:rPr>
            </w:pPr>
            <w:r>
              <w:rPr>
                <w:rFonts w:hint="eastAsia"/>
                <w:b/>
                <w:color w:val="auto"/>
              </w:rPr>
              <w:t>不通过</w:t>
            </w:r>
          </w:p>
        </w:tc>
      </w:tr>
      <w:tr w14:paraId="11B5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8E962D5">
            <w:pPr>
              <w:rPr>
                <w:color w:val="auto"/>
              </w:rPr>
            </w:pPr>
            <w:r>
              <w:rPr>
                <w:rFonts w:hint="eastAsia"/>
                <w:color w:val="auto"/>
              </w:rPr>
              <w:t>1</w:t>
            </w:r>
          </w:p>
        </w:tc>
        <w:tc>
          <w:tcPr>
            <w:tcW w:w="5954" w:type="dxa"/>
            <w:noWrap w:val="0"/>
            <w:vAlign w:val="center"/>
          </w:tcPr>
          <w:p w14:paraId="1CBB0897">
            <w:pPr>
              <w:rPr>
                <w:color w:val="auto"/>
              </w:rPr>
            </w:pPr>
            <w:r>
              <w:rPr>
                <w:rFonts w:hint="eastAsia"/>
                <w:color w:val="auto"/>
              </w:rPr>
              <w:t>比选申请文件正副本以及电子文档数量是否符合比选文件规定</w:t>
            </w:r>
          </w:p>
        </w:tc>
        <w:tc>
          <w:tcPr>
            <w:tcW w:w="992" w:type="dxa"/>
            <w:noWrap w:val="0"/>
            <w:vAlign w:val="center"/>
          </w:tcPr>
          <w:p w14:paraId="20780DD8">
            <w:pPr>
              <w:rPr>
                <w:color w:val="auto"/>
              </w:rPr>
            </w:pPr>
          </w:p>
        </w:tc>
        <w:tc>
          <w:tcPr>
            <w:tcW w:w="901" w:type="dxa"/>
            <w:noWrap w:val="0"/>
            <w:vAlign w:val="center"/>
          </w:tcPr>
          <w:p w14:paraId="2D95E2D4">
            <w:pPr>
              <w:rPr>
                <w:color w:val="auto"/>
              </w:rPr>
            </w:pPr>
          </w:p>
        </w:tc>
      </w:tr>
      <w:tr w14:paraId="2CD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1B4B73D">
            <w:pPr>
              <w:rPr>
                <w:color w:val="auto"/>
              </w:rPr>
            </w:pPr>
            <w:r>
              <w:rPr>
                <w:rFonts w:hint="eastAsia"/>
                <w:color w:val="auto"/>
              </w:rPr>
              <w:t>2</w:t>
            </w:r>
          </w:p>
        </w:tc>
        <w:tc>
          <w:tcPr>
            <w:tcW w:w="5954" w:type="dxa"/>
            <w:noWrap w:val="0"/>
            <w:vAlign w:val="center"/>
          </w:tcPr>
          <w:p w14:paraId="110877E3">
            <w:pPr>
              <w:rPr>
                <w:color w:val="auto"/>
              </w:rPr>
            </w:pPr>
            <w:r>
              <w:rPr>
                <w:rFonts w:hint="eastAsia"/>
                <w:color w:val="auto"/>
              </w:rPr>
              <w:t>比选申请文件的比选响应有效期是否符合比选文件规定</w:t>
            </w:r>
          </w:p>
        </w:tc>
        <w:tc>
          <w:tcPr>
            <w:tcW w:w="992" w:type="dxa"/>
            <w:noWrap w:val="0"/>
            <w:vAlign w:val="center"/>
          </w:tcPr>
          <w:p w14:paraId="20A13494">
            <w:pPr>
              <w:rPr>
                <w:color w:val="auto"/>
              </w:rPr>
            </w:pPr>
          </w:p>
        </w:tc>
        <w:tc>
          <w:tcPr>
            <w:tcW w:w="901" w:type="dxa"/>
            <w:noWrap w:val="0"/>
            <w:vAlign w:val="center"/>
          </w:tcPr>
          <w:p w14:paraId="7AB4BC6E">
            <w:pPr>
              <w:rPr>
                <w:color w:val="auto"/>
              </w:rPr>
            </w:pPr>
          </w:p>
        </w:tc>
      </w:tr>
      <w:tr w14:paraId="699A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CE241DE">
            <w:pPr>
              <w:rPr>
                <w:color w:val="auto"/>
              </w:rPr>
            </w:pPr>
            <w:r>
              <w:rPr>
                <w:rFonts w:hint="eastAsia"/>
                <w:color w:val="auto"/>
              </w:rPr>
              <w:t>3</w:t>
            </w:r>
          </w:p>
        </w:tc>
        <w:tc>
          <w:tcPr>
            <w:tcW w:w="5954" w:type="dxa"/>
            <w:noWrap w:val="0"/>
            <w:vAlign w:val="center"/>
          </w:tcPr>
          <w:p w14:paraId="06B5ED13">
            <w:pPr>
              <w:rPr>
                <w:color w:val="auto"/>
              </w:rPr>
            </w:pPr>
            <w:r>
              <w:rPr>
                <w:rFonts w:hint="eastAsia"/>
                <w:color w:val="auto"/>
              </w:rPr>
              <w:t>比选申请文件签署、盖章是否符合比选文件规定</w:t>
            </w:r>
          </w:p>
        </w:tc>
        <w:tc>
          <w:tcPr>
            <w:tcW w:w="992" w:type="dxa"/>
            <w:noWrap w:val="0"/>
            <w:vAlign w:val="center"/>
          </w:tcPr>
          <w:p w14:paraId="15B7C770">
            <w:pPr>
              <w:rPr>
                <w:color w:val="auto"/>
              </w:rPr>
            </w:pPr>
          </w:p>
        </w:tc>
        <w:tc>
          <w:tcPr>
            <w:tcW w:w="901" w:type="dxa"/>
            <w:noWrap w:val="0"/>
            <w:vAlign w:val="center"/>
          </w:tcPr>
          <w:p w14:paraId="7013A998">
            <w:pPr>
              <w:rPr>
                <w:color w:val="auto"/>
              </w:rPr>
            </w:pPr>
          </w:p>
        </w:tc>
      </w:tr>
      <w:tr w14:paraId="5ADD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E71EB0F">
            <w:pPr>
              <w:rPr>
                <w:color w:val="auto"/>
              </w:rPr>
            </w:pPr>
            <w:r>
              <w:rPr>
                <w:rFonts w:hint="eastAsia"/>
                <w:color w:val="auto"/>
              </w:rPr>
              <w:t>4</w:t>
            </w:r>
          </w:p>
        </w:tc>
        <w:tc>
          <w:tcPr>
            <w:tcW w:w="5954" w:type="dxa"/>
            <w:noWrap w:val="0"/>
            <w:vAlign w:val="center"/>
          </w:tcPr>
          <w:p w14:paraId="79754AF9">
            <w:pPr>
              <w:rPr>
                <w:color w:val="auto"/>
              </w:rPr>
            </w:pPr>
            <w:r>
              <w:rPr>
                <w:rFonts w:hint="eastAsia"/>
                <w:color w:val="auto"/>
              </w:rPr>
              <w:t>比选申请文件是否完全满足本项目的实质性要求</w:t>
            </w:r>
          </w:p>
        </w:tc>
        <w:tc>
          <w:tcPr>
            <w:tcW w:w="992" w:type="dxa"/>
            <w:noWrap w:val="0"/>
            <w:vAlign w:val="center"/>
          </w:tcPr>
          <w:p w14:paraId="6367BE0C">
            <w:pPr>
              <w:rPr>
                <w:color w:val="auto"/>
              </w:rPr>
            </w:pPr>
          </w:p>
        </w:tc>
        <w:tc>
          <w:tcPr>
            <w:tcW w:w="901" w:type="dxa"/>
            <w:noWrap w:val="0"/>
            <w:vAlign w:val="center"/>
          </w:tcPr>
          <w:p w14:paraId="561EE611">
            <w:pPr>
              <w:rPr>
                <w:color w:val="auto"/>
              </w:rPr>
            </w:pPr>
          </w:p>
        </w:tc>
      </w:tr>
    </w:tbl>
    <w:p w14:paraId="1D7348F2">
      <w:pPr>
        <w:tabs>
          <w:tab w:val="left" w:pos="720"/>
        </w:tabs>
        <w:spacing w:line="360" w:lineRule="auto"/>
        <w:ind w:firstLine="498" w:firstLineChars="200"/>
        <w:rPr>
          <w:rFonts w:hAnsi="宋体"/>
          <w:color w:val="auto"/>
          <w:sz w:val="24"/>
        </w:rPr>
      </w:pPr>
      <w:r>
        <w:rPr>
          <w:rFonts w:hint="eastAsia" w:hAnsi="宋体"/>
          <w:color w:val="auto"/>
          <w:sz w:val="24"/>
        </w:rPr>
        <w:t>3.1.4在比选申请文件初审过程中，如果出现评审委员会成员意见不一致的情况，按照少数服从多数的原则确定，但不得违背比选文件的相关规定。</w:t>
      </w:r>
    </w:p>
    <w:p w14:paraId="7BE2E361">
      <w:pPr>
        <w:tabs>
          <w:tab w:val="left" w:pos="720"/>
        </w:tabs>
        <w:spacing w:line="360" w:lineRule="auto"/>
        <w:ind w:firstLine="498" w:firstLineChars="200"/>
        <w:rPr>
          <w:rFonts w:hAnsi="宋体"/>
          <w:color w:val="auto"/>
          <w:sz w:val="24"/>
        </w:rPr>
      </w:pPr>
      <w:r>
        <w:rPr>
          <w:rFonts w:hint="eastAsia" w:hAnsi="宋体"/>
          <w:color w:val="auto"/>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58" w:name="_Toc217446104"/>
      <w:bookmarkStart w:id="59" w:name="_Toc183582287"/>
      <w:bookmarkStart w:id="60" w:name="_Toc183682422"/>
    </w:p>
    <w:bookmarkEnd w:id="58"/>
    <w:bookmarkEnd w:id="59"/>
    <w:bookmarkEnd w:id="60"/>
    <w:p w14:paraId="7D87B0A7">
      <w:pPr>
        <w:tabs>
          <w:tab w:val="left" w:pos="720"/>
        </w:tabs>
        <w:spacing w:line="360" w:lineRule="auto"/>
        <w:ind w:firstLine="498" w:firstLineChars="200"/>
        <w:rPr>
          <w:rFonts w:hAnsi="宋体"/>
          <w:color w:val="auto"/>
          <w:sz w:val="24"/>
        </w:rPr>
      </w:pPr>
      <w:r>
        <w:rPr>
          <w:rFonts w:hint="eastAsia" w:hAnsi="宋体"/>
          <w:color w:val="auto"/>
          <w:sz w:val="24"/>
        </w:rPr>
        <w:t>3.3比较与评价。按比选文件中规定的评审方法和标准，对资格性检查和符合性检查合格的比选申请文件进行商务和技术评估，综合比较与评价。</w:t>
      </w:r>
    </w:p>
    <w:p w14:paraId="1D7D4815">
      <w:pPr>
        <w:tabs>
          <w:tab w:val="left" w:pos="720"/>
        </w:tabs>
        <w:spacing w:line="360" w:lineRule="auto"/>
        <w:ind w:firstLine="498" w:firstLineChars="200"/>
        <w:rPr>
          <w:rFonts w:hAnsi="宋体"/>
          <w:color w:val="auto"/>
          <w:sz w:val="24"/>
        </w:rPr>
      </w:pPr>
      <w:r>
        <w:rPr>
          <w:rFonts w:hint="eastAsia" w:hAnsi="宋体"/>
          <w:color w:val="auto"/>
          <w:sz w:val="24"/>
        </w:rPr>
        <w:t>3.4推荐候选申请人：推荐1-3名。</w:t>
      </w:r>
    </w:p>
    <w:p w14:paraId="1E48060A">
      <w:pPr>
        <w:tabs>
          <w:tab w:val="left" w:pos="720"/>
        </w:tabs>
        <w:spacing w:line="360" w:lineRule="auto"/>
        <w:ind w:firstLine="498" w:firstLineChars="200"/>
        <w:rPr>
          <w:rFonts w:hAnsi="宋体"/>
          <w:color w:val="auto"/>
          <w:sz w:val="24"/>
        </w:rPr>
      </w:pPr>
      <w:r>
        <w:rPr>
          <w:rFonts w:hint="eastAsia" w:hAnsi="宋体"/>
          <w:color w:val="auto"/>
          <w:sz w:val="24"/>
        </w:rPr>
        <w:t>3.4.1本项目采用综合评分法的，按评审后得分由高到低顺序排列。得分相同的，按服务方案优劣顺序排列。</w:t>
      </w:r>
    </w:p>
    <w:p w14:paraId="7C2AD84D">
      <w:pPr>
        <w:tabs>
          <w:tab w:val="left" w:pos="720"/>
        </w:tabs>
        <w:spacing w:line="360" w:lineRule="auto"/>
        <w:ind w:firstLine="498" w:firstLineChars="200"/>
        <w:rPr>
          <w:rFonts w:hAnsi="宋体"/>
          <w:color w:val="auto"/>
          <w:sz w:val="24"/>
        </w:rPr>
      </w:pPr>
      <w:r>
        <w:rPr>
          <w:rFonts w:hint="eastAsia" w:hAnsi="宋体"/>
          <w:color w:val="auto"/>
          <w:sz w:val="24"/>
        </w:rPr>
        <w:t>3.5编写评审报告。评审报告是评审委员会根据全体评审成员签字的原始评审记录和评审结果编写的报告，其主要内容包括：</w:t>
      </w:r>
    </w:p>
    <w:p w14:paraId="4D147A1D">
      <w:pPr>
        <w:tabs>
          <w:tab w:val="left" w:pos="720"/>
        </w:tabs>
        <w:spacing w:line="360" w:lineRule="auto"/>
        <w:ind w:firstLine="498" w:firstLineChars="200"/>
        <w:rPr>
          <w:rFonts w:hAnsi="宋体"/>
          <w:color w:val="auto"/>
          <w:sz w:val="24"/>
        </w:rPr>
      </w:pPr>
      <w:r>
        <w:rPr>
          <w:rFonts w:hint="eastAsia" w:hAnsi="宋体"/>
          <w:color w:val="auto"/>
          <w:sz w:val="24"/>
        </w:rPr>
        <w:t>（1）购买比选文件的比选申请人名单和评审委员会成员名单；</w:t>
      </w:r>
    </w:p>
    <w:p w14:paraId="30296C8C">
      <w:pPr>
        <w:tabs>
          <w:tab w:val="left" w:pos="720"/>
        </w:tabs>
        <w:spacing w:line="360" w:lineRule="auto"/>
        <w:ind w:firstLine="498" w:firstLineChars="200"/>
        <w:rPr>
          <w:rFonts w:hAnsi="宋体"/>
          <w:color w:val="auto"/>
          <w:sz w:val="24"/>
        </w:rPr>
      </w:pPr>
      <w:r>
        <w:rPr>
          <w:rFonts w:hint="eastAsia" w:hAnsi="宋体"/>
          <w:color w:val="auto"/>
          <w:sz w:val="24"/>
        </w:rPr>
        <w:t>（2）评审方法和标准；</w:t>
      </w:r>
    </w:p>
    <w:p w14:paraId="72BE6B41">
      <w:pPr>
        <w:tabs>
          <w:tab w:val="left" w:pos="720"/>
        </w:tabs>
        <w:spacing w:line="360" w:lineRule="auto"/>
        <w:ind w:firstLine="498" w:firstLineChars="200"/>
        <w:rPr>
          <w:rFonts w:hAnsi="宋体"/>
          <w:color w:val="auto"/>
          <w:sz w:val="24"/>
        </w:rPr>
      </w:pPr>
      <w:r>
        <w:rPr>
          <w:rFonts w:hint="eastAsia" w:hAnsi="宋体"/>
          <w:color w:val="auto"/>
          <w:sz w:val="24"/>
        </w:rPr>
        <w:t>（3）评审情况及说明，包括无效申请人名单及原因；</w:t>
      </w:r>
    </w:p>
    <w:p w14:paraId="5E871DAC">
      <w:pPr>
        <w:tabs>
          <w:tab w:val="left" w:pos="720"/>
        </w:tabs>
        <w:spacing w:line="360" w:lineRule="auto"/>
        <w:ind w:firstLine="498" w:firstLineChars="200"/>
        <w:rPr>
          <w:rFonts w:hAnsi="宋体"/>
          <w:color w:val="auto"/>
          <w:sz w:val="24"/>
        </w:rPr>
      </w:pPr>
      <w:r>
        <w:rPr>
          <w:rFonts w:hint="eastAsia" w:hAnsi="宋体"/>
          <w:color w:val="auto"/>
          <w:sz w:val="24"/>
        </w:rPr>
        <w:t>（4）评审结果和候选申请人排序表；</w:t>
      </w:r>
    </w:p>
    <w:p w14:paraId="255E1E69">
      <w:pPr>
        <w:tabs>
          <w:tab w:val="left" w:pos="720"/>
        </w:tabs>
        <w:spacing w:line="360" w:lineRule="auto"/>
        <w:ind w:firstLine="498" w:firstLineChars="200"/>
        <w:rPr>
          <w:rFonts w:hAnsi="宋体"/>
          <w:color w:val="auto"/>
          <w:sz w:val="24"/>
        </w:rPr>
      </w:pPr>
      <w:r>
        <w:rPr>
          <w:rFonts w:hint="eastAsia" w:hAnsi="宋体"/>
          <w:color w:val="auto"/>
          <w:sz w:val="24"/>
        </w:rPr>
        <w:t>（5）评审委员会的推荐意见。</w:t>
      </w:r>
    </w:p>
    <w:p w14:paraId="7C52E8CA">
      <w:pPr>
        <w:pStyle w:val="3"/>
        <w:spacing w:line="360" w:lineRule="auto"/>
        <w:ind w:firstLine="498" w:firstLineChars="200"/>
        <w:rPr>
          <w:rFonts w:ascii="黑体" w:hAnsi="黑体"/>
          <w:color w:val="auto"/>
          <w:sz w:val="24"/>
          <w:szCs w:val="24"/>
        </w:rPr>
      </w:pPr>
      <w:bookmarkStart w:id="61" w:name="_Toc217446103"/>
      <w:r>
        <w:rPr>
          <w:rFonts w:hint="eastAsia" w:ascii="黑体" w:hAnsi="黑体"/>
          <w:color w:val="auto"/>
          <w:sz w:val="24"/>
          <w:szCs w:val="24"/>
        </w:rPr>
        <w:t>4、评审细则及标准</w:t>
      </w:r>
      <w:bookmarkEnd w:id="61"/>
    </w:p>
    <w:p w14:paraId="3405B923">
      <w:pPr>
        <w:tabs>
          <w:tab w:val="left" w:pos="720"/>
        </w:tabs>
        <w:spacing w:line="360" w:lineRule="auto"/>
        <w:ind w:firstLine="498" w:firstLineChars="200"/>
        <w:rPr>
          <w:rFonts w:hAnsi="宋体"/>
          <w:color w:val="auto"/>
          <w:sz w:val="24"/>
        </w:rPr>
      </w:pPr>
      <w:r>
        <w:rPr>
          <w:rFonts w:hint="eastAsia" w:hAnsi="宋体"/>
          <w:color w:val="auto"/>
          <w:sz w:val="24"/>
        </w:rPr>
        <w:t>4.1 评委会只对通过初审的比选申请文件，根据比选文件的要求采用相同的评审程序、评分办法及标准进行评价和比较。</w:t>
      </w:r>
    </w:p>
    <w:p w14:paraId="24672946">
      <w:pPr>
        <w:tabs>
          <w:tab w:val="left" w:pos="720"/>
        </w:tabs>
        <w:spacing w:line="360" w:lineRule="auto"/>
        <w:ind w:firstLine="498" w:firstLineChars="200"/>
        <w:rPr>
          <w:rFonts w:hAnsi="宋体"/>
          <w:color w:val="auto"/>
          <w:sz w:val="24"/>
        </w:rPr>
      </w:pPr>
      <w:r>
        <w:rPr>
          <w:rFonts w:hint="eastAsia" w:hAnsi="宋体"/>
          <w:color w:val="auto"/>
          <w:sz w:val="24"/>
        </w:rPr>
        <w:t>4.2 本次综合评分的因素是：</w:t>
      </w:r>
      <w:r>
        <w:rPr>
          <w:rFonts w:hint="eastAsia" w:hAnsi="宋体"/>
          <w:color w:val="auto"/>
          <w:sz w:val="24"/>
          <w:lang w:val="en-US" w:eastAsia="zh-CN"/>
        </w:rPr>
        <w:t>价格分</w:t>
      </w:r>
      <w:r>
        <w:rPr>
          <w:rFonts w:hint="eastAsia" w:hAnsi="宋体"/>
          <w:color w:val="auto"/>
          <w:sz w:val="24"/>
        </w:rPr>
        <w:t>，</w:t>
      </w:r>
      <w:r>
        <w:rPr>
          <w:rFonts w:hint="eastAsia" w:hAnsi="宋体" w:cs="Times New Roman"/>
          <w:color w:val="auto"/>
          <w:sz w:val="24"/>
          <w:lang w:val="en-US" w:eastAsia="zh-CN"/>
        </w:rPr>
        <w:t>实施方案</w:t>
      </w:r>
      <w:r>
        <w:rPr>
          <w:rFonts w:hint="eastAsia" w:ascii="Times New Roman" w:hAnsi="宋体" w:eastAsia="宋体" w:cs="Times New Roman"/>
          <w:color w:val="auto"/>
          <w:sz w:val="24"/>
        </w:rPr>
        <w:t>等</w:t>
      </w:r>
      <w:r>
        <w:rPr>
          <w:rFonts w:hint="eastAsia" w:hAnsi="宋体"/>
          <w:color w:val="auto"/>
          <w:sz w:val="24"/>
        </w:rPr>
        <w:t>。</w:t>
      </w:r>
    </w:p>
    <w:p w14:paraId="4194E805">
      <w:pPr>
        <w:tabs>
          <w:tab w:val="left" w:pos="720"/>
        </w:tabs>
        <w:spacing w:line="360" w:lineRule="auto"/>
        <w:ind w:firstLine="498" w:firstLineChars="200"/>
        <w:rPr>
          <w:rFonts w:hAnsi="宋体"/>
          <w:color w:val="auto"/>
          <w:sz w:val="24"/>
        </w:rPr>
      </w:pPr>
      <w:r>
        <w:rPr>
          <w:rFonts w:hint="eastAsia" w:hAnsi="宋体"/>
          <w:color w:val="auto"/>
          <w:sz w:val="24"/>
        </w:rPr>
        <w:t>4.3 除价格因素外，评委会成员应依据比选申请文件规定的评分标准和方法独立对其他因素进行比较打分。</w:t>
      </w:r>
    </w:p>
    <w:p w14:paraId="1F27E452">
      <w:pPr>
        <w:tabs>
          <w:tab w:val="left" w:pos="720"/>
        </w:tabs>
        <w:spacing w:line="360" w:lineRule="auto"/>
        <w:ind w:firstLine="498" w:firstLineChars="200"/>
        <w:rPr>
          <w:rFonts w:hAnsi="宋体"/>
          <w:color w:val="auto"/>
          <w:sz w:val="24"/>
        </w:rPr>
      </w:pPr>
      <w:r>
        <w:rPr>
          <w:rFonts w:hint="eastAsia" w:hAnsi="宋体"/>
          <w:color w:val="auto"/>
          <w:sz w:val="24"/>
        </w:rPr>
        <w:t>4.4 在评审过程中，比选申请文件有下列情况之一，评审委员会成员应当按照比选文件规定的非实质性偏离进行扣分：</w:t>
      </w:r>
    </w:p>
    <w:p w14:paraId="7F59B79E">
      <w:pPr>
        <w:tabs>
          <w:tab w:val="left" w:pos="720"/>
        </w:tabs>
        <w:spacing w:line="360" w:lineRule="auto"/>
        <w:ind w:firstLine="498" w:firstLineChars="200"/>
        <w:rPr>
          <w:rFonts w:hAnsi="宋体"/>
          <w:color w:val="auto"/>
          <w:sz w:val="24"/>
        </w:rPr>
      </w:pPr>
      <w:r>
        <w:rPr>
          <w:rFonts w:hint="eastAsia" w:hAnsi="宋体"/>
          <w:color w:val="auto"/>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0C889621">
      <w:pPr>
        <w:tabs>
          <w:tab w:val="left" w:pos="720"/>
        </w:tabs>
        <w:spacing w:line="360" w:lineRule="auto"/>
        <w:ind w:firstLine="498" w:firstLineChars="200"/>
        <w:rPr>
          <w:rFonts w:hAnsi="宋体"/>
          <w:color w:val="auto"/>
          <w:sz w:val="24"/>
        </w:rPr>
      </w:pPr>
      <w:r>
        <w:rPr>
          <w:rFonts w:hint="eastAsia" w:hAnsi="宋体"/>
          <w:color w:val="auto"/>
          <w:sz w:val="24"/>
        </w:rPr>
        <w:t>（2）比选申请文件未按比选文件要求进行装订或未编制目录、页码；</w:t>
      </w:r>
    </w:p>
    <w:p w14:paraId="0120AEAF">
      <w:pPr>
        <w:tabs>
          <w:tab w:val="left" w:pos="720"/>
        </w:tabs>
        <w:spacing w:line="360" w:lineRule="auto"/>
        <w:ind w:firstLine="498" w:firstLineChars="200"/>
        <w:rPr>
          <w:rFonts w:hint="eastAsia"/>
          <w:color w:val="auto"/>
        </w:rPr>
      </w:pPr>
      <w:r>
        <w:rPr>
          <w:rFonts w:hint="eastAsia" w:hAnsi="宋体"/>
          <w:color w:val="auto"/>
          <w:sz w:val="24"/>
        </w:rPr>
        <w:t>4.5综合评分明细表</w:t>
      </w:r>
      <w:bookmarkStart w:id="62" w:name="_Toc217446060"/>
    </w:p>
    <w:tbl>
      <w:tblPr>
        <w:tblStyle w:val="44"/>
        <w:tblW w:w="88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CellMar>
          <w:top w:w="0" w:type="dxa"/>
          <w:left w:w="10" w:type="dxa"/>
          <w:bottom w:w="0" w:type="dxa"/>
          <w:right w:w="10" w:type="dxa"/>
        </w:tblCellMar>
      </w:tblPr>
      <w:tblGrid>
        <w:gridCol w:w="901"/>
        <w:gridCol w:w="1308"/>
        <w:gridCol w:w="866"/>
        <w:gridCol w:w="5784"/>
      </w:tblGrid>
      <w:tr w14:paraId="69A1B2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812"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5BA7054">
            <w:pPr>
              <w:jc w:val="center"/>
              <w:rPr>
                <w:color w:val="auto"/>
              </w:rPr>
            </w:pPr>
            <w:r>
              <w:rPr>
                <w:rFonts w:hint="eastAsia"/>
                <w:b/>
                <w:color w:val="auto"/>
                <w:sz w:val="24"/>
                <w:szCs w:val="24"/>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FA85DC3">
            <w:pPr>
              <w:jc w:val="center"/>
              <w:rPr>
                <w:color w:val="auto"/>
              </w:rPr>
            </w:pPr>
            <w:r>
              <w:rPr>
                <w:rFonts w:hint="eastAsia"/>
                <w:b/>
                <w:color w:val="auto"/>
                <w:sz w:val="24"/>
                <w:szCs w:val="24"/>
              </w:rPr>
              <w:t>评分因素及权重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1CB2566">
            <w:pPr>
              <w:jc w:val="center"/>
              <w:rPr>
                <w:color w:val="auto"/>
              </w:rPr>
            </w:pPr>
            <w:r>
              <w:rPr>
                <w:rFonts w:hint="eastAsia"/>
                <w:b/>
                <w:color w:val="auto"/>
                <w:sz w:val="24"/>
                <w:szCs w:val="24"/>
              </w:rPr>
              <w:t>分值</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3F03302">
            <w:pPr>
              <w:jc w:val="center"/>
              <w:rPr>
                <w:color w:val="auto"/>
              </w:rPr>
            </w:pPr>
            <w:r>
              <w:rPr>
                <w:rFonts w:hint="eastAsia"/>
                <w:b/>
                <w:color w:val="auto"/>
                <w:sz w:val="24"/>
                <w:szCs w:val="24"/>
              </w:rPr>
              <w:t>评分标准</w:t>
            </w:r>
          </w:p>
        </w:tc>
      </w:tr>
      <w:tr w14:paraId="1BC83A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11"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712B22">
            <w:pPr>
              <w:widowControl w:val="0"/>
              <w:tabs>
                <w:tab w:val="left" w:pos="600"/>
              </w:tabs>
              <w:spacing w:line="400" w:lineRule="exact"/>
              <w:jc w:val="center"/>
              <w:rPr>
                <w:color w:val="auto"/>
              </w:rPr>
            </w:pPr>
            <w:r>
              <w:rPr>
                <w:rFonts w:ascii="仿宋" w:hAnsi="仿宋" w:eastAsia="仿宋" w:cs="仿宋"/>
                <w:color w:val="auto"/>
                <w:sz w:val="24"/>
                <w:szCs w:val="24"/>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DBC2EE">
            <w:pPr>
              <w:tabs>
                <w:tab w:val="left" w:pos="720"/>
              </w:tabs>
              <w:spacing w:line="360" w:lineRule="auto"/>
              <w:rPr>
                <w:rFonts w:hint="default" w:ascii="Times New Roman" w:hAnsi="宋体" w:eastAsia="宋体" w:cs="Times New Roman"/>
                <w:color w:val="auto"/>
                <w:sz w:val="24"/>
                <w:lang w:val="en-US"/>
              </w:rPr>
            </w:pPr>
            <w:r>
              <w:rPr>
                <w:rFonts w:hint="eastAsia" w:ascii="Times New Roman" w:hAnsi="宋体" w:eastAsia="宋体" w:cs="Times New Roman"/>
                <w:color w:val="auto"/>
                <w:sz w:val="24"/>
                <w:lang w:val="en-US" w:eastAsia="zh-CN"/>
              </w:rPr>
              <w:t>价</w:t>
            </w:r>
            <w:r>
              <w:rPr>
                <w:rFonts w:hint="eastAsia" w:ascii="Times New Roman" w:hAnsi="宋体" w:eastAsia="宋体" w:cs="Times New Roman"/>
                <w:color w:val="auto"/>
                <w:sz w:val="24"/>
                <w:lang w:val="zh-TW" w:eastAsia="zh-TW"/>
              </w:rPr>
              <w:t>格</w:t>
            </w:r>
            <w:r>
              <w:rPr>
                <w:rFonts w:hint="eastAsia" w:ascii="Times New Roman" w:hAnsi="宋体" w:eastAsia="宋体" w:cs="Times New Roman"/>
                <w:color w:val="auto"/>
                <w:sz w:val="24"/>
                <w:lang w:val="en-US" w:eastAsia="zh-CN"/>
              </w:rPr>
              <w:t>分</w:t>
            </w:r>
            <w:r>
              <w:rPr>
                <w:rFonts w:hint="eastAsia" w:hAnsi="宋体" w:cs="Times New Roman"/>
                <w:color w:val="auto"/>
                <w:sz w:val="24"/>
                <w:lang w:val="en-US" w:eastAsia="zh-CN"/>
              </w:rPr>
              <w:t>40</w:t>
            </w:r>
            <w:r>
              <w:rPr>
                <w:rFonts w:hint="eastAsia" w:ascii="Times New Roman" w:hAnsi="宋体" w:eastAsia="宋体" w:cs="Times New Roman"/>
                <w:color w:val="auto"/>
                <w:sz w:val="24"/>
                <w:lang w:val="en-US" w:eastAsia="zh-CN"/>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8746AC5">
            <w:pPr>
              <w:tabs>
                <w:tab w:val="left" w:pos="720"/>
              </w:tabs>
              <w:spacing w:line="360" w:lineRule="auto"/>
              <w:rPr>
                <w:rFonts w:hint="eastAsia" w:ascii="Times New Roman" w:hAnsi="宋体" w:eastAsia="宋体" w:cs="Times New Roman"/>
                <w:color w:val="auto"/>
                <w:sz w:val="24"/>
              </w:rPr>
            </w:pPr>
            <w:r>
              <w:rPr>
                <w:rFonts w:hint="eastAsia" w:hAnsi="宋体" w:cs="Times New Roman"/>
                <w:color w:val="auto"/>
                <w:sz w:val="24"/>
                <w:lang w:val="en-US" w:eastAsia="zh-CN"/>
              </w:rPr>
              <w:t>40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72B649E">
            <w:pPr>
              <w:overflowPunct/>
              <w:topLinePunct/>
              <w:spacing w:after="0" w:line="480" w:lineRule="exact"/>
              <w:textAlignment w:val="center"/>
              <w:rPr>
                <w:rFonts w:hint="eastAsia" w:ascii="宋体" w:hAnsi="宋体" w:eastAsia="宋体" w:cs="宋体"/>
                <w:b w:val="0"/>
                <w:bCs/>
                <w:color w:val="auto"/>
                <w:kern w:val="2"/>
                <w:sz w:val="24"/>
                <w:szCs w:val="24"/>
                <w:highlight w:val="none"/>
                <w:shd w:val="clear" w:color="auto" w:fill="auto"/>
                <w:lang w:val="en-US" w:eastAsia="zh-CN"/>
              </w:rPr>
            </w:pPr>
            <w:r>
              <w:rPr>
                <w:rFonts w:hint="eastAsia" w:ascii="宋体" w:hAnsi="宋体" w:eastAsia="宋体" w:cs="宋体"/>
                <w:b w:val="0"/>
                <w:bCs/>
                <w:color w:val="auto"/>
                <w:kern w:val="2"/>
                <w:sz w:val="24"/>
                <w:szCs w:val="24"/>
                <w:highlight w:val="none"/>
                <w:shd w:val="clear" w:color="auto" w:fill="auto"/>
                <w:lang w:val="en-US" w:eastAsia="zh-CN"/>
              </w:rPr>
              <w:t>以满足比选文件要求且价格最低的报价为评审基准价，其价格分为满分。其他供应商的价格分统一按照下列公式计算：报价得分=</w:t>
            </w:r>
            <w:r>
              <w:rPr>
                <w:rStyle w:val="198"/>
                <w:rFonts w:hint="eastAsia" w:ascii="宋体" w:hAnsi="宋体" w:eastAsia="宋体" w:cs="宋体"/>
                <w:snapToGrid w:val="0"/>
                <w:color w:val="auto"/>
                <w:sz w:val="24"/>
                <w:szCs w:val="24"/>
                <w:lang w:val="en-US" w:eastAsia="zh-CN" w:bidi="ar"/>
              </w:rPr>
              <w:t>基准价／最终报价</w:t>
            </w:r>
            <w:r>
              <w:rPr>
                <w:rFonts w:hint="eastAsia" w:ascii="宋体" w:hAnsi="宋体" w:eastAsia="宋体" w:cs="宋体"/>
                <w:b w:val="0"/>
                <w:bCs/>
                <w:color w:val="auto"/>
                <w:kern w:val="2"/>
                <w:sz w:val="24"/>
                <w:szCs w:val="24"/>
                <w:highlight w:val="none"/>
                <w:shd w:val="clear" w:color="auto" w:fill="auto"/>
                <w:lang w:val="en-US" w:eastAsia="zh-CN"/>
              </w:rPr>
              <w:t>×</w:t>
            </w:r>
            <w:r>
              <w:rPr>
                <w:rFonts w:hint="eastAsia" w:ascii="宋体" w:hAnsi="宋体" w:cs="宋体"/>
                <w:b w:val="0"/>
                <w:bCs/>
                <w:color w:val="auto"/>
                <w:kern w:val="2"/>
                <w:sz w:val="24"/>
                <w:szCs w:val="24"/>
                <w:highlight w:val="none"/>
                <w:shd w:val="clear" w:color="auto" w:fill="auto"/>
                <w:lang w:val="en-US" w:eastAsia="zh-CN"/>
              </w:rPr>
              <w:t>40</w:t>
            </w:r>
            <w:r>
              <w:rPr>
                <w:rFonts w:hint="eastAsia" w:ascii="宋体" w:hAnsi="宋体" w:eastAsia="宋体" w:cs="宋体"/>
                <w:b w:val="0"/>
                <w:bCs/>
                <w:color w:val="auto"/>
                <w:kern w:val="2"/>
                <w:sz w:val="24"/>
                <w:szCs w:val="24"/>
                <w:highlight w:val="none"/>
                <w:shd w:val="clear" w:color="auto" w:fill="auto"/>
                <w:lang w:val="en-US" w:eastAsia="zh-CN"/>
              </w:rPr>
              <w:t>。</w:t>
            </w:r>
          </w:p>
          <w:p w14:paraId="1F9C5C6C">
            <w:pPr>
              <w:overflowPunct/>
              <w:topLinePunct/>
              <w:spacing w:after="0" w:line="480" w:lineRule="exact"/>
              <w:textAlignment w:val="center"/>
              <w:rPr>
                <w:rFonts w:hint="eastAsia" w:ascii="宋体" w:hAnsi="宋体" w:eastAsia="宋体" w:cs="宋体"/>
                <w:b w:val="0"/>
                <w:bCs/>
                <w:color w:val="auto"/>
                <w:kern w:val="2"/>
                <w:sz w:val="24"/>
                <w:szCs w:val="24"/>
                <w:highlight w:val="none"/>
                <w:shd w:val="clear" w:color="auto" w:fill="auto"/>
                <w:lang w:val="en-US" w:eastAsia="zh-CN"/>
              </w:rPr>
            </w:pPr>
            <w:r>
              <w:rPr>
                <w:rFonts w:hint="eastAsia" w:ascii="宋体" w:hAnsi="宋体" w:cs="宋体"/>
                <w:b w:val="0"/>
                <w:bCs/>
                <w:color w:val="auto"/>
                <w:kern w:val="2"/>
                <w:sz w:val="24"/>
                <w:szCs w:val="24"/>
                <w:highlight w:val="none"/>
                <w:shd w:val="clear" w:color="auto" w:fill="auto"/>
                <w:lang w:val="en-US" w:eastAsia="zh-CN"/>
              </w:rPr>
              <w:t>（四舍五入两位小数）</w:t>
            </w:r>
          </w:p>
        </w:tc>
      </w:tr>
      <w:tr w14:paraId="1463A3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13"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E5FFD2C">
            <w:pPr>
              <w:widowControl w:val="0"/>
              <w:tabs>
                <w:tab w:val="left" w:pos="600"/>
              </w:tabs>
              <w:spacing w:line="400" w:lineRule="exact"/>
              <w:jc w:val="center"/>
              <w:rPr>
                <w:color w:val="auto"/>
              </w:rPr>
            </w:pPr>
            <w:r>
              <w:rPr>
                <w:rFonts w:ascii="仿宋" w:hAnsi="仿宋" w:eastAsia="仿宋" w:cs="仿宋"/>
                <w:color w:val="auto"/>
                <w:sz w:val="24"/>
                <w:szCs w:val="24"/>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3F7A90B">
            <w:pPr>
              <w:tabs>
                <w:tab w:val="left" w:pos="720"/>
              </w:tabs>
              <w:spacing w:line="360" w:lineRule="auto"/>
              <w:rPr>
                <w:rFonts w:hint="default" w:ascii="Times New Roman" w:hAnsi="宋体" w:eastAsia="宋体" w:cs="Times New Roman"/>
                <w:color w:val="auto"/>
                <w:sz w:val="24"/>
                <w:lang w:val="en-US" w:eastAsia="zh-CN"/>
              </w:rPr>
            </w:pPr>
            <w:r>
              <w:rPr>
                <w:rFonts w:hint="eastAsia" w:ascii="宋体" w:hAnsi="宋体" w:eastAsia="宋体" w:cs="宋体"/>
                <w:snapToGrid/>
                <w:color w:val="auto"/>
                <w:kern w:val="2"/>
                <w:sz w:val="24"/>
                <w:szCs w:val="24"/>
                <w:highlight w:val="none"/>
                <w:lang w:val="en-US" w:eastAsia="zh-CN"/>
              </w:rPr>
              <w:t>实施方案</w:t>
            </w:r>
            <w:r>
              <w:rPr>
                <w:rFonts w:hint="eastAsia" w:hAnsi="宋体" w:cs="Times New Roman"/>
                <w:color w:val="auto"/>
                <w:sz w:val="24"/>
                <w:lang w:val="en-US" w:eastAsia="zh-CN"/>
              </w:rPr>
              <w:t>24</w:t>
            </w:r>
            <w:r>
              <w:rPr>
                <w:rFonts w:hint="eastAsia" w:ascii="Times New Roman" w:hAnsi="宋体" w:eastAsia="宋体" w:cs="Times New Roman"/>
                <w:color w:val="auto"/>
                <w:sz w:val="24"/>
                <w:lang w:val="en-US" w:eastAsia="zh-CN"/>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D9E0CBC">
            <w:pPr>
              <w:widowControl w:val="0"/>
              <w:kinsoku/>
              <w:autoSpaceDE/>
              <w:autoSpaceDN/>
              <w:adjustRightInd/>
              <w:snapToGrid w:val="0"/>
              <w:spacing w:line="240" w:lineRule="auto"/>
              <w:jc w:val="center"/>
              <w:textAlignment w:val="auto"/>
              <w:rPr>
                <w:rFonts w:hint="default" w:ascii="Times New Roman" w:hAnsi="宋体" w:eastAsia="宋体" w:cs="Times New Roman"/>
                <w:color w:val="auto"/>
                <w:sz w:val="24"/>
                <w:lang w:val="en-US"/>
              </w:rPr>
            </w:pPr>
            <w:r>
              <w:rPr>
                <w:rFonts w:hint="eastAsia" w:ascii="宋体" w:hAnsi="宋体" w:cs="宋体"/>
                <w:bCs/>
                <w:snapToGrid/>
                <w:color w:val="auto"/>
                <w:kern w:val="2"/>
                <w:sz w:val="24"/>
                <w:szCs w:val="24"/>
                <w:highlight w:val="none"/>
                <w:lang w:val="en-US" w:eastAsia="zh-CN"/>
              </w:rPr>
              <w:t>24</w:t>
            </w:r>
            <w:r>
              <w:rPr>
                <w:rFonts w:hint="eastAsia" w:ascii="宋体" w:hAnsi="宋体" w:eastAsia="宋体" w:cs="宋体"/>
                <w:bCs/>
                <w:snapToGrid/>
                <w:color w:val="auto"/>
                <w:kern w:val="2"/>
                <w:sz w:val="24"/>
                <w:szCs w:val="24"/>
                <w:highlight w:val="none"/>
                <w:lang w:val="en-US" w:eastAsia="zh-CN"/>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76D914C">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根据供应商针对本项目提供实施方案，内容包括：（1）维保服务内容（2）维保方案（3）响应时间（4）备件管理（5）维保人员配置（6）应急预案（7）培训方案（8）服务质量保证措施</w:t>
            </w:r>
          </w:p>
          <w:p w14:paraId="6107AA5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根据投标人针对上述</w:t>
            </w:r>
            <w:r>
              <w:rPr>
                <w:rFonts w:hint="eastAsia" w:ascii="宋体" w:hAnsi="宋体" w:cs="宋体"/>
                <w:snapToGrid/>
                <w:color w:val="auto"/>
                <w:kern w:val="2"/>
                <w:sz w:val="24"/>
                <w:szCs w:val="24"/>
                <w:highlight w:val="none"/>
                <w:lang w:val="en-US" w:eastAsia="zh-CN"/>
              </w:rPr>
              <w:t>8</w:t>
            </w:r>
            <w:r>
              <w:rPr>
                <w:rFonts w:hint="eastAsia" w:ascii="宋体" w:hAnsi="宋体" w:eastAsia="宋体" w:cs="宋体"/>
                <w:snapToGrid/>
                <w:color w:val="auto"/>
                <w:kern w:val="2"/>
                <w:sz w:val="24"/>
                <w:szCs w:val="24"/>
                <w:highlight w:val="none"/>
                <w:lang w:val="en-US" w:eastAsia="zh-CN"/>
              </w:rPr>
              <w:t>个方面内容在投标文件中的响应情况进行综合评审：其中每有一方面内容满足要求的得</w:t>
            </w:r>
            <w:r>
              <w:rPr>
                <w:rFonts w:hint="eastAsia" w:ascii="宋体" w:hAnsi="宋体" w:cs="宋体"/>
                <w:snapToGrid/>
                <w:color w:val="auto"/>
                <w:kern w:val="2"/>
                <w:sz w:val="24"/>
                <w:szCs w:val="24"/>
                <w:highlight w:val="none"/>
                <w:lang w:val="en-US" w:eastAsia="zh-CN"/>
              </w:rPr>
              <w:t>3</w:t>
            </w:r>
            <w:r>
              <w:rPr>
                <w:rFonts w:hint="eastAsia" w:ascii="宋体" w:hAnsi="宋体" w:eastAsia="宋体" w:cs="宋体"/>
                <w:snapToGrid/>
                <w:color w:val="auto"/>
                <w:kern w:val="2"/>
                <w:sz w:val="24"/>
                <w:szCs w:val="24"/>
                <w:highlight w:val="none"/>
                <w:lang w:val="en-US" w:eastAsia="zh-CN"/>
              </w:rPr>
              <w:t>分，该方面中每有一处缺陷或不足的扣</w:t>
            </w:r>
            <w:r>
              <w:rPr>
                <w:rFonts w:hint="eastAsia" w:ascii="宋体" w:hAnsi="宋体" w:cs="宋体"/>
                <w:snapToGrid/>
                <w:color w:val="auto"/>
                <w:kern w:val="2"/>
                <w:sz w:val="24"/>
                <w:szCs w:val="24"/>
                <w:highlight w:val="none"/>
                <w:lang w:val="en-US" w:eastAsia="zh-CN"/>
              </w:rPr>
              <w:t>1.5</w:t>
            </w:r>
            <w:r>
              <w:rPr>
                <w:rFonts w:hint="eastAsia" w:ascii="宋体" w:hAnsi="宋体" w:eastAsia="宋体" w:cs="宋体"/>
                <w:snapToGrid/>
                <w:color w:val="auto"/>
                <w:kern w:val="2"/>
                <w:sz w:val="24"/>
                <w:szCs w:val="24"/>
                <w:highlight w:val="none"/>
                <w:lang w:val="en-US" w:eastAsia="zh-CN"/>
              </w:rPr>
              <w:t>分，最多扣</w:t>
            </w:r>
            <w:r>
              <w:rPr>
                <w:rFonts w:hint="eastAsia" w:ascii="宋体" w:hAnsi="宋体" w:cs="宋体"/>
                <w:snapToGrid/>
                <w:color w:val="auto"/>
                <w:kern w:val="2"/>
                <w:sz w:val="24"/>
                <w:szCs w:val="24"/>
                <w:highlight w:val="none"/>
                <w:lang w:val="en-US" w:eastAsia="zh-CN"/>
              </w:rPr>
              <w:t>3</w:t>
            </w:r>
            <w:r>
              <w:rPr>
                <w:rFonts w:hint="eastAsia" w:ascii="宋体" w:hAnsi="宋体" w:eastAsia="宋体" w:cs="宋体"/>
                <w:snapToGrid/>
                <w:color w:val="auto"/>
                <w:kern w:val="2"/>
                <w:sz w:val="24"/>
                <w:szCs w:val="24"/>
                <w:highlight w:val="none"/>
                <w:lang w:val="en-US" w:eastAsia="zh-CN"/>
              </w:rPr>
              <w:t>分；每有一方面内容缺失或不满足要求的该方面内容不得分；本项最多</w:t>
            </w:r>
            <w:r>
              <w:rPr>
                <w:rFonts w:hint="eastAsia" w:ascii="宋体" w:hAnsi="宋体" w:cs="宋体"/>
                <w:snapToGrid/>
                <w:color w:val="auto"/>
                <w:kern w:val="2"/>
                <w:sz w:val="24"/>
                <w:szCs w:val="24"/>
                <w:highlight w:val="none"/>
                <w:lang w:val="en-US" w:eastAsia="zh-CN"/>
              </w:rPr>
              <w:t>24</w:t>
            </w:r>
            <w:r>
              <w:rPr>
                <w:rFonts w:hint="eastAsia" w:ascii="宋体" w:hAnsi="宋体" w:eastAsia="宋体" w:cs="宋体"/>
                <w:snapToGrid/>
                <w:color w:val="auto"/>
                <w:kern w:val="2"/>
                <w:sz w:val="24"/>
                <w:szCs w:val="24"/>
                <w:highlight w:val="none"/>
                <w:lang w:val="en-US" w:eastAsia="zh-CN"/>
              </w:rPr>
              <w:t>分。</w:t>
            </w:r>
          </w:p>
          <w:p w14:paraId="5F9513C9">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4AE1575F">
            <w:pPr>
              <w:pageBreakBefore w:val="0"/>
              <w:widowControl/>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eastAsia" w:ascii="Times New Roman" w:hAnsi="宋体" w:eastAsia="宋体" w:cs="Times New Roman"/>
                <w:color w:val="auto"/>
                <w:sz w:val="24"/>
                <w:lang w:eastAsia="zh-CN"/>
              </w:rPr>
            </w:pPr>
            <w:r>
              <w:rPr>
                <w:rFonts w:hint="eastAsia" w:ascii="宋体" w:hAnsi="宋体" w:eastAsia="宋体" w:cs="宋体"/>
                <w:snapToGrid/>
                <w:color w:val="auto"/>
                <w:kern w:val="2"/>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3D742B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47"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37341C">
            <w:pPr>
              <w:pStyle w:val="16"/>
              <w:jc w:val="center"/>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3EF9B14">
            <w:pPr>
              <w:pStyle w:val="16"/>
              <w:rPr>
                <w:rFonts w:hint="default" w:ascii="Times New Roman" w:hAnsi="宋体" w:eastAsia="宋体" w:cs="Times New Roman"/>
                <w:color w:val="auto"/>
                <w:kern w:val="2"/>
                <w:sz w:val="24"/>
                <w:szCs w:val="22"/>
                <w:lang w:val="en-US" w:eastAsia="zh-CN" w:bidi="ar-SA"/>
              </w:rPr>
            </w:pPr>
            <w:r>
              <w:rPr>
                <w:rFonts w:hint="eastAsia" w:ascii="Times New Roman" w:hAnsi="宋体" w:eastAsia="宋体" w:cs="Times New Roman"/>
                <w:color w:val="auto"/>
                <w:kern w:val="2"/>
                <w:sz w:val="24"/>
                <w:szCs w:val="22"/>
                <w:lang w:val="en-US" w:eastAsia="zh-CN" w:bidi="ar-SA"/>
              </w:rPr>
              <w:t>维保团队和服务</w:t>
            </w:r>
            <w:r>
              <w:rPr>
                <w:rFonts w:hint="eastAsia" w:hAnsi="宋体" w:cs="Times New Roman"/>
                <w:color w:val="auto"/>
                <w:kern w:val="2"/>
                <w:sz w:val="24"/>
                <w:szCs w:val="22"/>
                <w:lang w:val="en-US" w:eastAsia="zh-CN" w:bidi="ar-SA"/>
              </w:rPr>
              <w:t>27</w:t>
            </w:r>
            <w:r>
              <w:rPr>
                <w:rFonts w:hint="eastAsia" w:ascii="Times New Roman" w:hAnsi="宋体" w:eastAsia="宋体" w:cs="Times New Roman"/>
                <w:color w:val="auto"/>
                <w:kern w:val="2"/>
                <w:sz w:val="24"/>
                <w:szCs w:val="22"/>
                <w:lang w:val="en-US" w:eastAsia="zh-CN" w:bidi="ar-SA"/>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A125216">
            <w:pPr>
              <w:tabs>
                <w:tab w:val="left" w:pos="720"/>
              </w:tabs>
              <w:spacing w:line="360" w:lineRule="auto"/>
              <w:rPr>
                <w:rFonts w:hint="eastAsia" w:ascii="Times New Roman" w:hAnsi="宋体" w:eastAsia="宋体" w:cs="Times New Roman"/>
                <w:color w:val="auto"/>
                <w:kern w:val="2"/>
                <w:sz w:val="24"/>
                <w:szCs w:val="22"/>
                <w:lang w:val="en-US" w:eastAsia="zh-CN" w:bidi="ar-SA"/>
              </w:rPr>
            </w:pPr>
            <w:r>
              <w:rPr>
                <w:rFonts w:hint="eastAsia" w:hAnsi="宋体" w:cs="Times New Roman"/>
                <w:color w:val="auto"/>
                <w:kern w:val="2"/>
                <w:sz w:val="24"/>
                <w:szCs w:val="22"/>
                <w:lang w:val="en-US" w:eastAsia="zh-CN" w:bidi="ar-SA"/>
              </w:rPr>
              <w:t>27</w:t>
            </w:r>
            <w:r>
              <w:rPr>
                <w:rFonts w:hint="eastAsia" w:ascii="Times New Roman" w:hAnsi="宋体" w:eastAsia="宋体" w:cs="Times New Roman"/>
                <w:color w:val="auto"/>
                <w:kern w:val="2"/>
                <w:sz w:val="24"/>
                <w:szCs w:val="22"/>
                <w:lang w:val="zh-TW" w:eastAsia="zh-TW" w:bidi="ar-SA"/>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D4BE2EB">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本项对供应商人员资质水平、服务能力等进行综合评审：</w:t>
            </w:r>
          </w:p>
          <w:p w14:paraId="4059CB7F">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bookmarkStart w:id="63" w:name="_Toc465176826"/>
            <w:r>
              <w:rPr>
                <w:rFonts w:hint="eastAsia" w:ascii="宋体" w:hAnsi="宋体" w:eastAsia="宋体" w:cs="宋体"/>
                <w:snapToGrid/>
                <w:color w:val="auto"/>
                <w:kern w:val="2"/>
                <w:sz w:val="24"/>
                <w:szCs w:val="24"/>
                <w:highlight w:val="none"/>
                <w:lang w:val="en-US" w:eastAsia="zh-CN"/>
              </w:rPr>
              <w:t>1、</w:t>
            </w:r>
            <w:bookmarkEnd w:id="63"/>
            <w:bookmarkStart w:id="64" w:name="OLE_LINK6"/>
            <w:bookmarkStart w:id="65" w:name="OLE_LINK7"/>
            <w:r>
              <w:rPr>
                <w:rFonts w:hint="eastAsia" w:ascii="宋体" w:hAnsi="宋体" w:eastAsia="宋体" w:cs="宋体"/>
                <w:snapToGrid/>
                <w:color w:val="auto"/>
                <w:kern w:val="2"/>
                <w:sz w:val="24"/>
                <w:szCs w:val="24"/>
                <w:highlight w:val="none"/>
                <w:lang w:val="en-US" w:eastAsia="zh-CN"/>
              </w:rPr>
              <w:t>供应商持有《电子与智能化工程专业承包资质证书》得3分</w:t>
            </w:r>
            <w:bookmarkEnd w:id="64"/>
            <w:bookmarkEnd w:id="65"/>
            <w:r>
              <w:rPr>
                <w:rFonts w:hint="eastAsia" w:ascii="宋体" w:hAnsi="宋体" w:eastAsia="宋体" w:cs="宋体"/>
                <w:snapToGrid/>
                <w:color w:val="auto"/>
                <w:kern w:val="2"/>
                <w:sz w:val="24"/>
                <w:szCs w:val="24"/>
                <w:highlight w:val="none"/>
                <w:lang w:val="en-US" w:eastAsia="zh-CN"/>
              </w:rPr>
              <w:t>，未提供不得分；</w:t>
            </w:r>
          </w:p>
          <w:p w14:paraId="56FB99DC">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2、供应商项目维护人员具有《信息安全保障人员认证证书》、《网络工程师证》、《机电工程师证书》，每提供一个证得4分，本项最多得12分,未提供不得分；</w:t>
            </w:r>
          </w:p>
          <w:p w14:paraId="57DBEB3D">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3、供应商项目管理人具有《网络工程师》证、《机电工程师》证、《系统集成项目管理工程师》中级及以上证书的，每提供一个证得3分，本项最多得9分，未提供不得分。</w:t>
            </w:r>
          </w:p>
          <w:p w14:paraId="49DBC26F">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4.供应商项目维护人员，持有效电工特种作业操作证，提供一个证得3分，本项最多得3分，未提供不得分。</w:t>
            </w:r>
          </w:p>
          <w:p w14:paraId="08D2BABF">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2"/>
                <w:sz w:val="24"/>
                <w:szCs w:val="24"/>
                <w:highlight w:val="none"/>
                <w:lang w:val="en-US" w:eastAsia="zh-CN"/>
              </w:rPr>
              <w:t>注：以上均需提供有效的证书或佐证材料复印件并加盖公章，原件备查。</w:t>
            </w:r>
          </w:p>
        </w:tc>
      </w:tr>
      <w:tr w14:paraId="4EA133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F24E4A">
            <w:pPr>
              <w:widowControl w:val="0"/>
              <w:tabs>
                <w:tab w:val="left" w:pos="600"/>
              </w:tabs>
              <w:spacing w:line="400" w:lineRule="exact"/>
              <w:jc w:val="center"/>
              <w:rPr>
                <w:color w:val="auto"/>
              </w:rPr>
            </w:pPr>
            <w:r>
              <w:rPr>
                <w:rFonts w:ascii="仿宋" w:hAnsi="仿宋" w:eastAsia="仿宋" w:cs="仿宋"/>
                <w:color w:val="auto"/>
                <w:sz w:val="24"/>
                <w:szCs w:val="24"/>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DDC0CC">
            <w:pPr>
              <w:overflowPunct/>
              <w:topLinePunct/>
              <w:spacing w:after="0" w:line="480" w:lineRule="exact"/>
              <w:textAlignment w:val="center"/>
              <w:rPr>
                <w:rFonts w:hint="default"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0"/>
                <w:sz w:val="24"/>
                <w:szCs w:val="24"/>
                <w:highlight w:val="none"/>
                <w:u w:val="none"/>
                <w:lang w:val="en-US" w:eastAsia="zh-CN"/>
              </w:rPr>
              <w:t>类似业绩</w:t>
            </w:r>
            <w:r>
              <w:rPr>
                <w:rFonts w:hint="eastAsia" w:hAnsi="宋体" w:cs="Times New Roman"/>
                <w:color w:val="auto"/>
                <w:kern w:val="2"/>
                <w:sz w:val="24"/>
                <w:szCs w:val="22"/>
                <w:lang w:val="en-US" w:eastAsia="zh-CN" w:bidi="ar-SA"/>
              </w:rPr>
              <w:t>9</w:t>
            </w:r>
            <w:r>
              <w:rPr>
                <w:rFonts w:hint="eastAsia" w:ascii="Times New Roman" w:hAnsi="宋体" w:eastAsia="宋体" w:cs="Times New Roman"/>
                <w:color w:val="auto"/>
                <w:kern w:val="2"/>
                <w:sz w:val="24"/>
                <w:szCs w:val="22"/>
                <w:lang w:val="en-US" w:eastAsia="zh-CN" w:bidi="ar-SA"/>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4EC98BB">
            <w:pPr>
              <w:overflowPunct/>
              <w:topLinePunct/>
              <w:spacing w:after="0" w:line="480" w:lineRule="exact"/>
              <w:textAlignment w:val="center"/>
              <w:rPr>
                <w:rFonts w:hint="eastAsia" w:ascii="Times New Roman" w:hAnsi="宋体" w:eastAsia="宋体" w:cs="Times New Roman"/>
                <w:color w:val="auto"/>
                <w:kern w:val="2"/>
                <w:sz w:val="24"/>
                <w:szCs w:val="22"/>
                <w:lang w:val="en-US" w:eastAsia="zh-CN" w:bidi="ar-SA"/>
              </w:rPr>
            </w:pPr>
            <w:r>
              <w:rPr>
                <w:rFonts w:hint="eastAsia" w:hAnsi="宋体" w:cs="Times New Roman"/>
                <w:color w:val="auto"/>
                <w:kern w:val="2"/>
                <w:sz w:val="24"/>
                <w:szCs w:val="22"/>
                <w:lang w:val="en-US" w:eastAsia="zh-CN" w:bidi="ar-SA"/>
              </w:rPr>
              <w:t>9</w:t>
            </w:r>
            <w:r>
              <w:rPr>
                <w:rFonts w:hint="eastAsia" w:ascii="Times New Roman" w:hAnsi="宋体" w:eastAsia="宋体" w:cs="Times New Roman"/>
                <w:color w:val="auto"/>
                <w:kern w:val="2"/>
                <w:sz w:val="24"/>
                <w:szCs w:val="22"/>
                <w:lang w:val="zh-TW" w:eastAsia="zh-TW" w:bidi="ar-SA"/>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8DD7115">
            <w:pPr>
              <w:widowControl w:val="0"/>
              <w:spacing w:after="120" w:afterLines="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供应商提供2022年1月1日（含1日）起至递交响应文件截止时间类似项目的业绩，提供的证明材料均不得遮挡涂黑，否则不予认定。提供合同复印件或中标、成交通知书并加盖公章，每提供一个得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分，最多得</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分</w:t>
            </w:r>
          </w:p>
          <w:p w14:paraId="7072CF2C">
            <w:pPr>
              <w:widowControl w:val="0"/>
              <w:spacing w:after="120" w:afterLines="0" w:line="360" w:lineRule="auto"/>
              <w:jc w:val="both"/>
              <w:rPr>
                <w:rFonts w:hint="eastAsia" w:ascii="Times New Roman" w:hAnsi="宋体" w:eastAsia="宋体" w:cs="Times New Roman"/>
                <w:color w:val="auto"/>
                <w:kern w:val="2"/>
                <w:sz w:val="24"/>
                <w:szCs w:val="22"/>
                <w:lang w:val="en-US" w:eastAsia="zh-CN" w:bidi="ar-SA"/>
              </w:rPr>
            </w:pPr>
            <w:r>
              <w:rPr>
                <w:rFonts w:hint="eastAsia" w:ascii="宋体" w:hAnsi="宋体" w:eastAsia="宋体" w:cs="宋体"/>
                <w:color w:val="auto"/>
                <w:kern w:val="2"/>
                <w:sz w:val="24"/>
                <w:szCs w:val="24"/>
                <w:highlight w:val="none"/>
                <w:lang w:val="en-US" w:eastAsia="zh-CN" w:bidi="ar-SA"/>
              </w:rPr>
              <w:t>注：中标后需查验相关资料原件。未提供原件备查，视为虚假响应投标，投标无效，并依法追究法律责任。</w:t>
            </w:r>
          </w:p>
        </w:tc>
      </w:tr>
    </w:tbl>
    <w:p w14:paraId="7489E0BB">
      <w:pPr>
        <w:pStyle w:val="3"/>
        <w:spacing w:line="360" w:lineRule="auto"/>
        <w:ind w:firstLine="498" w:firstLineChars="200"/>
        <w:rPr>
          <w:rFonts w:ascii="黑体" w:hAnsi="宋体"/>
          <w:color w:val="auto"/>
          <w:sz w:val="24"/>
          <w:szCs w:val="24"/>
        </w:rPr>
      </w:pPr>
      <w:r>
        <w:rPr>
          <w:rFonts w:hint="eastAsia" w:ascii="黑体" w:hAnsi="宋体"/>
          <w:color w:val="auto"/>
          <w:sz w:val="24"/>
          <w:szCs w:val="24"/>
        </w:rPr>
        <w:t>5、重新组织</w:t>
      </w:r>
    </w:p>
    <w:p w14:paraId="31929B0C">
      <w:pPr>
        <w:spacing w:line="360" w:lineRule="auto"/>
        <w:ind w:firstLine="498" w:firstLineChars="200"/>
        <w:rPr>
          <w:rFonts w:hAnsi="宋体"/>
          <w:color w:val="auto"/>
          <w:sz w:val="24"/>
        </w:rPr>
      </w:pPr>
      <w:r>
        <w:rPr>
          <w:rFonts w:hint="eastAsia" w:hAnsi="宋体"/>
          <w:color w:val="auto"/>
          <w:sz w:val="24"/>
        </w:rPr>
        <w:t>本次比选活动中，出现下列情形之一的，予以重新组织：</w:t>
      </w:r>
    </w:p>
    <w:p w14:paraId="4BF412BE">
      <w:pPr>
        <w:spacing w:line="360" w:lineRule="auto"/>
        <w:ind w:firstLine="498" w:firstLineChars="200"/>
        <w:rPr>
          <w:rFonts w:hAnsi="宋体"/>
          <w:color w:val="auto"/>
          <w:sz w:val="24"/>
        </w:rPr>
      </w:pPr>
      <w:r>
        <w:rPr>
          <w:rFonts w:hint="eastAsia" w:hAnsi="宋体"/>
          <w:color w:val="auto"/>
          <w:sz w:val="24"/>
        </w:rPr>
        <w:t>（1）截止比选时间，递交的比选申请文件少于</w:t>
      </w:r>
      <w:r>
        <w:rPr>
          <w:rFonts w:hAnsi="宋体"/>
          <w:color w:val="auto"/>
          <w:sz w:val="24"/>
        </w:rPr>
        <w:t>3</w:t>
      </w:r>
      <w:r>
        <w:rPr>
          <w:rFonts w:hint="eastAsia" w:hAnsi="宋体"/>
          <w:color w:val="auto"/>
          <w:sz w:val="24"/>
        </w:rPr>
        <w:t>家的；</w:t>
      </w:r>
    </w:p>
    <w:p w14:paraId="3F0C935E">
      <w:pPr>
        <w:spacing w:line="360" w:lineRule="auto"/>
        <w:ind w:firstLine="498" w:firstLineChars="200"/>
        <w:rPr>
          <w:rFonts w:hAnsi="宋体"/>
          <w:color w:val="auto"/>
          <w:sz w:val="24"/>
        </w:rPr>
      </w:pPr>
      <w:r>
        <w:rPr>
          <w:rFonts w:hint="eastAsia" w:hAnsi="宋体"/>
          <w:color w:val="auto"/>
          <w:sz w:val="24"/>
        </w:rPr>
        <w:t>（2）通过本章</w:t>
      </w:r>
      <w:r>
        <w:rPr>
          <w:rFonts w:hAnsi="宋体"/>
          <w:color w:val="auto"/>
          <w:sz w:val="24"/>
        </w:rPr>
        <w:t>3.1</w:t>
      </w:r>
      <w:r>
        <w:rPr>
          <w:rFonts w:hint="eastAsia" w:hAnsi="宋体"/>
          <w:color w:val="auto"/>
          <w:sz w:val="24"/>
        </w:rPr>
        <w:t>比选申请文件初审的比选申请人少于2家的；</w:t>
      </w:r>
    </w:p>
    <w:p w14:paraId="732B80F6">
      <w:pPr>
        <w:spacing w:line="360" w:lineRule="auto"/>
        <w:ind w:firstLine="498" w:firstLineChars="200"/>
        <w:rPr>
          <w:rFonts w:hAnsi="宋体"/>
          <w:color w:val="auto"/>
          <w:sz w:val="24"/>
        </w:rPr>
      </w:pPr>
      <w:r>
        <w:rPr>
          <w:rFonts w:hint="eastAsia" w:hAnsi="宋体"/>
          <w:color w:val="auto"/>
          <w:sz w:val="24"/>
        </w:rPr>
        <w:t>（3）出现影响比选公正的违法、违规行为的；</w:t>
      </w:r>
    </w:p>
    <w:p w14:paraId="691AEF28">
      <w:pPr>
        <w:pStyle w:val="3"/>
        <w:spacing w:line="400" w:lineRule="exact"/>
        <w:ind w:firstLine="487" w:firstLineChars="196"/>
        <w:rPr>
          <w:rFonts w:ascii="宋体" w:hAnsi="宋体"/>
          <w:color w:val="auto"/>
          <w:sz w:val="24"/>
          <w:szCs w:val="24"/>
        </w:rPr>
      </w:pPr>
      <w:r>
        <w:rPr>
          <w:rFonts w:hint="eastAsia" w:ascii="宋体" w:hAnsi="宋体"/>
          <w:color w:val="auto"/>
          <w:sz w:val="24"/>
          <w:szCs w:val="24"/>
        </w:rPr>
        <w:t>6、</w:t>
      </w:r>
      <w:bookmarkStart w:id="66" w:name="_Toc217446061"/>
      <w:r>
        <w:rPr>
          <w:rFonts w:hint="eastAsia" w:ascii="宋体" w:hAnsi="宋体"/>
          <w:color w:val="auto"/>
          <w:sz w:val="24"/>
          <w:szCs w:val="24"/>
        </w:rPr>
        <w:t>中选人的确定</w:t>
      </w:r>
    </w:p>
    <w:p w14:paraId="69190FDC">
      <w:pPr>
        <w:spacing w:line="360" w:lineRule="auto"/>
        <w:ind w:firstLine="498" w:firstLineChars="200"/>
        <w:rPr>
          <w:rFonts w:hAnsi="宋体"/>
          <w:color w:val="auto"/>
          <w:sz w:val="24"/>
        </w:rPr>
      </w:pPr>
      <w:r>
        <w:rPr>
          <w:rFonts w:hint="eastAsia" w:hAnsi="宋体"/>
          <w:color w:val="auto"/>
          <w:sz w:val="24"/>
        </w:rPr>
        <w:t>6.1. 确定原则</w:t>
      </w:r>
      <w:bookmarkEnd w:id="66"/>
      <w:r>
        <w:rPr>
          <w:rFonts w:hint="eastAsia" w:hAnsi="宋体"/>
          <w:color w:val="auto"/>
          <w:sz w:val="24"/>
        </w:rPr>
        <w:t>：</w:t>
      </w:r>
    </w:p>
    <w:p w14:paraId="52459925">
      <w:pPr>
        <w:spacing w:line="360" w:lineRule="auto"/>
        <w:ind w:firstLine="498" w:firstLineChars="200"/>
        <w:rPr>
          <w:rFonts w:hAnsi="宋体"/>
          <w:color w:val="auto"/>
          <w:sz w:val="24"/>
        </w:rPr>
      </w:pPr>
      <w:r>
        <w:rPr>
          <w:rFonts w:hint="eastAsia" w:hAnsi="宋体"/>
          <w:color w:val="auto"/>
          <w:sz w:val="24"/>
        </w:rPr>
        <w:t>（1）本项目根据评委会推荐的中选候选人名单，按顺序确定中选人。（如果中选候选人及其现任法定代表人、主要负责人存在行贿犯罪记录，比选人不确定其为中选人）</w:t>
      </w:r>
    </w:p>
    <w:p w14:paraId="0491BB1A">
      <w:pPr>
        <w:spacing w:line="360" w:lineRule="auto"/>
        <w:ind w:firstLine="498" w:firstLineChars="200"/>
        <w:rPr>
          <w:rFonts w:hAnsi="宋体"/>
          <w:color w:val="auto"/>
          <w:sz w:val="24"/>
        </w:rPr>
      </w:pPr>
      <w:r>
        <w:rPr>
          <w:rFonts w:hint="eastAsia" w:hAnsi="宋体"/>
          <w:color w:val="auto"/>
          <w:sz w:val="24"/>
        </w:rPr>
        <w:t>（2）比选人确定中选人过程中，发现中选候选人有下列情形之一的，应当不予确定其为中选人， 由后一位中选候选人接替，依次类推，或重新组织比选：</w:t>
      </w:r>
    </w:p>
    <w:p w14:paraId="72884B86">
      <w:pPr>
        <w:spacing w:line="360" w:lineRule="auto"/>
        <w:ind w:firstLine="863" w:firstLineChars="347"/>
        <w:rPr>
          <w:rFonts w:hAnsi="宋体"/>
          <w:color w:val="auto"/>
          <w:sz w:val="24"/>
        </w:rPr>
      </w:pPr>
      <w:r>
        <w:rPr>
          <w:rFonts w:hint="eastAsia" w:hAnsi="宋体"/>
          <w:color w:val="auto"/>
          <w:sz w:val="24"/>
        </w:rPr>
        <w:t>1）中选候选人存在违法、违规、违纪行为的；</w:t>
      </w:r>
    </w:p>
    <w:p w14:paraId="30CBD4DC">
      <w:pPr>
        <w:spacing w:line="360" w:lineRule="auto"/>
        <w:ind w:firstLine="863" w:firstLineChars="347"/>
        <w:rPr>
          <w:rFonts w:hAnsi="宋体"/>
          <w:color w:val="auto"/>
          <w:sz w:val="24"/>
        </w:rPr>
      </w:pPr>
      <w:r>
        <w:rPr>
          <w:rFonts w:hint="eastAsia" w:hAnsi="宋体"/>
          <w:color w:val="auto"/>
          <w:sz w:val="24"/>
        </w:rPr>
        <w:t>2）中选候选人在比选活动中提供虚假材料以谋取中选的；</w:t>
      </w:r>
    </w:p>
    <w:p w14:paraId="4F5F2F5C">
      <w:pPr>
        <w:spacing w:line="360" w:lineRule="auto"/>
        <w:ind w:firstLine="863" w:firstLineChars="347"/>
        <w:rPr>
          <w:rFonts w:hAnsi="宋体"/>
          <w:color w:val="auto"/>
          <w:sz w:val="24"/>
        </w:rPr>
      </w:pPr>
      <w:r>
        <w:rPr>
          <w:rFonts w:hint="eastAsia" w:hAnsi="宋体"/>
          <w:color w:val="auto"/>
          <w:sz w:val="24"/>
        </w:rPr>
        <w:t>3）中选候选人因不可抗力、社会经济形势发生重大变化、破产、重组等原因确定无法履行合同的；</w:t>
      </w:r>
    </w:p>
    <w:p w14:paraId="33895A8C">
      <w:pPr>
        <w:spacing w:line="360" w:lineRule="auto"/>
        <w:ind w:firstLine="863" w:firstLineChars="347"/>
        <w:rPr>
          <w:rFonts w:hAnsi="宋体"/>
          <w:color w:val="auto"/>
          <w:sz w:val="24"/>
        </w:rPr>
      </w:pPr>
      <w:r>
        <w:rPr>
          <w:rFonts w:hint="eastAsia" w:hAnsi="宋体"/>
          <w:color w:val="auto"/>
          <w:sz w:val="24"/>
        </w:rPr>
        <w:t>4）中选候选人不能与比选人最终就合作事项达成一致意见，则比选人有权取消该项目合作。</w:t>
      </w:r>
    </w:p>
    <w:p w14:paraId="450A88A9">
      <w:pPr>
        <w:spacing w:line="360" w:lineRule="auto"/>
        <w:ind w:firstLine="863" w:firstLineChars="347"/>
        <w:rPr>
          <w:rFonts w:hAnsi="宋体"/>
          <w:color w:val="auto"/>
          <w:sz w:val="24"/>
        </w:rPr>
      </w:pPr>
      <w:r>
        <w:rPr>
          <w:rFonts w:hint="eastAsia" w:hAnsi="宋体"/>
          <w:color w:val="auto"/>
          <w:sz w:val="24"/>
        </w:rPr>
        <w:t>（3）</w:t>
      </w:r>
      <w:r>
        <w:rPr>
          <w:rFonts w:hint="eastAsia" w:ascii="宋体" w:hAnsi="宋体"/>
          <w:color w:val="auto"/>
          <w:sz w:val="24"/>
        </w:rPr>
        <w:t>比选人和中选候选人就项目合作具体情况沟通协商后进一步洽谈具体合作模式，若比选人不能与所有中标候选人最终就合作事项达成一致意见，则比选人有权取消该项目合作。</w:t>
      </w:r>
    </w:p>
    <w:p w14:paraId="0BF24D01">
      <w:pPr>
        <w:spacing w:line="360" w:lineRule="auto"/>
        <w:ind w:firstLine="498" w:firstLineChars="200"/>
        <w:rPr>
          <w:rFonts w:hAnsi="宋体"/>
          <w:color w:val="auto"/>
          <w:sz w:val="24"/>
        </w:rPr>
      </w:pPr>
      <w:bookmarkStart w:id="67" w:name="_Toc217446062"/>
      <w:r>
        <w:rPr>
          <w:rFonts w:hint="eastAsia" w:hAnsi="宋体"/>
          <w:color w:val="auto"/>
          <w:sz w:val="24"/>
        </w:rPr>
        <w:t>6.2. 确定程序</w:t>
      </w:r>
      <w:bookmarkEnd w:id="67"/>
    </w:p>
    <w:p w14:paraId="6B71A7DD">
      <w:pPr>
        <w:spacing w:line="360" w:lineRule="auto"/>
        <w:ind w:firstLine="498" w:firstLineChars="200"/>
        <w:rPr>
          <w:rFonts w:hAnsi="宋体"/>
          <w:color w:val="auto"/>
          <w:sz w:val="24"/>
        </w:rPr>
      </w:pPr>
      <w:r>
        <w:rPr>
          <w:rFonts w:hint="eastAsia" w:hAnsi="宋体"/>
          <w:color w:val="auto"/>
          <w:sz w:val="24"/>
        </w:rPr>
        <w:t>6.2.1 评委会将评审情况写出书面报告，推荐中选候选人，并按照综合得分高低标明排列顺序。综合得分相同的，按服务方案优劣顺序排列。</w:t>
      </w:r>
    </w:p>
    <w:p w14:paraId="425B6431">
      <w:pPr>
        <w:spacing w:line="360" w:lineRule="auto"/>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w:t>
      </w:r>
      <w:r>
        <w:rPr>
          <w:rFonts w:hAnsi="宋体"/>
          <w:color w:val="auto"/>
          <w:sz w:val="24"/>
        </w:rPr>
        <w:t xml:space="preserve"> </w:t>
      </w:r>
      <w:r>
        <w:rPr>
          <w:rFonts w:hint="eastAsia" w:hAnsi="宋体"/>
          <w:color w:val="auto"/>
          <w:sz w:val="24"/>
        </w:rPr>
        <w:t>比选人在评审结束后按照评审报告自行确认评审结果。</w:t>
      </w:r>
    </w:p>
    <w:bookmarkEnd w:id="57"/>
    <w:bookmarkEnd w:id="62"/>
    <w:p w14:paraId="0DF72AD8">
      <w:pPr>
        <w:pStyle w:val="3"/>
        <w:spacing w:line="360" w:lineRule="auto"/>
        <w:ind w:firstLine="498" w:firstLineChars="200"/>
        <w:rPr>
          <w:rFonts w:ascii="黑体" w:hAnsi="宋体"/>
          <w:bCs w:val="0"/>
          <w:color w:val="auto"/>
          <w:sz w:val="24"/>
          <w:szCs w:val="24"/>
        </w:rPr>
      </w:pPr>
      <w:bookmarkStart w:id="68" w:name="_Toc217446105"/>
      <w:bookmarkStart w:id="69" w:name="_Toc183682432"/>
      <w:bookmarkStart w:id="70" w:name="_Toc208849022"/>
      <w:bookmarkStart w:id="71" w:name="_Toc183582297"/>
      <w:r>
        <w:rPr>
          <w:rFonts w:hint="eastAsia" w:ascii="黑体" w:hAnsi="宋体"/>
          <w:bCs w:val="0"/>
          <w:color w:val="auto"/>
          <w:sz w:val="24"/>
          <w:szCs w:val="24"/>
        </w:rPr>
        <w:t xml:space="preserve">7、 </w:t>
      </w:r>
      <w:bookmarkEnd w:id="68"/>
      <w:bookmarkEnd w:id="69"/>
      <w:bookmarkEnd w:id="70"/>
      <w:bookmarkEnd w:id="71"/>
      <w:r>
        <w:rPr>
          <w:rFonts w:hint="eastAsia" w:ascii="黑体" w:hAnsi="宋体"/>
          <w:color w:val="auto"/>
          <w:sz w:val="24"/>
          <w:szCs w:val="24"/>
        </w:rPr>
        <w:t>评审专家在</w:t>
      </w:r>
      <w:r>
        <w:rPr>
          <w:rFonts w:hint="eastAsia" w:ascii="黑体" w:hAnsi="宋体"/>
          <w:color w:val="auto"/>
          <w:sz w:val="24"/>
        </w:rPr>
        <w:t>比选活动</w:t>
      </w:r>
      <w:r>
        <w:rPr>
          <w:rFonts w:hint="eastAsia" w:ascii="黑体" w:hAnsi="宋体"/>
          <w:color w:val="auto"/>
          <w:sz w:val="24"/>
          <w:szCs w:val="24"/>
        </w:rPr>
        <w:t>中承担以下义务：</w:t>
      </w:r>
    </w:p>
    <w:p w14:paraId="3FED2FE0">
      <w:pPr>
        <w:spacing w:line="360" w:lineRule="auto"/>
        <w:ind w:firstLine="498" w:firstLineChars="200"/>
        <w:rPr>
          <w:rFonts w:hAnsi="宋体"/>
          <w:color w:val="auto"/>
          <w:sz w:val="24"/>
        </w:rPr>
      </w:pPr>
      <w:r>
        <w:rPr>
          <w:rFonts w:hint="eastAsia" w:hAnsi="宋体"/>
          <w:color w:val="auto"/>
          <w:sz w:val="24"/>
        </w:rPr>
        <w:t>7.1 遵纪守法，客观、公正、廉洁地履行职责。</w:t>
      </w:r>
    </w:p>
    <w:p w14:paraId="1095D888">
      <w:pPr>
        <w:spacing w:line="360" w:lineRule="auto"/>
        <w:ind w:firstLine="498" w:firstLineChars="200"/>
        <w:rPr>
          <w:rFonts w:hAnsi="宋体"/>
          <w:color w:val="auto"/>
          <w:sz w:val="24"/>
        </w:rPr>
      </w:pPr>
      <w:r>
        <w:rPr>
          <w:rFonts w:hint="eastAsia" w:hAnsi="宋体"/>
          <w:color w:val="auto"/>
          <w:sz w:val="24"/>
        </w:rPr>
        <w:t>7.2 按照比选文件的规定要求对比选申请人的资格条件和比选申请人提供的技术、服务等方面严格进行评判，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17A4C61C">
      <w:pPr>
        <w:spacing w:line="360" w:lineRule="auto"/>
        <w:ind w:firstLine="498" w:firstLineChars="200"/>
        <w:rPr>
          <w:rFonts w:hAnsi="宋体"/>
          <w:color w:val="auto"/>
          <w:sz w:val="24"/>
        </w:rPr>
      </w:pPr>
      <w:r>
        <w:rPr>
          <w:rFonts w:hint="eastAsia" w:hAnsi="宋体"/>
          <w:color w:val="auto"/>
          <w:sz w:val="24"/>
        </w:rPr>
        <w:t>7.3 保守秘密。不得透露比选申请文件情况，不得泄露比选申请文件及知悉的商业秘密和国家秘密，不得向比选申请人透露评审情况。</w:t>
      </w:r>
    </w:p>
    <w:p w14:paraId="73C82DC2">
      <w:pPr>
        <w:spacing w:line="360" w:lineRule="auto"/>
        <w:ind w:firstLine="498" w:firstLineChars="200"/>
        <w:rPr>
          <w:rFonts w:hAnsi="宋体"/>
          <w:color w:val="auto"/>
          <w:sz w:val="24"/>
        </w:rPr>
      </w:pPr>
      <w:r>
        <w:rPr>
          <w:rFonts w:hint="eastAsia" w:hAnsi="宋体"/>
          <w:color w:val="auto"/>
          <w:sz w:val="24"/>
        </w:rPr>
        <w:t xml:space="preserve">7.4 </w:t>
      </w:r>
      <w:r>
        <w:rPr>
          <w:rFonts w:hAnsi="宋体"/>
          <w:color w:val="auto"/>
          <w:sz w:val="24"/>
        </w:rPr>
        <w:t>发现比选申请人在</w:t>
      </w:r>
      <w:r>
        <w:rPr>
          <w:rFonts w:hint="eastAsia" w:hAnsi="宋体"/>
          <w:color w:val="auto"/>
          <w:sz w:val="24"/>
        </w:rPr>
        <w:t>比选</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482BBF09">
      <w:pPr>
        <w:spacing w:line="360" w:lineRule="auto"/>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询问，答复异议，配合相关部门的投诉处理工作等事宜。</w:t>
      </w:r>
    </w:p>
    <w:p w14:paraId="7F3726AD">
      <w:pPr>
        <w:pStyle w:val="3"/>
        <w:spacing w:line="360" w:lineRule="auto"/>
        <w:ind w:firstLine="498" w:firstLineChars="200"/>
        <w:rPr>
          <w:rFonts w:ascii="黑体" w:hAnsi="宋体"/>
          <w:bCs w:val="0"/>
          <w:color w:val="auto"/>
          <w:sz w:val="24"/>
          <w:szCs w:val="24"/>
        </w:rPr>
      </w:pPr>
      <w:r>
        <w:rPr>
          <w:rFonts w:hint="eastAsia" w:ascii="黑体" w:hAnsi="宋体"/>
          <w:bCs w:val="0"/>
          <w:color w:val="auto"/>
          <w:sz w:val="24"/>
          <w:szCs w:val="24"/>
        </w:rPr>
        <w:t>8、评审专家在比选活动中应当遵守以下工作纪律：</w:t>
      </w:r>
    </w:p>
    <w:p w14:paraId="0763C88C">
      <w:pPr>
        <w:spacing w:line="360" w:lineRule="auto"/>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不得参加与自己有利害关系的评审活动。对与自己有利害关系的评审项目，如受到邀请，应主动提出回避。可要求该评审专家回避。</w:t>
      </w:r>
    </w:p>
    <w:p w14:paraId="06A4E67A">
      <w:pPr>
        <w:spacing w:line="360" w:lineRule="auto"/>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17662164">
      <w:pPr>
        <w:spacing w:line="360" w:lineRule="auto"/>
        <w:ind w:firstLine="498" w:firstLineChars="200"/>
        <w:rPr>
          <w:rFonts w:hAnsi="宋体"/>
          <w:color w:val="auto"/>
          <w:sz w:val="24"/>
        </w:rPr>
      </w:pPr>
      <w:r>
        <w:rPr>
          <w:rFonts w:hint="eastAsia" w:hAnsi="宋体"/>
          <w:color w:val="auto"/>
          <w:sz w:val="24"/>
        </w:rPr>
        <w:t>8.3 评审过程中，不得发表影响评审公正的倾向性、歧视性言论；不得征询或者接受比选人的倾向性意见；不得以任何明示或暗示的方式要求参加该比选项目的比选申请人以澄清、说明或补正为借口，表达与原比选申请文件原意不同的意见；不得以比选文件没有规定的方法和标准作为评审的依据；不得违反规定的评审格式评分和撰写评审意见；不得拒绝对自己的评审意见签字确认。</w:t>
      </w:r>
    </w:p>
    <w:p w14:paraId="14AB7E81">
      <w:pPr>
        <w:tabs>
          <w:tab w:val="left" w:pos="432"/>
        </w:tabs>
        <w:jc w:val="center"/>
        <w:outlineLvl w:val="0"/>
        <w:rPr>
          <w:rFonts w:hint="eastAsia" w:ascii="华文中宋" w:hAnsi="华文中宋" w:eastAsia="华文中宋"/>
          <w:b/>
          <w:color w:val="auto"/>
          <w:sz w:val="36"/>
          <w:szCs w:val="36"/>
        </w:rPr>
      </w:pPr>
      <w:bookmarkStart w:id="72" w:name="_Toc29901"/>
      <w:r>
        <w:rPr>
          <w:rFonts w:hint="eastAsia" w:ascii="宋体" w:hAnsi="宋体"/>
          <w:color w:val="auto"/>
          <w:sz w:val="36"/>
          <w:szCs w:val="36"/>
        </w:rPr>
        <w:br w:type="page"/>
      </w:r>
      <w:r>
        <w:rPr>
          <w:rFonts w:hint="eastAsia" w:ascii="华文中宋" w:hAnsi="华文中宋" w:eastAsia="华文中宋"/>
          <w:b/>
          <w:color w:val="auto"/>
          <w:sz w:val="36"/>
          <w:szCs w:val="36"/>
        </w:rPr>
        <w:t xml:space="preserve">第六章  </w:t>
      </w:r>
      <w:bookmarkEnd w:id="72"/>
      <w:r>
        <w:rPr>
          <w:rFonts w:hint="eastAsia" w:ascii="华文中宋" w:hAnsi="华文中宋" w:eastAsia="华文中宋"/>
          <w:b/>
          <w:color w:val="auto"/>
          <w:sz w:val="36"/>
          <w:szCs w:val="36"/>
        </w:rPr>
        <w:t>合同主要条款（草案）</w:t>
      </w:r>
    </w:p>
    <w:p w14:paraId="0039A3AB">
      <w:pPr>
        <w:keepNext w:val="0"/>
        <w:keepLines w:val="0"/>
        <w:pageBreakBefore w:val="0"/>
        <w:kinsoku/>
        <w:wordWrap/>
        <w:overflowPunct/>
        <w:topLinePunct w:val="0"/>
        <w:bidi w:val="0"/>
        <w:adjustRightInd/>
        <w:spacing w:before="156" w:beforeLines="50" w:after="156" w:afterLines="50" w:line="440" w:lineRule="exact"/>
        <w:jc w:val="center"/>
        <w:textAlignment w:val="auto"/>
        <w:outlineLvl w:val="9"/>
        <w:rPr>
          <w:rFonts w:hint="eastAsia"/>
          <w:b/>
          <w:color w:val="auto"/>
          <w:sz w:val="21"/>
          <w:szCs w:val="21"/>
        </w:rPr>
      </w:pPr>
      <w:r>
        <w:rPr>
          <w:rFonts w:hint="eastAsia" w:ascii="仿宋" w:hAnsi="仿宋" w:eastAsia="仿宋"/>
          <w:b/>
          <w:bCs/>
          <w:color w:val="auto"/>
          <w:sz w:val="30"/>
          <w:szCs w:val="30"/>
          <w:lang w:val="en-US" w:eastAsia="zh-CN"/>
        </w:rPr>
        <w:t>XXXX服务</w:t>
      </w:r>
      <w:r>
        <w:rPr>
          <w:rFonts w:hint="eastAsia" w:ascii="仿宋" w:hAnsi="仿宋" w:eastAsia="仿宋"/>
          <w:b/>
          <w:bCs/>
          <w:color w:val="auto"/>
          <w:sz w:val="30"/>
          <w:szCs w:val="30"/>
          <w:lang w:eastAsia="zh-CN"/>
        </w:rPr>
        <w:t>合同</w:t>
      </w:r>
      <w:r>
        <w:rPr>
          <w:rFonts w:hint="eastAsia" w:ascii="仿宋" w:hAnsi="仿宋" w:eastAsia="仿宋"/>
          <w:b/>
          <w:bCs/>
          <w:color w:val="auto"/>
          <w:sz w:val="30"/>
          <w:szCs w:val="30"/>
          <w:lang w:val="en-US" w:eastAsia="zh-CN"/>
        </w:rPr>
        <w:t xml:space="preserve"> </w:t>
      </w:r>
      <w:r>
        <w:rPr>
          <w:rFonts w:hint="eastAsia" w:ascii="方正小标宋_GBK" w:hAnsi="方正小标宋_GBK" w:eastAsia="方正小标宋_GBK" w:cs="方正小标宋_GBK"/>
          <w:b/>
          <w:bCs/>
          <w:color w:val="auto"/>
          <w:sz w:val="36"/>
          <w:szCs w:val="36"/>
          <w:lang w:eastAsia="zh-CN"/>
        </w:rPr>
        <w:t xml:space="preserve">  </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lang w:eastAsia="zh-CN"/>
        </w:rPr>
        <w:t xml:space="preserve">                 </w:t>
      </w:r>
      <w:r>
        <w:rPr>
          <w:rFonts w:hint="eastAsia"/>
          <w:b/>
          <w:color w:val="auto"/>
        </w:rPr>
        <w:t xml:space="preserve">                                   </w:t>
      </w:r>
    </w:p>
    <w:p w14:paraId="542BCA9D">
      <w:pPr>
        <w:keepNext w:val="0"/>
        <w:keepLines w:val="0"/>
        <w:pageBreakBefore w:val="0"/>
        <w:kinsoku/>
        <w:wordWrap/>
        <w:overflowPunct/>
        <w:topLinePunct w:val="0"/>
        <w:bidi w:val="0"/>
        <w:adjustRightInd/>
        <w:spacing w:line="440" w:lineRule="exact"/>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合同编号：</w:t>
      </w:r>
      <w:r>
        <w:rPr>
          <w:rFonts w:hint="eastAsia" w:eastAsia="宋体" w:cs="宋体"/>
          <w:color w:val="auto"/>
          <w:sz w:val="28"/>
          <w:szCs w:val="28"/>
          <w:lang w:val="en-US" w:eastAsia="zh-CN"/>
        </w:rPr>
        <w:t xml:space="preserve"> </w:t>
      </w:r>
    </w:p>
    <w:p w14:paraId="2E932F21">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甲方：金堂县第一人民医院    </w:t>
      </w:r>
    </w:p>
    <w:p w14:paraId="1ED17342">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eastAsia="宋体" w:cs="宋体"/>
          <w:color w:val="auto"/>
          <w:sz w:val="28"/>
          <w:szCs w:val="28"/>
          <w:lang w:val="en-US" w:eastAsia="zh-CN"/>
        </w:rPr>
        <w:t xml:space="preserve">XXXXX </w:t>
      </w:r>
    </w:p>
    <w:p w14:paraId="39777BDC">
      <w:pPr>
        <w:keepNext w:val="0"/>
        <w:keepLines w:val="0"/>
        <w:pageBreakBefore w:val="0"/>
        <w:kinsoku/>
        <w:wordWrap/>
        <w:overflowPunct/>
        <w:topLinePunct w:val="0"/>
        <w:bidi w:val="0"/>
        <w:spacing w:line="440" w:lineRule="exact"/>
        <w:ind w:firstLine="578"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eastAsia="宋体" w:cs="宋体"/>
          <w:color w:val="auto"/>
          <w:sz w:val="28"/>
          <w:szCs w:val="28"/>
          <w:lang w:val="en-US" w:eastAsia="zh-CN"/>
        </w:rPr>
        <w:t>民法典</w:t>
      </w:r>
      <w:r>
        <w:rPr>
          <w:rFonts w:hint="eastAsia" w:ascii="宋体" w:hAnsi="宋体" w:eastAsia="宋体" w:cs="宋体"/>
          <w:color w:val="auto"/>
          <w:sz w:val="28"/>
          <w:szCs w:val="28"/>
        </w:rPr>
        <w:t>》与项目行业有关的法律法规，以及</w:t>
      </w:r>
      <w:r>
        <w:rPr>
          <w:rFonts w:hint="eastAsia" w:ascii="宋体" w:hAnsi="宋体" w:eastAsia="宋体" w:cs="宋体"/>
          <w:color w:val="auto"/>
          <w:sz w:val="28"/>
          <w:szCs w:val="28"/>
          <w:lang w:eastAsia="zh-CN"/>
        </w:rPr>
        <w:t>金堂县第一人民医院</w:t>
      </w:r>
      <w:r>
        <w:rPr>
          <w:rFonts w:hint="eastAsia" w:eastAsia="宋体" w:cs="宋体"/>
          <w:color w:val="auto"/>
          <w:sz w:val="28"/>
          <w:szCs w:val="28"/>
          <w:u w:val="single"/>
          <w:lang w:val="en-US" w:eastAsia="zh-CN"/>
        </w:rPr>
        <w:t>XXXXXX</w:t>
      </w:r>
      <w:r>
        <w:rPr>
          <w:rFonts w:hint="eastAsia" w:eastAsia="宋体" w:cs="宋体"/>
          <w:color w:val="auto"/>
          <w:sz w:val="28"/>
          <w:szCs w:val="28"/>
          <w:u w:val="single"/>
          <w:lang w:eastAsia="zh-CN"/>
        </w:rPr>
        <w:t>服务项目</w:t>
      </w:r>
      <w:r>
        <w:rPr>
          <w:rFonts w:hint="eastAsia" w:ascii="宋体" w:hAnsi="宋体" w:eastAsia="宋体" w:cs="宋体"/>
          <w:color w:val="auto"/>
          <w:sz w:val="28"/>
          <w:szCs w:val="28"/>
        </w:rPr>
        <w:t xml:space="preserve">（项目编号： </w:t>
      </w:r>
      <w:r>
        <w:rPr>
          <w:rFonts w:hint="eastAsia" w:eastAsia="宋体" w:cs="宋体"/>
          <w:color w:val="auto"/>
          <w:sz w:val="28"/>
          <w:szCs w:val="28"/>
          <w:u w:val="single"/>
          <w:lang w:val="en-US" w:eastAsia="zh-CN"/>
        </w:rPr>
        <w:t>XXXXXXX</w:t>
      </w:r>
      <w:r>
        <w:rPr>
          <w:rFonts w:hint="eastAsia" w:ascii="宋体" w:hAnsi="宋体" w:eastAsia="宋体" w:cs="宋体"/>
          <w:color w:val="auto"/>
          <w:sz w:val="28"/>
          <w:szCs w:val="28"/>
        </w:rPr>
        <w:t>）的《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文件》，乙方的《</w:t>
      </w:r>
      <w:r>
        <w:rPr>
          <w:rFonts w:hint="eastAsia" w:eastAsia="宋体" w:cs="宋体"/>
          <w:color w:val="auto"/>
          <w:sz w:val="28"/>
          <w:szCs w:val="28"/>
          <w:lang w:eastAsia="zh-CN"/>
        </w:rPr>
        <w:t>响应</w:t>
      </w:r>
      <w:r>
        <w:rPr>
          <w:rFonts w:hint="eastAsia" w:ascii="宋体" w:hAnsi="宋体" w:eastAsia="宋体" w:cs="宋体"/>
          <w:color w:val="auto"/>
          <w:sz w:val="28"/>
          <w:szCs w:val="28"/>
        </w:rPr>
        <w:t>文件》及《</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通知书》，甲、乙双方同意签订本合同。详细技术说明及其他有关合同项目的特定信息由合同附件予以说明，合同附件及本项目的《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响应</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通知书》等均为本合同的组成部分。</w:t>
      </w:r>
    </w:p>
    <w:p w14:paraId="2F7C1796">
      <w:pPr>
        <w:keepNext w:val="0"/>
        <w:keepLines w:val="0"/>
        <w:pageBreakBefore w:val="0"/>
        <w:widowControl w:val="0"/>
        <w:kinsoku/>
        <w:wordWrap/>
        <w:overflowPunct/>
        <w:topLinePunct w:val="0"/>
        <w:autoSpaceDE/>
        <w:autoSpaceDN/>
        <w:bidi w:val="0"/>
        <w:adjustRightInd/>
        <w:snapToGrid/>
        <w:spacing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第一条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项目基本情况</w:t>
      </w:r>
    </w:p>
    <w:p w14:paraId="33D4041D">
      <w:pPr>
        <w:keepNext w:val="0"/>
        <w:keepLines w:val="0"/>
        <w:pageBreakBefore w:val="0"/>
        <w:kinsoku/>
        <w:wordWrap/>
        <w:overflowPunct/>
        <w:topLinePunct w:val="0"/>
        <w:bidi w:val="0"/>
        <w:spacing w:line="440" w:lineRule="exact"/>
        <w:ind w:firstLine="867" w:firstLineChars="3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XXXXXXXX</w:t>
      </w:r>
      <w:r>
        <w:rPr>
          <w:rFonts w:hint="eastAsia" w:ascii="宋体" w:hAnsi="宋体" w:eastAsia="宋体" w:cs="宋体"/>
          <w:color w:val="auto"/>
          <w:sz w:val="28"/>
          <w:szCs w:val="28"/>
          <w:lang w:val="en-US" w:eastAsia="zh-CN" w:bidi="ar-SA"/>
        </w:rPr>
        <w:t xml:space="preserve"> </w:t>
      </w:r>
      <w:r>
        <w:rPr>
          <w:rFonts w:hint="eastAsia" w:eastAsia="宋体" w:cs="宋体"/>
          <w:color w:val="auto"/>
          <w:sz w:val="28"/>
          <w:szCs w:val="28"/>
          <w:lang w:val="en-US" w:eastAsia="zh-CN" w:bidi="ar-SA"/>
        </w:rPr>
        <w:t>。</w:t>
      </w:r>
    </w:p>
    <w:p w14:paraId="2B45144C">
      <w:pPr>
        <w:keepNext w:val="0"/>
        <w:keepLines w:val="0"/>
        <w:pageBreakBefore w:val="0"/>
        <w:widowControl w:val="0"/>
        <w:numPr>
          <w:ilvl w:val="0"/>
          <w:numId w:val="4"/>
        </w:numPr>
        <w:kinsoku/>
        <w:wordWrap/>
        <w:overflowPunct/>
        <w:topLinePunct w:val="0"/>
        <w:autoSpaceDE/>
        <w:autoSpaceDN/>
        <w:bidi w:val="0"/>
        <w:adjustRightInd/>
        <w:snapToGrid/>
        <w:spacing w:beforeLines="50" w:afterAutospacing="0"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期限</w:t>
      </w:r>
    </w:p>
    <w:p w14:paraId="10AB9165">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spacing w:line="440" w:lineRule="exact"/>
        <w:ind w:right="1440" w:rightChars="0"/>
        <w:textAlignment w:val="auto"/>
        <w:outlineLvl w:val="9"/>
        <w:rPr>
          <w:rFonts w:hint="eastAsia"/>
          <w:color w:val="auto"/>
        </w:rPr>
      </w:pPr>
    </w:p>
    <w:p w14:paraId="7F3C6884">
      <w:pPr>
        <w:pStyle w:val="151"/>
        <w:keepNext w:val="0"/>
        <w:keepLines w:val="0"/>
        <w:pageBreakBefore w:val="0"/>
        <w:kinsoku/>
        <w:wordWrap/>
        <w:overflowPunct/>
        <w:topLinePunct w:val="0"/>
        <w:bidi w:val="0"/>
        <w:spacing w:line="440" w:lineRule="exact"/>
        <w:textAlignment w:val="auto"/>
        <w:outlineLvl w:val="9"/>
        <w:rPr>
          <w:rFonts w:hint="default"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服务期限：</w:t>
      </w:r>
      <w:r>
        <w:rPr>
          <w:rFonts w:hint="eastAsia" w:eastAsia="宋体" w:cs="宋体"/>
          <w:color w:val="auto"/>
          <w:spacing w:val="0"/>
          <w:kern w:val="0"/>
          <w:sz w:val="28"/>
          <w:szCs w:val="28"/>
          <w:lang w:val="en-US" w:eastAsia="zh-CN" w:bidi="ar-SA"/>
        </w:rPr>
        <w:t>XXXXXXX</w:t>
      </w:r>
    </w:p>
    <w:p w14:paraId="4060D36F">
      <w:pPr>
        <w:keepNext w:val="0"/>
        <w:keepLines w:val="0"/>
        <w:pageBreakBefore w:val="0"/>
        <w:widowControl w:val="0"/>
        <w:numPr>
          <w:ilvl w:val="0"/>
          <w:numId w:val="5"/>
        </w:numPr>
        <w:kinsoku/>
        <w:wordWrap/>
        <w:overflowPunct/>
        <w:topLinePunct w:val="0"/>
        <w:autoSpaceDE/>
        <w:autoSpaceDN/>
        <w:bidi w:val="0"/>
        <w:adjustRightInd/>
        <w:snapToGrid/>
        <w:spacing w:beforeLines="50" w:afterLines="50" w:line="440" w:lineRule="exact"/>
        <w:ind w:firstLine="578" w:firstLineChars="20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服务内容与质量标准</w:t>
      </w:r>
    </w:p>
    <w:p w14:paraId="63BD53B0">
      <w:pPr>
        <w:pStyle w:val="23"/>
        <w:keepNext w:val="0"/>
        <w:keepLines w:val="0"/>
        <w:pageBreakBefore w:val="0"/>
        <w:numPr>
          <w:ilvl w:val="0"/>
          <w:numId w:val="6"/>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hAnsi="宋体" w:eastAsia="宋体" w:cs="宋体"/>
          <w:color w:val="auto"/>
          <w:spacing w:val="0"/>
          <w:kern w:val="0"/>
          <w:sz w:val="28"/>
          <w:szCs w:val="28"/>
          <w:lang w:val="en-US" w:eastAsia="zh-CN" w:bidi="ar-SA"/>
        </w:rPr>
        <w:t>XXXXX</w:t>
      </w:r>
    </w:p>
    <w:p w14:paraId="1EFD0952">
      <w:pPr>
        <w:pStyle w:val="23"/>
        <w:keepNext w:val="0"/>
        <w:keepLines w:val="0"/>
        <w:pageBreakBefore w:val="0"/>
        <w:numPr>
          <w:ilvl w:val="0"/>
          <w:numId w:val="6"/>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服务费用</w:t>
      </w:r>
      <w:r>
        <w:rPr>
          <w:rFonts w:hint="eastAsia" w:hAnsi="宋体" w:eastAsia="宋体" w:cs="宋体"/>
          <w:b/>
          <w:color w:val="auto"/>
          <w:kern w:val="0"/>
          <w:sz w:val="28"/>
          <w:szCs w:val="28"/>
          <w:lang w:val="en-US" w:eastAsia="zh-CN" w:bidi="ar-SA"/>
        </w:rPr>
        <w:t>及</w:t>
      </w:r>
      <w:r>
        <w:rPr>
          <w:rFonts w:hint="eastAsia" w:ascii="宋体" w:hAnsi="宋体" w:eastAsia="宋体" w:cs="宋体"/>
          <w:b/>
          <w:color w:val="auto"/>
          <w:kern w:val="0"/>
          <w:sz w:val="28"/>
          <w:szCs w:val="28"/>
          <w:lang w:val="en-US" w:eastAsia="zh-CN" w:bidi="ar-SA"/>
        </w:rPr>
        <w:t>支付方式</w:t>
      </w:r>
    </w:p>
    <w:p w14:paraId="4DBED95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41" w:firstLineChars="49"/>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（一）本项目服务费用由以下组成：</w:t>
      </w:r>
    </w:p>
    <w:p w14:paraId="58513208">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本项目服务费用合同总价为人民币</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元（大写：</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rPr>
        <w:t>包括人员劳务、差旅、设备投入、保险、风险、税金、利润以及采购文件规定的一切费用</w:t>
      </w:r>
      <w:r>
        <w:rPr>
          <w:rFonts w:hint="eastAsia" w:ascii="宋体" w:hAnsi="宋体" w:eastAsia="宋体" w:cs="宋体"/>
          <w:color w:val="auto"/>
          <w:sz w:val="28"/>
          <w:szCs w:val="28"/>
          <w:lang w:val="en-US" w:eastAsia="zh-CN" w:bidi="ar-SA"/>
        </w:rPr>
        <w:t>。</w:t>
      </w:r>
    </w:p>
    <w:p w14:paraId="165EF91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41" w:firstLineChars="49"/>
        <w:textAlignment w:val="auto"/>
        <w:outlineLvl w:val="9"/>
        <w:rPr>
          <w:rFonts w:hint="eastAsia" w:ascii="宋体" w:hAnsi="宋体" w:eastAsia="宋体" w:cs="宋体"/>
          <w:b/>
          <w:color w:val="auto"/>
          <w:kern w:val="0"/>
          <w:sz w:val="28"/>
          <w:szCs w:val="28"/>
          <w:lang w:val="en-US" w:eastAsia="zh-CN" w:bidi="ar-SA"/>
        </w:rPr>
      </w:pPr>
      <w:r>
        <w:rPr>
          <w:rFonts w:hint="eastAsia" w:eastAsia="宋体" w:cs="宋体"/>
          <w:b/>
          <w:color w:val="auto"/>
          <w:kern w:val="0"/>
          <w:sz w:val="28"/>
          <w:szCs w:val="28"/>
          <w:lang w:val="en-US" w:eastAsia="zh-CN" w:bidi="ar-SA"/>
        </w:rPr>
        <w:t>（二）</w:t>
      </w:r>
      <w:r>
        <w:rPr>
          <w:rFonts w:hint="eastAsia" w:ascii="宋体" w:hAnsi="宋体" w:eastAsia="宋体" w:cs="宋体"/>
          <w:b/>
          <w:color w:val="auto"/>
          <w:kern w:val="0"/>
          <w:sz w:val="28"/>
          <w:szCs w:val="28"/>
          <w:lang w:val="en-US" w:eastAsia="zh-CN" w:bidi="ar-SA"/>
        </w:rPr>
        <w:t xml:space="preserve">服务费支付方式： </w:t>
      </w:r>
    </w:p>
    <w:p w14:paraId="1B12690C">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签订合同后，XXXXXXXXXXXX</w:t>
      </w:r>
    </w:p>
    <w:p w14:paraId="2C22DFE3">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五</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知识产权</w:t>
      </w:r>
    </w:p>
    <w:p w14:paraId="093B1646">
      <w:pPr>
        <w:pStyle w:val="16"/>
        <w:keepNext w:val="0"/>
        <w:keepLines w:val="0"/>
        <w:pageBreakBefore w:val="0"/>
        <w:kinsoku/>
        <w:wordWrap/>
        <w:overflowPunct/>
        <w:topLinePunct w:val="0"/>
        <w:bidi w:val="0"/>
        <w:spacing w:line="440" w:lineRule="exact"/>
        <w:ind w:firstLine="578" w:firstLineChars="200"/>
        <w:textAlignment w:val="auto"/>
        <w:outlineLvl w:val="9"/>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（一）乙方保证在本项目使用的任何产品和服务（包括使用）时，不会产生因第三方提出侵犯其专利权、商标权或</w:t>
      </w:r>
      <w:r>
        <w:rPr>
          <w:rFonts w:hint="eastAsia" w:ascii="宋体" w:hAnsi="宋体" w:cs="宋体"/>
          <w:color w:val="auto"/>
          <w:sz w:val="28"/>
          <w:szCs w:val="28"/>
          <w:lang w:val="en-US" w:eastAsia="zh-CN" w:bidi="ar-SA"/>
        </w:rPr>
        <w:t>其他</w:t>
      </w:r>
      <w:r>
        <w:rPr>
          <w:rFonts w:hint="eastAsia" w:ascii="宋体" w:hAnsi="宋体" w:eastAsia="宋体" w:cs="宋体"/>
          <w:color w:val="auto"/>
          <w:sz w:val="28"/>
          <w:szCs w:val="28"/>
          <w:lang w:val="en-US" w:eastAsia="zh-CN" w:bidi="ar-SA"/>
        </w:rPr>
        <w:t>知识产权而引起的法律和经济纠纷，如因专利权、商标权或</w:t>
      </w:r>
      <w:r>
        <w:rPr>
          <w:rFonts w:hint="eastAsia" w:ascii="宋体" w:hAnsi="宋体" w:cs="宋体"/>
          <w:color w:val="auto"/>
          <w:sz w:val="28"/>
          <w:szCs w:val="28"/>
          <w:lang w:val="en-US" w:eastAsia="zh-CN" w:bidi="ar-SA"/>
        </w:rPr>
        <w:t>其他</w:t>
      </w:r>
      <w:r>
        <w:rPr>
          <w:rFonts w:hint="eastAsia" w:ascii="宋体" w:hAnsi="宋体" w:eastAsia="宋体" w:cs="宋体"/>
          <w:color w:val="auto"/>
          <w:sz w:val="28"/>
          <w:szCs w:val="28"/>
          <w:lang w:val="en-US" w:eastAsia="zh-CN" w:bidi="ar-SA"/>
        </w:rPr>
        <w:t>知识产权引</w:t>
      </w:r>
      <w:r>
        <w:rPr>
          <w:rFonts w:hint="eastAsia" w:ascii="宋体" w:hAnsi="宋体" w:cs="宋体"/>
          <w:color w:val="auto"/>
          <w:sz w:val="28"/>
          <w:szCs w:val="28"/>
          <w:lang w:val="en-US" w:eastAsia="zh-CN" w:bidi="ar-SA"/>
        </w:rPr>
        <w:t>起的</w:t>
      </w:r>
      <w:r>
        <w:rPr>
          <w:rFonts w:hint="eastAsia" w:ascii="宋体" w:hAnsi="宋体" w:eastAsia="宋体" w:cs="宋体"/>
          <w:color w:val="auto"/>
          <w:sz w:val="28"/>
          <w:szCs w:val="28"/>
          <w:lang w:val="en-US" w:eastAsia="zh-CN" w:bidi="ar-SA"/>
        </w:rPr>
        <w:t>法律和经济纠纷，由乙方承担所有相关责任，并向甲方支付合同总金额的5%违约金，同时甲方有权单方面解除合同。</w:t>
      </w:r>
    </w:p>
    <w:p w14:paraId="49DB2C06">
      <w:pPr>
        <w:keepNext w:val="0"/>
        <w:keepLines w:val="0"/>
        <w:pageBreakBefore w:val="0"/>
        <w:tabs>
          <w:tab w:val="left" w:pos="1440"/>
        </w:tabs>
        <w:kinsoku/>
        <w:wordWrap/>
        <w:overflowPunct/>
        <w:topLinePunct w:val="0"/>
        <w:bidi w:val="0"/>
        <w:adjustRightInd/>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（二）</w:t>
      </w:r>
      <w:r>
        <w:rPr>
          <w:rFonts w:hint="eastAsia" w:ascii="宋体" w:hAnsi="宋体" w:eastAsia="宋体" w:cs="宋体"/>
          <w:color w:val="auto"/>
          <w:sz w:val="28"/>
          <w:szCs w:val="28"/>
          <w:lang w:val="en-US" w:eastAsia="zh-CN" w:bidi="ar-SA"/>
        </w:rPr>
        <w:t>乙方在履行本合同的过程中所形成的全部知识产权，归甲方所有</w:t>
      </w:r>
      <w:r>
        <w:rPr>
          <w:rFonts w:hint="eastAsia" w:eastAsia="宋体" w:cs="宋体"/>
          <w:color w:val="auto"/>
          <w:sz w:val="28"/>
          <w:szCs w:val="28"/>
          <w:lang w:val="en-US" w:eastAsia="zh-CN" w:bidi="ar-SA"/>
        </w:rPr>
        <w:t>，乙方不得将上述报告、数据、结论及相关调查资料以任何形式提供给第三方</w:t>
      </w:r>
      <w:r>
        <w:rPr>
          <w:rFonts w:hint="eastAsia" w:ascii="宋体" w:hAnsi="宋体" w:eastAsia="宋体" w:cs="宋体"/>
          <w:color w:val="auto"/>
          <w:sz w:val="28"/>
          <w:szCs w:val="28"/>
          <w:lang w:val="en-US" w:eastAsia="zh-CN" w:bidi="ar-SA"/>
        </w:rPr>
        <w:t>。</w:t>
      </w:r>
    </w:p>
    <w:p w14:paraId="2DC3F825">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六</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无产权瑕疵条款</w:t>
      </w:r>
    </w:p>
    <w:p w14:paraId="4509F9F1">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78" w:firstLineChars="200"/>
        <w:jc w:val="both"/>
        <w:textAlignment w:val="auto"/>
        <w:outlineLvl w:val="9"/>
        <w:rPr>
          <w:rFonts w:hint="eastAsia"/>
          <w:color w:val="auto"/>
          <w:lang w:val="en-US" w:eastAsia="zh-CN"/>
        </w:rPr>
      </w:pPr>
      <w:r>
        <w:rPr>
          <w:rFonts w:hint="eastAsia" w:ascii="宋体" w:hAnsi="宋体" w:eastAsia="宋体" w:cs="宋体"/>
          <w:color w:val="auto"/>
          <w:sz w:val="28"/>
          <w:szCs w:val="28"/>
          <w:lang w:val="en-US" w:eastAsia="zh-CN" w:bidi="ar-SA"/>
        </w:rPr>
        <w:t>乙方保证所提供的服务的所有权完全属于乙方且无任何抵押、查封等产权瑕疵。如有产权瑕疵的，视为乙方违约。乙方应负担由此而产生的一切损失。</w:t>
      </w:r>
    </w:p>
    <w:p w14:paraId="707F7B1B">
      <w:pPr>
        <w:pStyle w:val="18"/>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甲方的责任与义务</w:t>
      </w:r>
    </w:p>
    <w:p w14:paraId="5D739390">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（一）甲方有权对合同规定范围内乙方的服务行为进行监督和检查，拥有监管权。对甲方认为不合理的部分有权下达整改通知书，并要求乙方限期整改。</w:t>
      </w:r>
    </w:p>
    <w:p w14:paraId="2DCE1D9E">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（二）负责检查监督乙方管理工作的实施及服务的执行情况。</w:t>
      </w:r>
    </w:p>
    <w:p w14:paraId="2B8E51A1">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（三）根据本合同规定，按时向乙方支付合同约定的服务费用。</w:t>
      </w:r>
    </w:p>
    <w:p w14:paraId="39F64C42">
      <w:pPr>
        <w:keepNext w:val="0"/>
        <w:keepLines w:val="0"/>
        <w:pageBreakBefore w:val="0"/>
        <w:kinsoku/>
        <w:wordWrap/>
        <w:overflowPunct/>
        <w:topLinePunct w:val="0"/>
        <w:bidi w:val="0"/>
        <w:spacing w:line="440" w:lineRule="exact"/>
        <w:ind w:firstLine="578" w:firstLineChars="200"/>
        <w:jc w:val="both"/>
        <w:textAlignment w:val="auto"/>
        <w:outlineLvl w:val="9"/>
        <w:rPr>
          <w:rFonts w:hint="default"/>
          <w:color w:val="auto"/>
          <w:lang w:val="en-US" w:eastAsia="zh-CN"/>
        </w:rPr>
      </w:pPr>
      <w:r>
        <w:rPr>
          <w:rFonts w:hint="eastAsia" w:eastAsia="宋体" w:cs="宋体"/>
          <w:color w:val="auto"/>
          <w:sz w:val="28"/>
          <w:szCs w:val="28"/>
          <w:lang w:val="en-US" w:eastAsia="zh-CN" w:bidi="ar-SA"/>
        </w:rPr>
        <w:t>（四）甲方不得索取或接受任何形式的商业贿赂。</w:t>
      </w:r>
    </w:p>
    <w:p w14:paraId="7E1A11FE">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（五）国家</w:t>
      </w:r>
      <w:r>
        <w:rPr>
          <w:rFonts w:hint="eastAsia" w:eastAsia="宋体" w:cs="宋体"/>
          <w:color w:val="auto"/>
          <w:sz w:val="28"/>
          <w:szCs w:val="28"/>
          <w:lang w:val="en-US" w:eastAsia="zh-CN" w:bidi="ar-SA"/>
        </w:rPr>
        <w:t>法律法规</w:t>
      </w:r>
      <w:r>
        <w:rPr>
          <w:rFonts w:hint="eastAsia" w:ascii="宋体" w:hAnsi="宋体" w:eastAsia="宋体" w:cs="宋体"/>
          <w:color w:val="auto"/>
          <w:sz w:val="28"/>
          <w:szCs w:val="28"/>
          <w:lang w:val="en-US" w:eastAsia="zh-CN" w:bidi="ar-SA"/>
        </w:rPr>
        <w:t>所规定由甲方承担</w:t>
      </w:r>
      <w:r>
        <w:rPr>
          <w:rFonts w:hint="eastAsia" w:eastAsia="宋体" w:cs="宋体"/>
          <w:color w:val="auto"/>
          <w:sz w:val="28"/>
          <w:szCs w:val="28"/>
          <w:lang w:val="en-US" w:eastAsia="zh-CN" w:bidi="ar-SA"/>
        </w:rPr>
        <w:t>的其他</w:t>
      </w:r>
      <w:r>
        <w:rPr>
          <w:rFonts w:hint="eastAsia" w:ascii="宋体" w:hAnsi="宋体" w:eastAsia="宋体" w:cs="宋体"/>
          <w:color w:val="auto"/>
          <w:sz w:val="28"/>
          <w:szCs w:val="28"/>
          <w:lang w:val="en-US" w:eastAsia="zh-CN" w:bidi="ar-SA"/>
        </w:rPr>
        <w:t>责任。</w:t>
      </w:r>
    </w:p>
    <w:p w14:paraId="44273198">
      <w:pPr>
        <w:pStyle w:val="18"/>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乙方的责任与义务</w:t>
      </w:r>
    </w:p>
    <w:p w14:paraId="7982A5F9">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（一）对本合同规定的委托服务范围内的项目享有管理权及服务义务。</w:t>
      </w:r>
    </w:p>
    <w:p w14:paraId="072F567D">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（二）根据本合同的规定向甲方收取</w:t>
      </w:r>
      <w:r>
        <w:rPr>
          <w:rFonts w:hint="eastAsia" w:eastAsia="宋体" w:cs="宋体"/>
          <w:color w:val="auto"/>
          <w:sz w:val="28"/>
          <w:szCs w:val="28"/>
          <w:lang w:val="en-US" w:eastAsia="zh-CN" w:bidi="ar-SA"/>
        </w:rPr>
        <w:t>合同约定的</w:t>
      </w:r>
      <w:r>
        <w:rPr>
          <w:rFonts w:hint="eastAsia" w:ascii="宋体" w:hAnsi="宋体" w:eastAsia="宋体" w:cs="宋体"/>
          <w:color w:val="auto"/>
          <w:sz w:val="28"/>
          <w:szCs w:val="28"/>
          <w:lang w:val="en-US" w:eastAsia="zh-CN" w:bidi="ar-SA"/>
        </w:rPr>
        <w:t>服务费用。</w:t>
      </w:r>
    </w:p>
    <w:p w14:paraId="5361BBF9">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（三）及时向甲方通告本项目服务范围内有关服务的重大事项，及时配合处理投诉。</w:t>
      </w:r>
    </w:p>
    <w:p w14:paraId="35B3665D">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（四）接受项目行业管理部门及政府有关部门的指导，接受甲方的监督。</w:t>
      </w:r>
    </w:p>
    <w:p w14:paraId="356B5935">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乙方未经书面同意，不得将本合同内容及获得的任何信息、资料或成果泄露给第三方，保密义务在本合同服务期限结束后依然有效。乙方应告知并以适当方式要求其参与本次服务的员工遵守本条规定，若参加本次调查的员工因自身原因违反本条规定，乙方应依法承担相应连带责任。</w:t>
      </w:r>
    </w:p>
    <w:p w14:paraId="40BC3514">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 （六）乙方不得以任何理由向甲方及其工作人员馈赠礼金、有价证券、贵重物品、回扣、提成等任何形式的商业贿赂和促销活动，如有违约，甲方有权终止成交协议。</w:t>
      </w:r>
    </w:p>
    <w:p w14:paraId="204D8C08">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（七）国家法律法规所规定由乙方承担的其他责任。</w:t>
      </w:r>
    </w:p>
    <w:p w14:paraId="244D121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cs="宋体"/>
          <w:b/>
          <w:color w:val="auto"/>
          <w:sz w:val="28"/>
          <w:szCs w:val="28"/>
          <w:lang w:eastAsia="zh-CN"/>
        </w:rPr>
        <w:t>九</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违约责任</w:t>
      </w:r>
    </w:p>
    <w:p w14:paraId="13E11AC9">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beforeAutospacing="0"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（一）甲乙双方必须遵守本合同并执行合同中的各项规定，保证本合同的正常履行。</w:t>
      </w:r>
    </w:p>
    <w:p w14:paraId="1487EC4B">
      <w:pPr>
        <w:pStyle w:val="16"/>
        <w:keepNext w:val="0"/>
        <w:keepLines w:val="0"/>
        <w:pageBreakBefore w:val="0"/>
        <w:kinsoku/>
        <w:wordWrap/>
        <w:overflowPunct/>
        <w:topLinePunct w:val="0"/>
        <w:bidi w:val="0"/>
        <w:spacing w:line="440" w:lineRule="exact"/>
        <w:ind w:firstLine="578" w:firstLineChars="200"/>
        <w:jc w:val="both"/>
        <w:textAlignment w:val="auto"/>
        <w:outlineLvl w:val="9"/>
        <w:rPr>
          <w:rFonts w:hint="eastAsia"/>
          <w:color w:val="auto"/>
          <w:lang w:val="en-US"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sz w:val="28"/>
          <w:szCs w:val="28"/>
          <w:lang w:val="en-US" w:eastAsia="zh-CN" w:bidi="ar-S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AB4C5A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不可抗力事件处理</w:t>
      </w:r>
    </w:p>
    <w:p w14:paraId="23C402AF">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（一）在合同有效期内，任何一方因不可抗力事件导致不能履行合同，则合同履行期可延长，其延长期与不可抗力影响期相同。</w:t>
      </w:r>
    </w:p>
    <w:p w14:paraId="472AFBEB">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（二）不可抗力事件发生后，应立即通知对方，并寄送有关权威机构出具的证明。</w:t>
      </w:r>
    </w:p>
    <w:p w14:paraId="720DEEE3">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（三）不可抗力事件延续120天以上，双方应通过友好协商，确定是否继续履行合同。</w:t>
      </w:r>
    </w:p>
    <w:p w14:paraId="15262496">
      <w:pPr>
        <w:keepNext w:val="0"/>
        <w:keepLines w:val="0"/>
        <w:pageBreakBefore w:val="0"/>
        <w:widowControl w:val="0"/>
        <w:kinsoku/>
        <w:wordWrap/>
        <w:overflowPunct/>
        <w:topLinePunct w:val="0"/>
        <w:autoSpaceDE/>
        <w:autoSpaceDN/>
        <w:bidi w:val="0"/>
        <w:adjustRightInd/>
        <w:snapToGrid/>
        <w:spacing w:beforeAutospacing="0" w:afterLines="50" w:line="440" w:lineRule="exact"/>
        <w:ind w:firstLine="0" w:firstLineChars="0"/>
        <w:jc w:val="both"/>
        <w:textAlignment w:val="auto"/>
        <w:outlineLvl w:val="9"/>
        <w:rPr>
          <w:rFonts w:hint="eastAsia" w:ascii="宋体" w:hAnsi="宋体" w:eastAsia="宋体" w:cs="宋体"/>
          <w:b/>
          <w:color w:val="auto"/>
          <w:sz w:val="28"/>
          <w:szCs w:val="28"/>
        </w:rPr>
      </w:pPr>
      <w:bookmarkStart w:id="73" w:name="_Toc225244857"/>
      <w:bookmarkStart w:id="74" w:name="_Toc237145411"/>
      <w:bookmarkStart w:id="75" w:name="_Toc239568423"/>
      <w:bookmarkStart w:id="76" w:name="_Toc238984980"/>
      <w:bookmarkStart w:id="77" w:name="_Toc232492933"/>
      <w:bookmarkStart w:id="78" w:name="_Toc247334846"/>
      <w:bookmarkStart w:id="79" w:name="_Toc211854454"/>
      <w:bookmarkStart w:id="80" w:name="_Toc225654649"/>
      <w:bookmarkStart w:id="81" w:name="_Toc211911353"/>
      <w:bookmarkStart w:id="82" w:name="_Toc212019599"/>
      <w:bookmarkStart w:id="83" w:name="_Toc241833908"/>
      <w:bookmarkStart w:id="84" w:name="_Toc185395254"/>
      <w:bookmarkStart w:id="85" w:name="_Toc286993792"/>
      <w:bookmarkStart w:id="86" w:name="_Toc239233919"/>
      <w:bookmarkStart w:id="87" w:name="_Toc251768867"/>
      <w:bookmarkStart w:id="88" w:name="_Toc225670756"/>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一</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解决合同纠纷的方式</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E40F18F">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color w:val="auto"/>
        </w:rPr>
      </w:pPr>
      <w:r>
        <w:rPr>
          <w:rFonts w:hint="eastAsia" w:ascii="宋体" w:hAnsi="宋体" w:eastAsia="宋体" w:cs="宋体"/>
          <w:color w:val="auto"/>
          <w:sz w:val="28"/>
          <w:szCs w:val="28"/>
          <w:lang w:val="en-US" w:eastAsia="zh-CN" w:bidi="ar-SA"/>
        </w:rPr>
        <w:t>在执行本合同中发生的或与本合同有关的争端，双方应通过友好协商解决</w:t>
      </w:r>
      <w:r>
        <w:rPr>
          <w:rFonts w:hint="eastAsia"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 xml:space="preserve">经协商在60天内不能达成协议时，应向甲方所在地人民法院提起诉讼。  </w:t>
      </w:r>
    </w:p>
    <w:p w14:paraId="386CF0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bookmarkStart w:id="89" w:name="_Toc225244858"/>
      <w:bookmarkStart w:id="90" w:name="_Toc251768868"/>
      <w:bookmarkStart w:id="91" w:name="_Toc185395255"/>
      <w:bookmarkStart w:id="92" w:name="_Toc232492934"/>
      <w:bookmarkStart w:id="93" w:name="_Toc225654650"/>
      <w:bookmarkStart w:id="94" w:name="_Toc211854455"/>
      <w:bookmarkStart w:id="95" w:name="_Toc239568424"/>
      <w:bookmarkStart w:id="96" w:name="_Toc282696231"/>
      <w:bookmarkStart w:id="97" w:name="_Toc239233920"/>
      <w:bookmarkStart w:id="98" w:name="_Toc212019600"/>
      <w:bookmarkStart w:id="99" w:name="_Toc225670757"/>
      <w:bookmarkStart w:id="100" w:name="_Toc283019219"/>
      <w:bookmarkStart w:id="101" w:name="_Toc237145412"/>
      <w:bookmarkStart w:id="102" w:name="_Toc286993793"/>
      <w:bookmarkStart w:id="103" w:name="_Toc247334847"/>
      <w:bookmarkStart w:id="104" w:name="_Toc241833909"/>
      <w:bookmarkStart w:id="105" w:name="_Toc211911354"/>
      <w:bookmarkStart w:id="106" w:name="_Toc238984981"/>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二</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合同</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eastAsia="宋体" w:cs="宋体"/>
          <w:b/>
          <w:color w:val="auto"/>
          <w:sz w:val="28"/>
          <w:szCs w:val="28"/>
        </w:rPr>
        <w:t>生效及其他</w:t>
      </w:r>
    </w:p>
    <w:p w14:paraId="7FF100A7">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default"/>
          <w:color w:val="auto"/>
          <w:lang w:val="en-US" w:eastAsia="zh-CN"/>
        </w:rPr>
      </w:pPr>
      <w:r>
        <w:rPr>
          <w:rFonts w:hint="eastAsia" w:ascii="宋体" w:hAnsi="宋体" w:eastAsia="宋体" w:cs="宋体"/>
          <w:color w:val="auto"/>
          <w:sz w:val="28"/>
          <w:szCs w:val="28"/>
          <w:lang w:val="en-US" w:eastAsia="zh-CN" w:bidi="ar-SA"/>
        </w:rPr>
        <w:t>（一）合同经双方法定代表人或授权委托代理人签字并加盖单位公章后生效</w:t>
      </w:r>
      <w:r>
        <w:rPr>
          <w:rFonts w:hint="eastAsia" w:eastAsia="宋体" w:cs="宋体"/>
          <w:color w:val="auto"/>
          <w:sz w:val="28"/>
          <w:szCs w:val="28"/>
          <w:lang w:val="en-US" w:eastAsia="zh-CN" w:bidi="ar-SA"/>
        </w:rPr>
        <w:t xml:space="preserve">。 </w:t>
      </w:r>
    </w:p>
    <w:p w14:paraId="3ACADD5E">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（二）本合同一式陆份，甲方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p w14:paraId="66E94F53">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（三）其他未尽事宜，由双方协商一致后签订补充合同。补充合同与本合同具有同等法律效力。</w:t>
      </w:r>
    </w:p>
    <w:tbl>
      <w:tblPr>
        <w:tblStyle w:val="45"/>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37B9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412822D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7537027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29868A9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5398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1498014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5A8D23A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FEDEBCE">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563E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941856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p>
        </w:tc>
        <w:tc>
          <w:tcPr>
            <w:tcW w:w="407" w:type="dxa"/>
            <w:noWrap w:val="0"/>
            <w:vAlign w:val="top"/>
          </w:tcPr>
          <w:p w14:paraId="3672D7D3">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BFAE20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14:paraId="093F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C99ED7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07" w:type="dxa"/>
            <w:noWrap w:val="0"/>
            <w:vAlign w:val="top"/>
          </w:tcPr>
          <w:p w14:paraId="73E7C1A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3F712854">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2E83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1F196AD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07" w:type="dxa"/>
            <w:noWrap w:val="0"/>
            <w:vAlign w:val="top"/>
          </w:tcPr>
          <w:p w14:paraId="7FC654D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70F65D2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5799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4869C0A3">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11370E7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CA6A6B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6784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0A483CF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125E3F1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5CF4D31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5F4B2167">
      <w:pPr>
        <w:spacing w:line="360" w:lineRule="auto"/>
        <w:rPr>
          <w:rFonts w:hint="eastAsia"/>
          <w:color w:val="auto"/>
          <w:lang w:val="en-US" w:eastAsia="zh-CN"/>
        </w:rPr>
      </w:pPr>
      <w:r>
        <w:rPr>
          <w:rFonts w:hint="eastAsia"/>
          <w:color w:val="auto"/>
          <w:lang w:val="en-US" w:eastAsia="zh-CN"/>
        </w:rPr>
        <w:br w:type="page"/>
      </w:r>
      <w:r>
        <w:rPr>
          <w:rFonts w:hint="eastAsia"/>
          <w:color w:val="auto"/>
          <w:lang w:val="en-US" w:eastAsia="zh-CN"/>
        </w:rPr>
        <w:t>附件1</w:t>
      </w:r>
    </w:p>
    <w:p w14:paraId="6CB499DE">
      <w:pPr>
        <w:spacing w:before="36" w:line="219" w:lineRule="auto"/>
        <w:ind w:left="59"/>
        <w:jc w:val="center"/>
        <w:rPr>
          <w:rFonts w:hint="eastAsia" w:ascii="宋体"/>
          <w:b/>
          <w:bCs/>
          <w:color w:val="000000"/>
          <w:sz w:val="28"/>
        </w:rPr>
      </w:pPr>
      <w:r>
        <w:rPr>
          <w:rFonts w:hint="eastAsia" w:ascii="宋体" w:hAnsi="宋体" w:eastAsia="宋体" w:cs="宋体"/>
          <w:b/>
          <w:bCs/>
          <w:sz w:val="28"/>
          <w:szCs w:val="28"/>
          <w:lang w:val="en-US" w:eastAsia="zh-CN"/>
        </w:rPr>
        <w:t>考核表</w:t>
      </w:r>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63"/>
        <w:gridCol w:w="2004"/>
        <w:gridCol w:w="5311"/>
        <w:gridCol w:w="665"/>
      </w:tblGrid>
      <w:tr w14:paraId="385B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69" w:type="pct"/>
            <w:noWrap w:val="0"/>
            <w:vAlign w:val="top"/>
          </w:tcPr>
          <w:p w14:paraId="22D2AA45">
            <w:pPr>
              <w:keepNext w:val="0"/>
              <w:keepLines w:val="0"/>
              <w:pageBreakBefore w:val="0"/>
              <w:kinsoku/>
              <w:wordWrap/>
              <w:overflowPunct/>
              <w:topLinePunct w:val="0"/>
              <w:bidi w:val="0"/>
              <w:spacing w:line="480" w:lineRule="exact"/>
              <w:jc w:val="center"/>
              <w:textAlignment w:val="auto"/>
              <w:rPr>
                <w:b/>
              </w:rPr>
            </w:pPr>
            <w:r>
              <w:rPr>
                <w:rFonts w:hint="eastAsia"/>
                <w:b/>
              </w:rPr>
              <w:t>序号</w:t>
            </w:r>
          </w:p>
        </w:tc>
        <w:tc>
          <w:tcPr>
            <w:tcW w:w="589" w:type="pct"/>
            <w:noWrap w:val="0"/>
            <w:vAlign w:val="top"/>
          </w:tcPr>
          <w:p w14:paraId="7ABD0E2E">
            <w:pPr>
              <w:keepNext w:val="0"/>
              <w:keepLines w:val="0"/>
              <w:pageBreakBefore w:val="0"/>
              <w:kinsoku/>
              <w:wordWrap/>
              <w:overflowPunct/>
              <w:topLinePunct w:val="0"/>
              <w:bidi w:val="0"/>
              <w:spacing w:line="480" w:lineRule="exact"/>
              <w:jc w:val="center"/>
              <w:textAlignment w:val="auto"/>
              <w:rPr>
                <w:b/>
              </w:rPr>
            </w:pPr>
            <w:r>
              <w:rPr>
                <w:rFonts w:hint="eastAsia"/>
                <w:b/>
              </w:rPr>
              <w:t>考核项目</w:t>
            </w:r>
          </w:p>
        </w:tc>
        <w:tc>
          <w:tcPr>
            <w:tcW w:w="1015" w:type="pct"/>
            <w:noWrap w:val="0"/>
            <w:vAlign w:val="top"/>
          </w:tcPr>
          <w:p w14:paraId="15B3EDC9">
            <w:pPr>
              <w:keepNext w:val="0"/>
              <w:keepLines w:val="0"/>
              <w:pageBreakBefore w:val="0"/>
              <w:kinsoku/>
              <w:wordWrap/>
              <w:overflowPunct/>
              <w:topLinePunct w:val="0"/>
              <w:bidi w:val="0"/>
              <w:spacing w:line="480" w:lineRule="exact"/>
              <w:jc w:val="center"/>
              <w:textAlignment w:val="auto"/>
              <w:rPr>
                <w:b/>
              </w:rPr>
            </w:pPr>
            <w:r>
              <w:rPr>
                <w:rFonts w:hint="eastAsia"/>
                <w:b/>
              </w:rPr>
              <w:t>考核标准</w:t>
            </w:r>
          </w:p>
        </w:tc>
        <w:tc>
          <w:tcPr>
            <w:tcW w:w="2689" w:type="pct"/>
            <w:noWrap w:val="0"/>
            <w:vAlign w:val="top"/>
          </w:tcPr>
          <w:p w14:paraId="54F00F76">
            <w:pPr>
              <w:keepNext w:val="0"/>
              <w:keepLines w:val="0"/>
              <w:pageBreakBefore w:val="0"/>
              <w:kinsoku/>
              <w:wordWrap/>
              <w:overflowPunct/>
              <w:topLinePunct w:val="0"/>
              <w:bidi w:val="0"/>
              <w:spacing w:line="480" w:lineRule="exact"/>
              <w:jc w:val="center"/>
              <w:textAlignment w:val="auto"/>
              <w:rPr>
                <w:b/>
              </w:rPr>
            </w:pPr>
            <w:r>
              <w:rPr>
                <w:rFonts w:hint="eastAsia"/>
                <w:b/>
              </w:rPr>
              <w:t>考核内容</w:t>
            </w:r>
          </w:p>
        </w:tc>
        <w:tc>
          <w:tcPr>
            <w:tcW w:w="336" w:type="pct"/>
            <w:noWrap w:val="0"/>
            <w:vAlign w:val="top"/>
          </w:tcPr>
          <w:p w14:paraId="7A46493F">
            <w:pPr>
              <w:keepNext w:val="0"/>
              <w:keepLines w:val="0"/>
              <w:pageBreakBefore w:val="0"/>
              <w:kinsoku/>
              <w:wordWrap/>
              <w:overflowPunct/>
              <w:topLinePunct w:val="0"/>
              <w:bidi w:val="0"/>
              <w:spacing w:line="480" w:lineRule="exact"/>
              <w:jc w:val="center"/>
              <w:textAlignment w:val="auto"/>
              <w:rPr>
                <w:b/>
              </w:rPr>
            </w:pPr>
            <w:r>
              <w:rPr>
                <w:rFonts w:hint="eastAsia"/>
                <w:b/>
              </w:rPr>
              <w:t>扣分</w:t>
            </w:r>
          </w:p>
        </w:tc>
      </w:tr>
      <w:tr w14:paraId="13B6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9" w:type="pct"/>
            <w:noWrap w:val="0"/>
            <w:vAlign w:val="center"/>
          </w:tcPr>
          <w:p w14:paraId="7690B5FB">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589" w:type="pct"/>
            <w:vMerge w:val="restart"/>
            <w:noWrap w:val="0"/>
            <w:vAlign w:val="center"/>
          </w:tcPr>
          <w:p w14:paraId="19F1D50B">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基础项目（10分）</w:t>
            </w:r>
          </w:p>
        </w:tc>
        <w:tc>
          <w:tcPr>
            <w:tcW w:w="1015" w:type="pct"/>
            <w:vMerge w:val="restart"/>
            <w:noWrap w:val="0"/>
            <w:vAlign w:val="center"/>
          </w:tcPr>
          <w:p w14:paraId="2C1A3E3E">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各安全管理制度、法律法规及规划楼劳动纪律等</w:t>
            </w:r>
          </w:p>
        </w:tc>
        <w:tc>
          <w:tcPr>
            <w:tcW w:w="2689" w:type="pct"/>
            <w:noWrap w:val="0"/>
            <w:vAlign w:val="top"/>
          </w:tcPr>
          <w:p w14:paraId="35656017">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未报医院管理部门进行施工作业。（5分）</w:t>
            </w:r>
          </w:p>
        </w:tc>
        <w:tc>
          <w:tcPr>
            <w:tcW w:w="336" w:type="pct"/>
            <w:noWrap w:val="0"/>
            <w:vAlign w:val="top"/>
          </w:tcPr>
          <w:p w14:paraId="633B7EAA">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2B0A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69" w:type="pct"/>
            <w:noWrap w:val="0"/>
            <w:vAlign w:val="center"/>
          </w:tcPr>
          <w:p w14:paraId="54AD7B13">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89" w:type="pct"/>
            <w:vMerge w:val="continue"/>
            <w:noWrap w:val="0"/>
            <w:vAlign w:val="top"/>
          </w:tcPr>
          <w:p w14:paraId="7E6FA7C9">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c>
          <w:tcPr>
            <w:tcW w:w="1015" w:type="pct"/>
            <w:vMerge w:val="continue"/>
            <w:noWrap w:val="0"/>
            <w:vAlign w:val="top"/>
          </w:tcPr>
          <w:p w14:paraId="63596915">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c>
          <w:tcPr>
            <w:tcW w:w="2689" w:type="pct"/>
            <w:noWrap w:val="0"/>
            <w:vAlign w:val="top"/>
          </w:tcPr>
          <w:p w14:paraId="1DF8B276">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未设置专人负责本项目维保服务工作。（5分）</w:t>
            </w:r>
          </w:p>
        </w:tc>
        <w:tc>
          <w:tcPr>
            <w:tcW w:w="336" w:type="pct"/>
            <w:noWrap w:val="0"/>
            <w:vAlign w:val="top"/>
          </w:tcPr>
          <w:p w14:paraId="13AD09A2">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28FF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69" w:type="pct"/>
            <w:noWrap w:val="0"/>
            <w:vAlign w:val="center"/>
          </w:tcPr>
          <w:p w14:paraId="3271D6B1">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589" w:type="pct"/>
            <w:vMerge w:val="restart"/>
            <w:noWrap w:val="0"/>
            <w:vAlign w:val="center"/>
          </w:tcPr>
          <w:p w14:paraId="32DB1E40">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工作内容</w:t>
            </w:r>
          </w:p>
          <w:p w14:paraId="2A296F4D">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p w14:paraId="46A5EADD">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（40分）</w:t>
            </w:r>
          </w:p>
        </w:tc>
        <w:tc>
          <w:tcPr>
            <w:tcW w:w="1015" w:type="pct"/>
            <w:vMerge w:val="restart"/>
            <w:noWrap w:val="0"/>
            <w:vAlign w:val="center"/>
          </w:tcPr>
          <w:p w14:paraId="17C0BC4E">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color w:val="000000"/>
                <w:sz w:val="18"/>
                <w:szCs w:val="18"/>
              </w:rPr>
              <w:t>须认真、仔细完成各项工内容、履行双方协议，接受相关部门对安防系统检查、考核。</w:t>
            </w:r>
          </w:p>
        </w:tc>
        <w:tc>
          <w:tcPr>
            <w:tcW w:w="2689" w:type="pct"/>
            <w:noWrap w:val="0"/>
            <w:vAlign w:val="top"/>
          </w:tcPr>
          <w:p w14:paraId="4653AF3A">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未按要求及时完成年检工作。（5分）</w:t>
            </w:r>
          </w:p>
        </w:tc>
        <w:tc>
          <w:tcPr>
            <w:tcW w:w="336" w:type="pct"/>
            <w:noWrap w:val="0"/>
            <w:vAlign w:val="top"/>
          </w:tcPr>
          <w:p w14:paraId="7CB30B3C">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6B52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69" w:type="pct"/>
            <w:noWrap w:val="0"/>
            <w:vAlign w:val="center"/>
          </w:tcPr>
          <w:p w14:paraId="236F4B5C">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589" w:type="pct"/>
            <w:vMerge w:val="continue"/>
            <w:noWrap w:val="0"/>
            <w:vAlign w:val="top"/>
          </w:tcPr>
          <w:p w14:paraId="1527A7EE">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23B1FBBA">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745953D8">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未按要求及时完成季检工作。（5分）</w:t>
            </w:r>
          </w:p>
        </w:tc>
        <w:tc>
          <w:tcPr>
            <w:tcW w:w="336" w:type="pct"/>
            <w:noWrap w:val="0"/>
            <w:vAlign w:val="top"/>
          </w:tcPr>
          <w:p w14:paraId="28E92A4C">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7DE2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69" w:type="pct"/>
            <w:noWrap w:val="0"/>
            <w:vAlign w:val="center"/>
          </w:tcPr>
          <w:p w14:paraId="681BABF9">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589" w:type="pct"/>
            <w:vMerge w:val="continue"/>
            <w:noWrap w:val="0"/>
            <w:vAlign w:val="center"/>
          </w:tcPr>
          <w:p w14:paraId="28817A53">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04D8C21B">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0A1E5B6C">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未按要求及时完成月检工作。（5分）</w:t>
            </w:r>
          </w:p>
        </w:tc>
        <w:tc>
          <w:tcPr>
            <w:tcW w:w="336" w:type="pct"/>
            <w:noWrap w:val="0"/>
            <w:vAlign w:val="top"/>
          </w:tcPr>
          <w:p w14:paraId="68A61191">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4CAA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9" w:type="pct"/>
            <w:noWrap w:val="0"/>
            <w:vAlign w:val="center"/>
          </w:tcPr>
          <w:p w14:paraId="7EB84A3B">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589" w:type="pct"/>
            <w:vMerge w:val="continue"/>
            <w:noWrap w:val="0"/>
            <w:vAlign w:val="top"/>
          </w:tcPr>
          <w:p w14:paraId="7378F491">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3A608FFB">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15A80309">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未按要求完成监控相关硬件的清洁、除尘、保养工作。（5分）</w:t>
            </w:r>
          </w:p>
        </w:tc>
        <w:tc>
          <w:tcPr>
            <w:tcW w:w="336" w:type="pct"/>
            <w:noWrap w:val="0"/>
            <w:vAlign w:val="top"/>
          </w:tcPr>
          <w:p w14:paraId="7938462E">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60C5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9" w:type="pct"/>
            <w:noWrap w:val="0"/>
            <w:vAlign w:val="center"/>
          </w:tcPr>
          <w:p w14:paraId="4A3D9FC5">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589" w:type="pct"/>
            <w:vMerge w:val="continue"/>
            <w:noWrap w:val="0"/>
            <w:vAlign w:val="top"/>
          </w:tcPr>
          <w:p w14:paraId="45839007">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0B8EBA42">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040732F2">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未按要求及时完成相关硬件设备设施的调整。（5分）</w:t>
            </w:r>
          </w:p>
        </w:tc>
        <w:tc>
          <w:tcPr>
            <w:tcW w:w="336" w:type="pct"/>
            <w:noWrap w:val="0"/>
            <w:vAlign w:val="top"/>
          </w:tcPr>
          <w:p w14:paraId="33FE4393">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1AC3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9" w:type="pct"/>
            <w:noWrap w:val="0"/>
            <w:vAlign w:val="center"/>
          </w:tcPr>
          <w:p w14:paraId="4D51C40A">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589" w:type="pct"/>
            <w:vMerge w:val="continue"/>
            <w:noWrap w:val="0"/>
            <w:vAlign w:val="top"/>
          </w:tcPr>
          <w:p w14:paraId="4946EDA8">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1DC7A918">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7CD0ABBE">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未按要求及时完成监控线路故障检查，查找故障点和故障原因。</w:t>
            </w:r>
            <w:r>
              <w:rPr>
                <w:rFonts w:hint="eastAsia" w:ascii="宋体" w:hAnsi="宋体" w:eastAsia="宋体" w:cs="宋体"/>
                <w:sz w:val="18"/>
                <w:szCs w:val="18"/>
                <w:lang w:val="en-US" w:eastAsia="zh-CN"/>
              </w:rPr>
              <w:t>(</w:t>
            </w:r>
            <w:r>
              <w:rPr>
                <w:rFonts w:hint="eastAsia" w:ascii="宋体" w:hAnsi="宋体" w:eastAsia="宋体" w:cs="宋体"/>
                <w:sz w:val="18"/>
                <w:szCs w:val="18"/>
              </w:rPr>
              <w:t>5分</w:t>
            </w:r>
            <w:r>
              <w:rPr>
                <w:rFonts w:hint="eastAsia" w:ascii="宋体" w:hAnsi="宋体" w:eastAsia="宋体" w:cs="宋体"/>
                <w:sz w:val="18"/>
                <w:szCs w:val="18"/>
                <w:lang w:val="en-US" w:eastAsia="zh-CN"/>
              </w:rPr>
              <w:t>)</w:t>
            </w:r>
          </w:p>
        </w:tc>
        <w:tc>
          <w:tcPr>
            <w:tcW w:w="336" w:type="pct"/>
            <w:noWrap w:val="0"/>
            <w:vAlign w:val="top"/>
          </w:tcPr>
          <w:p w14:paraId="4CA58681">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7163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9" w:type="pct"/>
            <w:noWrap w:val="0"/>
            <w:vAlign w:val="center"/>
          </w:tcPr>
          <w:p w14:paraId="54CF348B">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589" w:type="pct"/>
            <w:vMerge w:val="continue"/>
            <w:noWrap w:val="0"/>
            <w:vAlign w:val="top"/>
          </w:tcPr>
          <w:p w14:paraId="3C97456E">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0167950D">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1C1C7CEC">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未按要求对监控系统整体运行情况进行分析、优化调试，出具优化方案。（10分）</w:t>
            </w:r>
          </w:p>
        </w:tc>
        <w:tc>
          <w:tcPr>
            <w:tcW w:w="336" w:type="pct"/>
            <w:noWrap w:val="0"/>
            <w:vAlign w:val="top"/>
          </w:tcPr>
          <w:p w14:paraId="1CDC19E9">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6E2D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9" w:type="pct"/>
            <w:noWrap w:val="0"/>
            <w:vAlign w:val="center"/>
          </w:tcPr>
          <w:p w14:paraId="4854EB46">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89" w:type="pct"/>
            <w:vMerge w:val="restart"/>
            <w:noWrap w:val="0"/>
            <w:vAlign w:val="center"/>
          </w:tcPr>
          <w:p w14:paraId="4C15C342">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工作效率</w:t>
            </w:r>
          </w:p>
          <w:p w14:paraId="23633818">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（15分）</w:t>
            </w:r>
          </w:p>
        </w:tc>
        <w:tc>
          <w:tcPr>
            <w:tcW w:w="1015" w:type="pct"/>
            <w:vMerge w:val="restart"/>
            <w:noWrap w:val="0"/>
            <w:vAlign w:val="center"/>
          </w:tcPr>
          <w:p w14:paraId="54AB1EE6">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及时、高效</w:t>
            </w:r>
          </w:p>
        </w:tc>
        <w:tc>
          <w:tcPr>
            <w:tcW w:w="2689" w:type="pct"/>
            <w:noWrap w:val="0"/>
            <w:vAlign w:val="top"/>
          </w:tcPr>
          <w:p w14:paraId="019613AF">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发生故障或事故时接到通知未及时到达工作现场。（5分）</w:t>
            </w:r>
          </w:p>
        </w:tc>
        <w:tc>
          <w:tcPr>
            <w:tcW w:w="336" w:type="pct"/>
            <w:noWrap w:val="0"/>
            <w:vAlign w:val="top"/>
          </w:tcPr>
          <w:p w14:paraId="27CC0B83">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7162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69" w:type="pct"/>
            <w:noWrap w:val="0"/>
            <w:vAlign w:val="center"/>
          </w:tcPr>
          <w:p w14:paraId="3AC5087F">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1</w:t>
            </w:r>
          </w:p>
        </w:tc>
        <w:tc>
          <w:tcPr>
            <w:tcW w:w="589" w:type="pct"/>
            <w:vMerge w:val="continue"/>
            <w:noWrap w:val="0"/>
            <w:vAlign w:val="top"/>
          </w:tcPr>
          <w:p w14:paraId="1FF30FED">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019040EF">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281D1D91">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未及时处理各种故障。（5分）</w:t>
            </w:r>
          </w:p>
        </w:tc>
        <w:tc>
          <w:tcPr>
            <w:tcW w:w="336" w:type="pct"/>
            <w:noWrap w:val="0"/>
            <w:vAlign w:val="top"/>
          </w:tcPr>
          <w:p w14:paraId="1D4D3B61">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1B44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9" w:type="pct"/>
            <w:noWrap w:val="0"/>
            <w:vAlign w:val="center"/>
          </w:tcPr>
          <w:p w14:paraId="1010231B">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2</w:t>
            </w:r>
          </w:p>
        </w:tc>
        <w:tc>
          <w:tcPr>
            <w:tcW w:w="589" w:type="pct"/>
            <w:vMerge w:val="continue"/>
            <w:noWrap w:val="0"/>
            <w:vAlign w:val="top"/>
          </w:tcPr>
          <w:p w14:paraId="24352F77">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43D12860">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5FDE9894">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未及时进行巡检、及时提供各项检查报告。（5分）</w:t>
            </w:r>
          </w:p>
        </w:tc>
        <w:tc>
          <w:tcPr>
            <w:tcW w:w="336" w:type="pct"/>
            <w:noWrap w:val="0"/>
            <w:vAlign w:val="top"/>
          </w:tcPr>
          <w:p w14:paraId="687F0BA8">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4421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69" w:type="pct"/>
            <w:noWrap w:val="0"/>
            <w:vAlign w:val="center"/>
          </w:tcPr>
          <w:p w14:paraId="2E9BD631">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3</w:t>
            </w:r>
          </w:p>
        </w:tc>
        <w:tc>
          <w:tcPr>
            <w:tcW w:w="589" w:type="pct"/>
            <w:vMerge w:val="restart"/>
            <w:noWrap w:val="0"/>
            <w:vAlign w:val="center"/>
          </w:tcPr>
          <w:p w14:paraId="52B699EA">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工程质量</w:t>
            </w:r>
          </w:p>
          <w:p w14:paraId="758AB353">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r>
              <w:rPr>
                <w:rFonts w:hint="eastAsia" w:ascii="宋体" w:hAnsi="宋体" w:eastAsia="宋体" w:cs="宋体"/>
                <w:b/>
                <w:sz w:val="18"/>
                <w:szCs w:val="18"/>
              </w:rPr>
              <w:t>（24分）</w:t>
            </w:r>
          </w:p>
        </w:tc>
        <w:tc>
          <w:tcPr>
            <w:tcW w:w="1015" w:type="pct"/>
            <w:vMerge w:val="restart"/>
            <w:noWrap w:val="0"/>
            <w:vAlign w:val="center"/>
          </w:tcPr>
          <w:p w14:paraId="51CF6E69">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合格、达标</w:t>
            </w:r>
          </w:p>
        </w:tc>
        <w:tc>
          <w:tcPr>
            <w:tcW w:w="2689" w:type="pct"/>
            <w:noWrap w:val="0"/>
            <w:vAlign w:val="top"/>
          </w:tcPr>
          <w:p w14:paraId="7C8FF6CE">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未保证医院安防设施设备原有功能正常。（5分）</w:t>
            </w:r>
          </w:p>
        </w:tc>
        <w:tc>
          <w:tcPr>
            <w:tcW w:w="336" w:type="pct"/>
            <w:noWrap w:val="0"/>
            <w:vAlign w:val="top"/>
          </w:tcPr>
          <w:p w14:paraId="46703388">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137F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69" w:type="pct"/>
            <w:noWrap w:val="0"/>
            <w:vAlign w:val="center"/>
          </w:tcPr>
          <w:p w14:paraId="3A1A8B56">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589" w:type="pct"/>
            <w:vMerge w:val="continue"/>
            <w:noWrap w:val="0"/>
            <w:vAlign w:val="top"/>
          </w:tcPr>
          <w:p w14:paraId="348C6F47">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61E66E3C">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14AE83D7">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各类设施设备维护保养未达标。（9分）</w:t>
            </w:r>
          </w:p>
        </w:tc>
        <w:tc>
          <w:tcPr>
            <w:tcW w:w="336" w:type="pct"/>
            <w:noWrap w:val="0"/>
            <w:vAlign w:val="top"/>
          </w:tcPr>
          <w:p w14:paraId="22433AB2">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60AC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69" w:type="pct"/>
            <w:noWrap w:val="0"/>
            <w:vAlign w:val="center"/>
          </w:tcPr>
          <w:p w14:paraId="2FC821EF">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p>
        </w:tc>
        <w:tc>
          <w:tcPr>
            <w:tcW w:w="589" w:type="pct"/>
            <w:vMerge w:val="continue"/>
            <w:noWrap w:val="0"/>
            <w:vAlign w:val="top"/>
          </w:tcPr>
          <w:p w14:paraId="20BC583C">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1015" w:type="pct"/>
            <w:vMerge w:val="continue"/>
            <w:noWrap w:val="0"/>
            <w:vAlign w:val="top"/>
          </w:tcPr>
          <w:p w14:paraId="571EF69D">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2689" w:type="pct"/>
            <w:noWrap w:val="0"/>
            <w:vAlign w:val="top"/>
          </w:tcPr>
          <w:p w14:paraId="6464392C">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设备保养不当造成损失。（10分）</w:t>
            </w:r>
          </w:p>
        </w:tc>
        <w:tc>
          <w:tcPr>
            <w:tcW w:w="336" w:type="pct"/>
            <w:noWrap w:val="0"/>
            <w:vAlign w:val="top"/>
          </w:tcPr>
          <w:p w14:paraId="37ABE4B5">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5846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69" w:type="pct"/>
            <w:noWrap w:val="0"/>
            <w:vAlign w:val="center"/>
          </w:tcPr>
          <w:p w14:paraId="6DE39F90">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6</w:t>
            </w:r>
          </w:p>
        </w:tc>
        <w:tc>
          <w:tcPr>
            <w:tcW w:w="589" w:type="pct"/>
            <w:noWrap w:val="0"/>
            <w:vAlign w:val="center"/>
          </w:tcPr>
          <w:p w14:paraId="17899F62">
            <w:pPr>
              <w:keepNext w:val="0"/>
              <w:keepLines w:val="0"/>
              <w:pageBreakBefore w:val="0"/>
              <w:kinsoku/>
              <w:wordWrap/>
              <w:overflowPunct/>
              <w:topLinePunct w:val="0"/>
              <w:bidi w:val="0"/>
              <w:spacing w:line="480" w:lineRule="exact"/>
              <w:jc w:val="both"/>
              <w:textAlignment w:val="auto"/>
              <w:rPr>
                <w:rFonts w:hint="eastAsia" w:ascii="宋体" w:hAnsi="宋体" w:eastAsia="宋体" w:cs="宋体"/>
                <w:b/>
                <w:sz w:val="18"/>
                <w:szCs w:val="18"/>
              </w:rPr>
            </w:pPr>
            <w:r>
              <w:rPr>
                <w:rFonts w:hint="eastAsia" w:ascii="宋体" w:hAnsi="宋体" w:eastAsia="宋体" w:cs="宋体"/>
                <w:b/>
                <w:sz w:val="18"/>
                <w:szCs w:val="18"/>
              </w:rPr>
              <w:t>其他问题   （11分）</w:t>
            </w:r>
          </w:p>
        </w:tc>
        <w:tc>
          <w:tcPr>
            <w:tcW w:w="1015" w:type="pct"/>
            <w:noWrap w:val="0"/>
            <w:vAlign w:val="center"/>
          </w:tcPr>
          <w:p w14:paraId="3E828B77">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配合、协调能力</w:t>
            </w:r>
          </w:p>
        </w:tc>
        <w:tc>
          <w:tcPr>
            <w:tcW w:w="2689" w:type="pct"/>
            <w:noWrap w:val="0"/>
            <w:vAlign w:val="center"/>
          </w:tcPr>
          <w:p w14:paraId="4D1841AC">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p>
        </w:tc>
        <w:tc>
          <w:tcPr>
            <w:tcW w:w="336" w:type="pct"/>
            <w:noWrap w:val="0"/>
            <w:vAlign w:val="center"/>
          </w:tcPr>
          <w:p w14:paraId="08305E5D">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695D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663" w:type="pct"/>
            <w:gridSpan w:val="4"/>
            <w:noWrap w:val="0"/>
            <w:vAlign w:val="top"/>
          </w:tcPr>
          <w:p w14:paraId="5A9B94BC">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sz w:val="18"/>
                <w:szCs w:val="18"/>
              </w:rPr>
            </w:pPr>
            <w:r>
              <w:rPr>
                <w:rFonts w:hint="eastAsia" w:ascii="宋体" w:hAnsi="宋体" w:eastAsia="宋体" w:cs="宋体"/>
                <w:b/>
                <w:sz w:val="18"/>
                <w:szCs w:val="18"/>
              </w:rPr>
              <w:t>合计扣分</w:t>
            </w:r>
          </w:p>
        </w:tc>
        <w:tc>
          <w:tcPr>
            <w:tcW w:w="336" w:type="pct"/>
            <w:noWrap w:val="0"/>
            <w:vAlign w:val="top"/>
          </w:tcPr>
          <w:p w14:paraId="1F40641A">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sz w:val="18"/>
                <w:szCs w:val="18"/>
              </w:rPr>
            </w:pPr>
          </w:p>
        </w:tc>
      </w:tr>
      <w:tr w14:paraId="2932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5000" w:type="pct"/>
            <w:gridSpan w:val="5"/>
            <w:noWrap w:val="0"/>
            <w:vAlign w:val="top"/>
          </w:tcPr>
          <w:p w14:paraId="43A56043">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备注：</w:t>
            </w:r>
          </w:p>
          <w:p w14:paraId="53F58631">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每月对供应商进行一次考核，考核分数≥80分，为合格；考核分数＜80分，为不合格，每年考核不合格次数≥3次，甲方有权终止合同，每年考核不合格次数＜3次，视为年考核合格，方可签署下一年的服务合同</w:t>
            </w:r>
            <w:r>
              <w:rPr>
                <w:rFonts w:hint="eastAsia" w:ascii="宋体" w:hAnsi="宋体" w:eastAsia="宋体" w:cs="宋体"/>
                <w:sz w:val="18"/>
                <w:szCs w:val="18"/>
              </w:rPr>
              <w:t xml:space="preserve">。      </w:t>
            </w:r>
          </w:p>
          <w:p w14:paraId="0FA6F2A1">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rPr>
              <w:t>2、若因维保单位操作不当发生各类安全事故或设备损坏事故，所有责任和经济损失由维保方承担。</w:t>
            </w:r>
          </w:p>
          <w:p w14:paraId="13B262D3">
            <w:pPr>
              <w:keepNext w:val="0"/>
              <w:keepLines w:val="0"/>
              <w:pageBreakBefore w:val="0"/>
              <w:kinsoku/>
              <w:wordWrap/>
              <w:overflowPunct/>
              <w:topLinePunct w:val="0"/>
              <w:bidi w:val="0"/>
              <w:spacing w:line="48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本考核办法需甲乙双方签字生效。</w:t>
            </w:r>
          </w:p>
        </w:tc>
      </w:tr>
    </w:tbl>
    <w:p w14:paraId="5E88C91B">
      <w:pPr>
        <w:spacing w:line="360" w:lineRule="auto"/>
        <w:rPr>
          <w:rFonts w:hint="eastAsia"/>
          <w:color w:val="auto"/>
          <w:lang w:val="en-US" w:eastAsia="zh-CN"/>
        </w:rPr>
      </w:pPr>
      <w:r>
        <w:rPr>
          <w:rFonts w:hint="eastAsia"/>
          <w:color w:val="auto"/>
          <w:lang w:val="en-US" w:eastAsia="zh-CN"/>
        </w:rPr>
        <w:t>附件2</w:t>
      </w:r>
    </w:p>
    <w:p w14:paraId="3D4CC7C6">
      <w:pPr>
        <w:pStyle w:val="40"/>
        <w:jc w:val="center"/>
        <w:rPr>
          <w:rFonts w:hint="eastAsia"/>
        </w:rPr>
      </w:pPr>
      <w:r>
        <w:rPr>
          <w:rFonts w:hint="eastAsia"/>
          <w:lang w:val="en-US" w:eastAsia="zh-CN"/>
        </w:rPr>
        <w:t>安全生产</w:t>
      </w:r>
      <w:r>
        <w:t>管理协议</w:t>
      </w:r>
    </w:p>
    <w:p w14:paraId="6F5E9779">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bCs/>
          <w:color w:val="000000"/>
          <w:kern w:val="0"/>
          <w:sz w:val="28"/>
          <w:szCs w:val="28"/>
        </w:rPr>
        <w:t>项目名称</w:t>
      </w:r>
      <w:r>
        <w:rPr>
          <w:rFonts w:hint="eastAsia" w:ascii="宋体" w:hAnsi="宋体" w:eastAsia="宋体" w:cs="宋体"/>
          <w:color w:val="000000"/>
          <w:kern w:val="0"/>
          <w:sz w:val="28"/>
          <w:szCs w:val="28"/>
        </w:rPr>
        <w:t>：</w:t>
      </w:r>
    </w:p>
    <w:p w14:paraId="2C3D3109">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：金堂县第一人民医院    </w:t>
      </w:r>
    </w:p>
    <w:p w14:paraId="09611138">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承包商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eastAsia="宋体" w:cs="宋体"/>
          <w:color w:val="auto"/>
          <w:sz w:val="28"/>
          <w:szCs w:val="28"/>
          <w:lang w:val="en-US" w:eastAsia="zh-CN"/>
        </w:rPr>
        <w:t xml:space="preserve">XXXXX </w:t>
      </w:r>
    </w:p>
    <w:p w14:paraId="7652E640">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为维护甲乙双方的共同利益，保证服务质量和安全生产，保持良好的工作秩序，根据《中华人民共和国安全生产法》及甲方管理要求，经甲乙双方平等协商，签订本安全协议作为双方合同履约之安全补充，以资共同遵守。</w:t>
      </w:r>
    </w:p>
    <w:p w14:paraId="7F9B2BEF">
      <w:pPr>
        <w:pStyle w:val="18"/>
        <w:keepNext w:val="0"/>
        <w:keepLines w:val="0"/>
        <w:pageBreakBefore w:val="0"/>
        <w:numPr>
          <w:ilvl w:val="0"/>
          <w:numId w:val="7"/>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甲方安全管理责任</w:t>
      </w:r>
    </w:p>
    <w:p w14:paraId="545142DF">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甲方权利如下：</w:t>
      </w:r>
    </w:p>
    <w:p w14:paraId="7F71796F">
      <w:pPr>
        <w:pStyle w:val="18"/>
        <w:keepNext w:val="0"/>
        <w:keepLines w:val="0"/>
        <w:pageBreakBefore w:val="0"/>
        <w:widowControl/>
        <w:numPr>
          <w:ilvl w:val="0"/>
          <w:numId w:val="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有权要求承包商配备安全管理机构或人员，执行安全生产法规、标准，遵守安全生产规章制度及安全操作规程，控制危险源，熟练掌握事故防范措施和事故应急预案等。</w:t>
      </w:r>
    </w:p>
    <w:p w14:paraId="7B63F119">
      <w:pPr>
        <w:pStyle w:val="18"/>
        <w:keepNext w:val="0"/>
        <w:keepLines w:val="0"/>
        <w:pageBreakBefore w:val="0"/>
        <w:widowControl/>
        <w:numPr>
          <w:ilvl w:val="0"/>
          <w:numId w:val="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有权要求承包商贯彻执行安全生产责任制，并对其履行情况进行监督。</w:t>
      </w:r>
    </w:p>
    <w:p w14:paraId="227FEE87">
      <w:pPr>
        <w:pStyle w:val="18"/>
        <w:keepNext w:val="0"/>
        <w:keepLines w:val="0"/>
        <w:pageBreakBefore w:val="0"/>
        <w:widowControl/>
        <w:numPr>
          <w:ilvl w:val="0"/>
          <w:numId w:val="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有权要求承包商按规定维护相关的生产设施设备并使设施设备处于良好的工作状态。</w:t>
      </w:r>
    </w:p>
    <w:p w14:paraId="6CF18A03">
      <w:pPr>
        <w:pStyle w:val="18"/>
        <w:keepNext w:val="0"/>
        <w:keepLines w:val="0"/>
        <w:pageBreakBefore w:val="0"/>
        <w:widowControl/>
        <w:numPr>
          <w:ilvl w:val="0"/>
          <w:numId w:val="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有权对承包商施工作业的安全管理情况进行监督检查。</w:t>
      </w:r>
    </w:p>
    <w:p w14:paraId="6612181F">
      <w:pPr>
        <w:pStyle w:val="18"/>
        <w:keepNext w:val="0"/>
        <w:keepLines w:val="0"/>
        <w:pageBreakBefore w:val="0"/>
        <w:widowControl/>
        <w:numPr>
          <w:ilvl w:val="0"/>
          <w:numId w:val="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发生事故后，有权参与事故的调查并按照合同约定进行扣款。</w:t>
      </w:r>
    </w:p>
    <w:p w14:paraId="40158DD5">
      <w:pPr>
        <w:pStyle w:val="18"/>
        <w:keepNext w:val="0"/>
        <w:keepLines w:val="0"/>
        <w:pageBreakBefore w:val="0"/>
        <w:widowControl/>
        <w:numPr>
          <w:ilvl w:val="0"/>
          <w:numId w:val="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有权对承包商进行安全业绩及资质检查。</w:t>
      </w:r>
    </w:p>
    <w:p w14:paraId="05CB633C">
      <w:pPr>
        <w:pStyle w:val="18"/>
        <w:keepNext w:val="0"/>
        <w:keepLines w:val="0"/>
        <w:pageBreakBefore w:val="0"/>
        <w:widowControl/>
        <w:numPr>
          <w:ilvl w:val="0"/>
          <w:numId w:val="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有权根据承包项目危险性的不同，要求承包商制定专门的安全技术管理方案并对其进行审查。</w:t>
      </w:r>
    </w:p>
    <w:p w14:paraId="6F146E3B">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二、甲方义务如下：</w:t>
      </w:r>
    </w:p>
    <w:p w14:paraId="7E5E2596">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向承包商提供合同中规定的安全条件。</w:t>
      </w:r>
    </w:p>
    <w:p w14:paraId="75AA5E54">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发生事故后，积极组织抢险救援，防止事故扩大。</w:t>
      </w:r>
    </w:p>
    <w:p w14:paraId="2B198797">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应承包商要求，向承包商提供相关的安全资料。</w:t>
      </w:r>
    </w:p>
    <w:p w14:paraId="12BBFBCE">
      <w:pPr>
        <w:pStyle w:val="18"/>
        <w:keepNext w:val="0"/>
        <w:keepLines w:val="0"/>
        <w:pageBreakBefore w:val="0"/>
        <w:widowControl/>
        <w:numPr>
          <w:ilvl w:val="0"/>
          <w:numId w:val="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sz w:val="28"/>
          <w:szCs w:val="28"/>
        </w:rPr>
      </w:pPr>
      <w:r>
        <w:rPr>
          <w:rFonts w:hint="eastAsia" w:ascii="宋体" w:hAnsi="宋体" w:eastAsia="宋体" w:cs="宋体"/>
          <w:sz w:val="28"/>
          <w:szCs w:val="28"/>
        </w:rPr>
        <w:t>其他根据相关规定要求应尽的义务。</w:t>
      </w:r>
    </w:p>
    <w:p w14:paraId="446028FA">
      <w:pPr>
        <w:pStyle w:val="18"/>
        <w:keepNext w:val="0"/>
        <w:keepLines w:val="0"/>
        <w:pageBreakBefore w:val="0"/>
        <w:numPr>
          <w:ilvl w:val="0"/>
          <w:numId w:val="7"/>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乙方安全管理责任</w:t>
      </w:r>
    </w:p>
    <w:p w14:paraId="70F7761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乙方权利如下：</w:t>
      </w:r>
    </w:p>
    <w:p w14:paraId="7A208FC0">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有权对甲方的安全工作提出建议，对甲方违章指挥、强令冒险作业，有权拒绝执行。</w:t>
      </w:r>
    </w:p>
    <w:p w14:paraId="79EE9F83">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对属于甲方的作业场所，有权按规定要求甲方提供符合安全施工作业的条件和环境。</w:t>
      </w:r>
    </w:p>
    <w:p w14:paraId="70E1FAEB">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出现严重危及生命安全的紧急情况时，有权采取合理必要的避险措施。</w:t>
      </w:r>
    </w:p>
    <w:p w14:paraId="5D3B7E26">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有权要求甲方提供相关的安全资料。</w:t>
      </w:r>
    </w:p>
    <w:p w14:paraId="22BF815C">
      <w:pPr>
        <w:pStyle w:val="18"/>
        <w:keepNext w:val="0"/>
        <w:keepLines w:val="0"/>
        <w:pageBreakBefore w:val="0"/>
        <w:widowControl/>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乙方义务如下：</w:t>
      </w:r>
    </w:p>
    <w:p w14:paraId="00DB2FE5">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应建立健全安全管理机构，配备专职或兼职安全管理人员，建立安全生产责任制，制定各项安全规章制度，并满足甲方最低安全管理要求。</w:t>
      </w:r>
    </w:p>
    <w:p w14:paraId="1A06939E">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对重点施工或危险作业项目（包括但不限于动火作业、临时用电作业、高处作业、有限空间作业等）制定安全技术管理方案，报甲方审批。</w:t>
      </w:r>
    </w:p>
    <w:p w14:paraId="54C734D9">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组织安全检查，采取有效措施消除安全隐患，重大隐患应及时通报甲方。</w:t>
      </w:r>
    </w:p>
    <w:p w14:paraId="20A54C43">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应对作业人员进行安全教育和培训，使其具备相应安全意识和技能。从事特种作业的人员必须通过专业培训并获得特种作业资格证书。</w:t>
      </w:r>
    </w:p>
    <w:p w14:paraId="49DE3B68">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sz w:val="28"/>
          <w:szCs w:val="28"/>
        </w:rPr>
      </w:pPr>
      <w:r>
        <w:rPr>
          <w:rFonts w:hint="eastAsia" w:ascii="宋体" w:hAnsi="宋体" w:eastAsia="宋体" w:cs="宋体"/>
          <w:sz w:val="28"/>
          <w:szCs w:val="28"/>
        </w:rPr>
        <w:t>应向工作人员提供相应合格的劳保用品，</w:t>
      </w:r>
      <w:r>
        <w:rPr>
          <w:rFonts w:hint="eastAsia" w:cs="宋体"/>
          <w:sz w:val="28"/>
          <w:szCs w:val="28"/>
          <w:lang w:eastAsia="zh-CN"/>
        </w:rPr>
        <w:t>并</w:t>
      </w:r>
      <w:r>
        <w:rPr>
          <w:rFonts w:hint="eastAsia" w:ascii="宋体" w:hAnsi="宋体" w:eastAsia="宋体" w:cs="宋体"/>
          <w:sz w:val="28"/>
          <w:szCs w:val="28"/>
        </w:rPr>
        <w:t>确保其正确使用。不得使用不符合甲方要求或国家、行业标准的材料、设备、装置、防护用品、安全</w:t>
      </w:r>
      <w:r>
        <w:rPr>
          <w:rFonts w:hint="eastAsia" w:ascii="宋体" w:hAnsi="宋体" w:eastAsia="宋体" w:cs="宋体"/>
          <w:sz w:val="28"/>
          <w:szCs w:val="28"/>
          <w:lang w:eastAsia="zh-CN"/>
        </w:rPr>
        <w:t>检验</w:t>
      </w:r>
      <w:r>
        <w:rPr>
          <w:rFonts w:hint="eastAsia" w:ascii="宋体" w:hAnsi="宋体" w:eastAsia="宋体" w:cs="宋体"/>
          <w:sz w:val="28"/>
          <w:szCs w:val="28"/>
        </w:rPr>
        <w:t>仪器等物品。</w:t>
      </w:r>
    </w:p>
    <w:p w14:paraId="1FE2BA84">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应在项目安全管理计划中明确对甲方利益的维护。</w:t>
      </w:r>
    </w:p>
    <w:p w14:paraId="4FA36D83">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应雇佣身心健康的人员执行承包服务合同。</w:t>
      </w:r>
    </w:p>
    <w:p w14:paraId="2816580A">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两个及以上在甲方同一区域内作业的承包商，可能影响对方生产安全时，应当签订安全生产管理协议，明确各自的安全生产管理职责和应当采取的安全措施，并报甲方备案。</w:t>
      </w:r>
    </w:p>
    <w:p w14:paraId="75CE3CC2">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其他根据相关规定要求应尽的义务。</w:t>
      </w:r>
    </w:p>
    <w:p w14:paraId="4384D945">
      <w:pPr>
        <w:pStyle w:val="18"/>
        <w:keepNext w:val="0"/>
        <w:keepLines w:val="0"/>
        <w:pageBreakBefore w:val="0"/>
        <w:numPr>
          <w:ilvl w:val="0"/>
          <w:numId w:val="7"/>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事故处理</w:t>
      </w:r>
    </w:p>
    <w:p w14:paraId="343FCF29">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甲方负有对承包商的安全管理进行监督检查的责任，但这并不影响和减轻承包商应负的责任。</w:t>
      </w:r>
    </w:p>
    <w:p w14:paraId="3A1BF580">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承包商应事先掌握项目的所有安全风险，（并在合同报价中单列安全费用），甲方不再对此类风险控制费用和时间进行任何补偿。</w:t>
      </w:r>
    </w:p>
    <w:p w14:paraId="4F262096">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发生事故或险情时，甲方与承包商都有抢险救灾的义务，所发生的费用由责任方承担。</w:t>
      </w:r>
    </w:p>
    <w:p w14:paraId="3726DB0E">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事故调查依照法律法规进行，事故调查后应明确责任。</w:t>
      </w:r>
    </w:p>
    <w:p w14:paraId="31EF7786">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或承包商违反合同要求，未造成事故时，依据合同约定进行赔偿。由甲方造成的事故，甲方承担全部责任，并按合同约定赔偿损失；由承包商造成的事故，承包商承担全部责任，并按合同约定赔偿损失；合同双方共同违约造成的事故，按双方责任大小承担相应责任，并按照合同约定支付违约金；由于不可抗力造成合同项目发生事故及损失，甲方及承包商各自承担相应的损失。</w:t>
      </w:r>
    </w:p>
    <w:p w14:paraId="00C107AE">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承包商发生事故后弄虚作假、隐瞒不报、迟报或</w:t>
      </w:r>
      <w:r>
        <w:rPr>
          <w:rFonts w:hint="eastAsia" w:cs="宋体"/>
          <w:sz w:val="28"/>
          <w:szCs w:val="28"/>
          <w:lang w:eastAsia="zh-CN"/>
        </w:rPr>
        <w:t>谎报</w:t>
      </w:r>
      <w:r>
        <w:rPr>
          <w:rFonts w:hint="eastAsia" w:ascii="宋体" w:hAnsi="宋体" w:eastAsia="宋体" w:cs="宋体"/>
          <w:sz w:val="28"/>
          <w:szCs w:val="28"/>
        </w:rPr>
        <w:t>，甲方将按本附约中的违约细则条款对其进行扣款。</w:t>
      </w:r>
    </w:p>
    <w:p w14:paraId="5294D870">
      <w:pPr>
        <w:pStyle w:val="18"/>
        <w:keepNext w:val="0"/>
        <w:keepLines w:val="0"/>
        <w:pageBreakBefore w:val="0"/>
        <w:widowControl/>
        <w:numPr>
          <w:ilvl w:val="0"/>
          <w:numId w:val="7"/>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汇报</w:t>
      </w:r>
    </w:p>
    <w:p w14:paraId="697D829F">
      <w:pPr>
        <w:pStyle w:val="18"/>
        <w:keepNext w:val="0"/>
        <w:keepLines w:val="0"/>
        <w:pageBreakBefore w:val="0"/>
        <w:widowControl/>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承包商应按月或更短的间隔期向甲方提交正式报告。该报告应概括承包商在报告期内的安全管理情况，包括但不限于以下内容：</w:t>
      </w:r>
    </w:p>
    <w:p w14:paraId="2D49EC86">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——安全管理目标的实现情况和日常工作的实施情况；</w:t>
      </w:r>
    </w:p>
    <w:p w14:paraId="18210F4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——所有会造成潜在的、重大伤害的、对设备财产造成损失的、或其他应该向甲方报告的事故；</w:t>
      </w:r>
    </w:p>
    <w:p w14:paraId="509FD07F">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——所有未遂的但具有潜在伤害、损失的事故； </w:t>
      </w:r>
    </w:p>
    <w:p w14:paraId="0441755E">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——改进措施、禁令发布及法律诉讼通告等； </w:t>
      </w:r>
    </w:p>
    <w:p w14:paraId="01079A6B">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cs="宋体"/>
          <w:sz w:val="28"/>
          <w:szCs w:val="28"/>
          <w:lang w:eastAsia="zh-CN"/>
        </w:rPr>
        <w:t>其他</w:t>
      </w:r>
      <w:r>
        <w:rPr>
          <w:rFonts w:hint="eastAsia" w:ascii="宋体" w:hAnsi="宋体" w:eastAsia="宋体" w:cs="宋体"/>
          <w:sz w:val="28"/>
          <w:szCs w:val="28"/>
        </w:rPr>
        <w:t>须向甲方汇报的事项。</w:t>
      </w:r>
    </w:p>
    <w:p w14:paraId="286F9965">
      <w:pPr>
        <w:pStyle w:val="18"/>
        <w:keepNext w:val="0"/>
        <w:keepLines w:val="0"/>
        <w:pageBreakBefore w:val="0"/>
        <w:widowControl/>
        <w:numPr>
          <w:ilvl w:val="0"/>
          <w:numId w:val="7"/>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个人防护</w:t>
      </w:r>
    </w:p>
    <w:p w14:paraId="1C4DF45A">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承包商应根据工作中的风险为工作人员提供合适的个人防护用品，并应认识到这是最后的安全措施，任何详细的工作计划、措施和管理均不能取而代之。</w:t>
      </w:r>
    </w:p>
    <w:p w14:paraId="592077F4">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在所有施工场地，现场所有人员都至少应穿戴安全帽、工作服。</w:t>
      </w:r>
    </w:p>
    <w:p w14:paraId="7065CD0C">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因实际作业风险的需要或甲方对部分区域和作业有具体要求时，承包商应为员工提供相应的劳保用品。</w:t>
      </w:r>
    </w:p>
    <w:p w14:paraId="2DDF6B09">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承包商应根据对风险的评估确定实际需要的个人防护用品，而不能只满足最低的个人防护用品要求。</w:t>
      </w:r>
    </w:p>
    <w:p w14:paraId="07141A9D">
      <w:pPr>
        <w:pStyle w:val="18"/>
        <w:keepNext w:val="0"/>
        <w:keepLines w:val="0"/>
        <w:pageBreakBefore w:val="0"/>
        <w:widowControl/>
        <w:numPr>
          <w:ilvl w:val="0"/>
          <w:numId w:val="7"/>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工作环境</w:t>
      </w:r>
    </w:p>
    <w:p w14:paraId="3AB2BD49">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承包商应督促所有人员保持施工现场的清洁和整齐，将人员受伤、设备受损的风险减至最小。</w:t>
      </w:r>
    </w:p>
    <w:p w14:paraId="16A08848">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承包商应与当地周边单位和个人和平共处，若有任何冲突、矛盾或对个人财产的破坏应立即上报和处理。</w:t>
      </w:r>
    </w:p>
    <w:p w14:paraId="04AE0313">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承包商应报告包括盗窃在内的一切治安事件。</w:t>
      </w:r>
    </w:p>
    <w:p w14:paraId="543B9DB0">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承包商应确保任何来访者进入施工现场前接受安全教育，使其了解施工场地的安全要求，并有人全程现场陪同。</w:t>
      </w:r>
    </w:p>
    <w:p w14:paraId="43019D48">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承包商应禁止一切与工作或业务无关人员进入施工现场。</w:t>
      </w:r>
    </w:p>
    <w:p w14:paraId="6BA1A610">
      <w:pPr>
        <w:pStyle w:val="18"/>
        <w:keepNext w:val="0"/>
        <w:keepLines w:val="0"/>
        <w:pageBreakBefore w:val="0"/>
        <w:widowControl/>
        <w:numPr>
          <w:ilvl w:val="0"/>
          <w:numId w:val="7"/>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设备、设施安全</w:t>
      </w:r>
    </w:p>
    <w:p w14:paraId="71E5446A">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 xml:space="preserve">承包商应确保所提供的设备都处于完好安全的状态，特种设备应在检验合格有效期内使用。一旦甲方要求，承包商应随时提供设备的检查记录，维修保养记录、检验档案等。 </w:t>
      </w:r>
    </w:p>
    <w:p w14:paraId="1DC939C8">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承包商应制定所有设备的安全操作规程，并确保所有的人员都按安全操作规程进行操作。</w:t>
      </w:r>
    </w:p>
    <w:p w14:paraId="3C5282FD">
      <w:pPr>
        <w:pStyle w:val="18"/>
        <w:keepNext w:val="0"/>
        <w:keepLines w:val="0"/>
        <w:pageBreakBefore w:val="0"/>
        <w:widowControl/>
        <w:numPr>
          <w:ilvl w:val="0"/>
          <w:numId w:val="7"/>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环保要求</w:t>
      </w:r>
    </w:p>
    <w:p w14:paraId="594A9FDF">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承包商应遵守有关废弃物生产、运输、储存和处理等方面的所有法律法规</w:t>
      </w:r>
      <w:r>
        <w:rPr>
          <w:rFonts w:hint="eastAsia" w:cs="宋体"/>
          <w:sz w:val="28"/>
          <w:szCs w:val="28"/>
          <w:lang w:eastAsia="zh-CN"/>
        </w:rPr>
        <w:t>，</w:t>
      </w:r>
      <w:r>
        <w:rPr>
          <w:rFonts w:hint="eastAsia" w:ascii="宋体" w:hAnsi="宋体" w:eastAsia="宋体" w:cs="宋体"/>
          <w:sz w:val="28"/>
          <w:szCs w:val="28"/>
        </w:rPr>
        <w:t>使其数量最小化。</w:t>
      </w:r>
    </w:p>
    <w:p w14:paraId="207A9C66">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承包商应在施工场地设立固定垃圾存放点，保持施工场地的环境卫生，做到文明施工。</w:t>
      </w:r>
    </w:p>
    <w:p w14:paraId="3F41580B">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承包商应确保所有参加施工的机械设施和设备均符合国家和地方环保政策和法规标准的要求。</w:t>
      </w:r>
    </w:p>
    <w:p w14:paraId="06502E40">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承包商应具备突发环境事故应急程序以及相应的应急设备和物资。</w:t>
      </w:r>
    </w:p>
    <w:p w14:paraId="08CEB330">
      <w:pPr>
        <w:pStyle w:val="18"/>
        <w:keepNext w:val="0"/>
        <w:keepLines w:val="0"/>
        <w:pageBreakBefore w:val="0"/>
        <w:widowControl/>
        <w:numPr>
          <w:ilvl w:val="0"/>
          <w:numId w:val="7"/>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违约细则</w:t>
      </w:r>
    </w:p>
    <w:p w14:paraId="3D55611B">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进入施工现场后必须履行自身的安全职责、严格遵守本附约各条款及甲方针对本项目制定的各项管理制度。甲方将随机对承包商的安全表现进行检查，对违章行为以及管理缺陷进行扣款，扣款金额从工程款中直接扣除。</w:t>
      </w:r>
    </w:p>
    <w:p w14:paraId="23E6AB8A">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甲方有权要求承包商撤换任何严重违规的人员，承包商应在甲方要求的期限内撤换。</w:t>
      </w:r>
    </w:p>
    <w:p w14:paraId="7B36F9B4">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严重违规或者现场存在重大隐患时，甲方可要求承包商停工，直至其满足甲方最低安全管理要求，并提出申请，经甲方批准后，方可复工。因承包商的工作失误导致甲方要求承包商停工而造成的损失由承包商承担。</w:t>
      </w:r>
    </w:p>
    <w:p w14:paraId="1B74B777">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承包商责任事故扣款标准：</w:t>
      </w:r>
    </w:p>
    <w:p w14:paraId="333966D7">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上述扣款，直接从承包商工程款中扣除，工程余款不足的，甲方有权追偿。</w:t>
      </w:r>
    </w:p>
    <w:p w14:paraId="7899B3FC">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承包商在开工后一周内即发生安全事故的，则该承包商将被认为是极度不安全作业的，甲方即可单方面终止与该承包商的工程合同，由此造成的损失，由承包商负责赔偿。</w:t>
      </w:r>
    </w:p>
    <w:p w14:paraId="7BE99F96">
      <w:pPr>
        <w:pStyle w:val="18"/>
        <w:keepNext w:val="0"/>
        <w:keepLines w:val="0"/>
        <w:pageBreakBefore w:val="0"/>
        <w:numPr>
          <w:ilvl w:val="0"/>
          <w:numId w:val="0"/>
        </w:numPr>
        <w:kinsoku/>
        <w:wordWrap/>
        <w:topLinePunct w:val="0"/>
        <w:autoSpaceDE/>
        <w:autoSpaceDN/>
        <w:bidi w:val="0"/>
        <w:adjustRightInd/>
        <w:snapToGrid/>
        <w:spacing w:line="570" w:lineRule="exact"/>
        <w:ind w:left="0" w:leftChars="0" w:firstLine="0" w:firstLineChars="0"/>
        <w:textAlignment w:val="auto"/>
        <w:rPr>
          <w:rFonts w:hint="eastAsia" w:ascii="宋体" w:hAnsi="宋体" w:eastAsia="宋体" w:cs="宋体"/>
          <w:b/>
          <w:sz w:val="28"/>
          <w:szCs w:val="28"/>
        </w:rPr>
      </w:pPr>
      <w:r>
        <w:rPr>
          <w:rFonts w:hint="eastAsia" w:ascii="宋体" w:hAnsi="宋体" w:eastAsia="宋体" w:cs="宋体"/>
          <w:b/>
          <w:sz w:val="28"/>
          <w:szCs w:val="28"/>
        </w:rPr>
        <w:t>第十条</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协议有效时间</w:t>
      </w:r>
    </w:p>
    <w:p w14:paraId="20BC94EC">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本协议自签订之日起至服务合同期满前有效。</w:t>
      </w:r>
    </w:p>
    <w:p w14:paraId="446090C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一</w:t>
      </w:r>
      <w:r>
        <w:rPr>
          <w:rFonts w:hint="eastAsia" w:ascii="宋体" w:hAnsi="宋体" w:eastAsia="宋体" w:cs="宋体"/>
          <w:b/>
          <w:sz w:val="28"/>
          <w:szCs w:val="28"/>
        </w:rPr>
        <w:t>条</w:t>
      </w:r>
    </w:p>
    <w:p w14:paraId="46B641AD">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cs="宋体"/>
          <w:sz w:val="28"/>
          <w:szCs w:val="28"/>
          <w:lang w:eastAsia="zh-CN"/>
        </w:rPr>
        <w:t>其他</w:t>
      </w:r>
      <w:r>
        <w:rPr>
          <w:rFonts w:hint="eastAsia" w:ascii="宋体" w:hAnsi="宋体" w:eastAsia="宋体" w:cs="宋体"/>
          <w:sz w:val="28"/>
          <w:szCs w:val="28"/>
        </w:rPr>
        <w:t>未尽事宜由甲乙双方协商解决。</w:t>
      </w:r>
    </w:p>
    <w:p w14:paraId="7761D2CE">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二</w:t>
      </w:r>
      <w:r>
        <w:rPr>
          <w:rFonts w:hint="eastAsia" w:ascii="宋体" w:hAnsi="宋体" w:eastAsia="宋体" w:cs="宋体"/>
          <w:b/>
          <w:sz w:val="28"/>
          <w:szCs w:val="28"/>
        </w:rPr>
        <w:t>条</w:t>
      </w:r>
    </w:p>
    <w:p w14:paraId="09AA5DCA">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本协议履行过程中的纠纷解决方式参照服务合同约定。</w:t>
      </w:r>
    </w:p>
    <w:p w14:paraId="77DB7949">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三</w:t>
      </w:r>
      <w:r>
        <w:rPr>
          <w:rFonts w:hint="eastAsia" w:ascii="宋体" w:hAnsi="宋体" w:eastAsia="宋体" w:cs="宋体"/>
          <w:b/>
          <w:sz w:val="28"/>
          <w:szCs w:val="28"/>
        </w:rPr>
        <w:t>条</w:t>
      </w:r>
    </w:p>
    <w:p w14:paraId="650E4C38">
      <w:pPr>
        <w:pStyle w:val="169"/>
        <w:spacing w:line="360" w:lineRule="auto"/>
        <w:rPr>
          <w:rFonts w:hint="eastAsia" w:ascii="宋体" w:hAnsi="宋体" w:eastAsia="宋体" w:cs="宋体"/>
          <w:spacing w:val="-6"/>
          <w:kern w:val="0"/>
          <w:sz w:val="28"/>
          <w:szCs w:val="28"/>
          <w:lang w:val="en-US" w:eastAsia="zh-CN" w:bidi="ar"/>
        </w:rPr>
      </w:pPr>
      <w:r>
        <w:rPr>
          <w:rFonts w:hint="eastAsia" w:ascii="宋体" w:hAnsi="宋体" w:eastAsia="宋体" w:cs="宋体"/>
          <w:spacing w:val="-6"/>
          <w:kern w:val="0"/>
          <w:sz w:val="28"/>
          <w:szCs w:val="28"/>
          <w:lang w:val="en-US" w:eastAsia="zh-CN" w:bidi="ar"/>
        </w:rPr>
        <w:t>本协议</w:t>
      </w:r>
      <w:r>
        <w:rPr>
          <w:rFonts w:hint="eastAsia" w:ascii="宋体" w:hAnsi="宋体" w:eastAsia="宋体" w:cs="宋体"/>
          <w:color w:val="auto"/>
          <w:sz w:val="28"/>
          <w:szCs w:val="28"/>
          <w:lang w:val="en-US" w:eastAsia="zh-CN" w:bidi="ar-SA"/>
        </w:rPr>
        <w:t>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tbl>
      <w:tblPr>
        <w:tblStyle w:val="45"/>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00B8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3623066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7311EF2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52698C0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4A1C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2559A2B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1FBDB7B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219A0F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099F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609970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5622574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43FD973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72BF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E21F674">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3D71097D">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283C8A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3BDDACB5">
      <w:pPr>
        <w:spacing w:line="360" w:lineRule="auto"/>
        <w:rPr>
          <w:rFonts w:hint="default"/>
          <w:color w:val="auto"/>
          <w:lang w:val="en-US" w:eastAsia="zh-CN"/>
        </w:rPr>
      </w:pPr>
    </w:p>
    <w:sectPr>
      <w:headerReference r:id="rId9" w:type="default"/>
      <w:footerReference r:id="rId10"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BC32F0-CC0D-4AE5-A423-74C825F31391}"/>
  </w:font>
  <w:font w:name="黑体">
    <w:panose1 w:val="02010609060101010101"/>
    <w:charset w:val="86"/>
    <w:family w:val="auto"/>
    <w:pitch w:val="default"/>
    <w:sig w:usb0="800002BF" w:usb1="38CF7CFA" w:usb2="00000016" w:usb3="00000000" w:csb0="00040001" w:csb1="00000000"/>
    <w:embedRegular r:id="rId2" w:fontKey="{16FF9D48-FE4C-4876-A139-088FD1B9F252}"/>
  </w:font>
  <w:font w:name="Courier New">
    <w:panose1 w:val="02070309020205020404"/>
    <w:charset w:val="01"/>
    <w:family w:val="modern"/>
    <w:pitch w:val="default"/>
    <w:sig w:usb0="E0002EFF" w:usb1="C0007843" w:usb2="00000009" w:usb3="00000000" w:csb0="400001FF" w:csb1="FFFF0000"/>
    <w:embedRegular r:id="rId3" w:fontKey="{E9D7D2CB-B899-47ED-856C-4C93C6B8347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4" w:fontKey="{42C65B5B-F29B-4ABC-9240-DD10DD4A541A}"/>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5" w:fontKey="{A4288A78-4DDE-41AE-8586-7A3EF919875C}"/>
  </w:font>
  <w:font w:name="华文中宋">
    <w:panose1 w:val="02010600040101010101"/>
    <w:charset w:val="86"/>
    <w:family w:val="auto"/>
    <w:pitch w:val="default"/>
    <w:sig w:usb0="00000287" w:usb1="080F0000" w:usb2="00000000" w:usb3="00000000" w:csb0="0004009F" w:csb1="DFD70000"/>
    <w:embedRegular r:id="rId6" w:fontKey="{C5D43AFB-5CA6-4D0D-A6FB-65EB6A6D7790}"/>
  </w:font>
  <w:font w:name="仿宋">
    <w:panose1 w:val="02010609060101010101"/>
    <w:charset w:val="86"/>
    <w:family w:val="auto"/>
    <w:pitch w:val="default"/>
    <w:sig w:usb0="800002BF" w:usb1="38CF7CFA" w:usb2="00000016" w:usb3="00000000" w:csb0="00040001" w:csb1="00000000"/>
    <w:embedRegular r:id="rId7" w:fontKey="{FAF6B7DD-45AC-40ED-A468-E83CA16B7309}"/>
  </w:font>
  <w:font w:name="方正小标宋_GBK">
    <w:panose1 w:val="02000000000000000000"/>
    <w:charset w:val="86"/>
    <w:family w:val="auto"/>
    <w:pitch w:val="default"/>
    <w:sig w:usb0="A00002BF" w:usb1="38CF7CFA" w:usb2="00082016" w:usb3="00000000" w:csb0="00040001" w:csb1="00000000"/>
    <w:embedRegular r:id="rId8" w:fontKey="{C900A5DD-BEE5-4D01-997B-446489852B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527C2">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C3AC">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E1DF">
    <w:pPr>
      <w:pStyle w:val="28"/>
      <w:framePr w:wrap="around" w:vAnchor="text" w:hAnchor="margin" w:xAlign="right" w:y="1"/>
      <w:rPr>
        <w:rStyle w:val="48"/>
      </w:rPr>
    </w:pPr>
    <w:r>
      <w:fldChar w:fldCharType="begin"/>
    </w:r>
    <w:r>
      <w:rPr>
        <w:rStyle w:val="48"/>
      </w:rPr>
      <w:instrText xml:space="preserve">PAGE  </w:instrText>
    </w:r>
    <w:r>
      <w:fldChar w:fldCharType="end"/>
    </w:r>
  </w:p>
  <w:p w14:paraId="006F7A9C">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34F4">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B598695">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Pxx7E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EPxx7EPAgAAEQQAAA4AAAAAAAAAAQAgAAAA&#10;HwEAAGRycy9lMm9Eb2MueG1sUEsFBgAAAAAGAAYAWQEAAKAFAAAAAA==&#10;">
              <v:fill on="f" focussize="0,0"/>
              <v:stroke on="f"/>
              <v:imagedata o:title=""/>
              <o:lock v:ext="edit" aspectratio="f"/>
              <v:textbox inset="0mm,0mm,0mm,0mm" style="mso-fit-shape-to-text:t;">
                <w:txbxContent>
                  <w:p w14:paraId="5B598695">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DD0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0BDD">
    <w:pPr>
      <w:pStyle w:val="188"/>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4445" r="0" b="508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34"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aGXTAAAABgEAAA8AAAAAAAAA&#10;AQAgAAAAIgAAAGRycy9kb3ducmV2LnhtbFBLAQIUABQAAAAIAIdO4kABkvF43QEAALADAAAOAAAA&#10;AAAAAAEAIAAAACIBAABkcnMvZTJvRG9jLnhtbFBLBQYAAAAABgAGAFkBAABx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5B87"/>
  <w:p w14:paraId="3FC7EA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EB49">
    <w:pPr>
      <w:pStyle w:val="29"/>
      <w:pBdr>
        <w:bottom w:val="none" w:color="auto" w:sz="0" w:space="1"/>
      </w:pBdr>
    </w:pPr>
    <w:r>
      <w:rPr>
        <w:rFonts w:hint="eastAsia" w:eastAsia="宋体"/>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9BB19"/>
    <w:multiLevelType w:val="singleLevel"/>
    <w:tmpl w:val="9999BB19"/>
    <w:lvl w:ilvl="0" w:tentative="0">
      <w:start w:val="1"/>
      <w:numFmt w:val="chineseCounting"/>
      <w:suff w:val="nothing"/>
      <w:lvlText w:val="%1、"/>
      <w:lvlJc w:val="left"/>
      <w:rPr>
        <w:rFonts w:hint="eastAsia"/>
      </w:rPr>
    </w:lvl>
  </w:abstractNum>
  <w:abstractNum w:abstractNumId="1">
    <w:nsid w:val="A47C630C"/>
    <w:multiLevelType w:val="singleLevel"/>
    <w:tmpl w:val="A47C630C"/>
    <w:lvl w:ilvl="0" w:tentative="0">
      <w:start w:val="1"/>
      <w:numFmt w:val="decimal"/>
      <w:suff w:val="nothing"/>
      <w:lvlText w:val="%1．"/>
      <w:lvlJc w:val="left"/>
      <w:pPr>
        <w:ind w:left="0" w:firstLine="616"/>
      </w:pPr>
      <w:rPr>
        <w:rFonts w:hint="default"/>
      </w:rPr>
    </w:lvl>
  </w:abstractNum>
  <w:abstractNum w:abstractNumId="2">
    <w:nsid w:val="C25D9DE3"/>
    <w:multiLevelType w:val="singleLevel"/>
    <w:tmpl w:val="C25D9DE3"/>
    <w:lvl w:ilvl="0" w:tentative="0">
      <w:start w:val="1"/>
      <w:numFmt w:val="decimal"/>
      <w:suff w:val="nothing"/>
      <w:lvlText w:val="%1．"/>
      <w:lvlJc w:val="left"/>
      <w:pPr>
        <w:ind w:left="0" w:firstLine="616"/>
      </w:pPr>
      <w:rPr>
        <w:rFonts w:hint="default"/>
      </w:rPr>
    </w:lvl>
  </w:abstractNum>
  <w:abstractNum w:abstractNumId="3">
    <w:nsid w:val="CAB869A5"/>
    <w:multiLevelType w:val="singleLevel"/>
    <w:tmpl w:val="CAB869A5"/>
    <w:lvl w:ilvl="0" w:tentative="0">
      <w:start w:val="1"/>
      <w:numFmt w:val="decimal"/>
      <w:suff w:val="nothing"/>
      <w:lvlText w:val="%1．"/>
      <w:lvlJc w:val="left"/>
      <w:pPr>
        <w:ind w:left="0" w:firstLine="616"/>
      </w:pPr>
      <w:rPr>
        <w:rFonts w:hint="default"/>
      </w:rPr>
    </w:lvl>
  </w:abstractNum>
  <w:abstractNum w:abstractNumId="4">
    <w:nsid w:val="CBA0D297"/>
    <w:multiLevelType w:val="singleLevel"/>
    <w:tmpl w:val="CBA0D297"/>
    <w:lvl w:ilvl="0" w:tentative="0">
      <w:start w:val="1"/>
      <w:numFmt w:val="decimal"/>
      <w:suff w:val="nothing"/>
      <w:lvlText w:val="%1．"/>
      <w:lvlJc w:val="left"/>
      <w:pPr>
        <w:ind w:left="0" w:firstLine="616"/>
      </w:pPr>
      <w:rPr>
        <w:rFonts w:hint="default"/>
      </w:rPr>
    </w:lvl>
  </w:abstractNum>
  <w:abstractNum w:abstractNumId="5">
    <w:nsid w:val="D0810289"/>
    <w:multiLevelType w:val="singleLevel"/>
    <w:tmpl w:val="D0810289"/>
    <w:lvl w:ilvl="0" w:tentative="0">
      <w:start w:val="1"/>
      <w:numFmt w:val="decimal"/>
      <w:suff w:val="nothing"/>
      <w:lvlText w:val="%1．"/>
      <w:lvlJc w:val="left"/>
      <w:pPr>
        <w:ind w:left="0" w:firstLine="616"/>
      </w:pPr>
      <w:rPr>
        <w:rFonts w:hint="default"/>
      </w:rPr>
    </w:lvl>
  </w:abstractNum>
  <w:abstractNum w:abstractNumId="6">
    <w:nsid w:val="F726B12A"/>
    <w:multiLevelType w:val="singleLevel"/>
    <w:tmpl w:val="F726B12A"/>
    <w:lvl w:ilvl="0" w:tentative="0">
      <w:start w:val="1"/>
      <w:numFmt w:val="chineseCounting"/>
      <w:suff w:val="nothing"/>
      <w:lvlText w:val="第%1条　"/>
      <w:lvlJc w:val="left"/>
      <w:pPr>
        <w:ind w:left="0" w:firstLine="619"/>
      </w:pPr>
      <w:rPr>
        <w:rFonts w:hint="eastAsia"/>
      </w:rPr>
    </w:lvl>
  </w:abstractNum>
  <w:abstractNum w:abstractNumId="7">
    <w:nsid w:val="005D8EAD"/>
    <w:multiLevelType w:val="singleLevel"/>
    <w:tmpl w:val="005D8EAD"/>
    <w:lvl w:ilvl="0" w:tentative="0">
      <w:start w:val="1"/>
      <w:numFmt w:val="decimal"/>
      <w:suff w:val="nothing"/>
      <w:lvlText w:val="%1．"/>
      <w:lvlJc w:val="left"/>
      <w:pPr>
        <w:ind w:left="0" w:firstLine="616"/>
      </w:pPr>
      <w:rPr>
        <w:rFonts w:hint="default"/>
      </w:rPr>
    </w:lvl>
  </w:abstractNum>
  <w:abstractNum w:abstractNumId="8">
    <w:nsid w:val="13034C43"/>
    <w:multiLevelType w:val="singleLevel"/>
    <w:tmpl w:val="13034C43"/>
    <w:lvl w:ilvl="0" w:tentative="0">
      <w:start w:val="1"/>
      <w:numFmt w:val="decimal"/>
      <w:suff w:val="nothing"/>
      <w:lvlText w:val="%1．"/>
      <w:lvlJc w:val="left"/>
      <w:pPr>
        <w:ind w:left="0" w:firstLine="616"/>
      </w:pPr>
      <w:rPr>
        <w:rFonts w:hint="default"/>
      </w:rPr>
    </w:lvl>
  </w:abstractNum>
  <w:abstractNum w:abstractNumId="9">
    <w:nsid w:val="399FAA17"/>
    <w:multiLevelType w:val="singleLevel"/>
    <w:tmpl w:val="399FAA17"/>
    <w:lvl w:ilvl="0" w:tentative="0">
      <w:start w:val="2"/>
      <w:numFmt w:val="chineseCounting"/>
      <w:suff w:val="space"/>
      <w:lvlText w:val="第%1条"/>
      <w:lvlJc w:val="left"/>
      <w:rPr>
        <w:rFonts w:hint="eastAsia"/>
      </w:rPr>
    </w:lvl>
  </w:abstractNum>
  <w:abstractNum w:abstractNumId="10">
    <w:nsid w:val="44467156"/>
    <w:multiLevelType w:val="multilevel"/>
    <w:tmpl w:val="44467156"/>
    <w:lvl w:ilvl="0" w:tentative="0">
      <w:start w:val="1"/>
      <w:numFmt w:val="decimal"/>
      <w:lvlText w:val="%1、"/>
      <w:lvlJc w:val="left"/>
      <w:pPr>
        <w:ind w:left="360" w:hanging="360"/>
      </w:pPr>
      <w:rPr>
        <w:rFonts w:hint="default" w:ascii="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B07DAA"/>
    <w:multiLevelType w:val="singleLevel"/>
    <w:tmpl w:val="51B07DAA"/>
    <w:lvl w:ilvl="0" w:tentative="0">
      <w:start w:val="3"/>
      <w:numFmt w:val="chineseCounting"/>
      <w:suff w:val="space"/>
      <w:lvlText w:val="第%1条"/>
      <w:lvlJc w:val="left"/>
      <w:rPr>
        <w:rFonts w:hint="eastAsia"/>
      </w:rPr>
    </w:lvl>
  </w:abstractNum>
  <w:abstractNum w:abstractNumId="12">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3">
    <w:nsid w:val="6A81A5E4"/>
    <w:multiLevelType w:val="singleLevel"/>
    <w:tmpl w:val="6A81A5E4"/>
    <w:lvl w:ilvl="0" w:tentative="0">
      <w:start w:val="1"/>
      <w:numFmt w:val="decimal"/>
      <w:suff w:val="nothing"/>
      <w:lvlText w:val="%1．"/>
      <w:lvlJc w:val="left"/>
      <w:pPr>
        <w:ind w:left="0" w:firstLine="616"/>
      </w:pPr>
      <w:rPr>
        <w:rFonts w:hint="default"/>
      </w:rPr>
    </w:lvl>
  </w:abstractNum>
  <w:abstractNum w:abstractNumId="14">
    <w:nsid w:val="71B8CB41"/>
    <w:multiLevelType w:val="singleLevel"/>
    <w:tmpl w:val="71B8CB41"/>
    <w:lvl w:ilvl="0" w:tentative="0">
      <w:start w:val="1"/>
      <w:numFmt w:val="decimal"/>
      <w:suff w:val="nothing"/>
      <w:lvlText w:val="%1．"/>
      <w:lvlJc w:val="left"/>
      <w:pPr>
        <w:ind w:left="0" w:firstLine="616"/>
      </w:pPr>
      <w:rPr>
        <w:rFonts w:hint="default"/>
      </w:rPr>
    </w:lvl>
  </w:abstractNum>
  <w:abstractNum w:abstractNumId="15">
    <w:nsid w:val="7711A95C"/>
    <w:multiLevelType w:val="singleLevel"/>
    <w:tmpl w:val="7711A95C"/>
    <w:lvl w:ilvl="0" w:tentative="0">
      <w:start w:val="4"/>
      <w:numFmt w:val="chineseCounting"/>
      <w:suff w:val="space"/>
      <w:lvlText w:val="第%1条"/>
      <w:lvlJc w:val="left"/>
      <w:rPr>
        <w:rFonts w:hint="eastAsia"/>
      </w:rPr>
    </w:lvl>
  </w:abstractNum>
  <w:num w:numId="1">
    <w:abstractNumId w:val="12"/>
  </w:num>
  <w:num w:numId="2">
    <w:abstractNumId w:val="10"/>
  </w:num>
  <w:num w:numId="3">
    <w:abstractNumId w:val="0"/>
  </w:num>
  <w:num w:numId="4">
    <w:abstractNumId w:val="9"/>
  </w:num>
  <w:num w:numId="5">
    <w:abstractNumId w:val="11"/>
  </w:num>
  <w:num w:numId="6">
    <w:abstractNumId w:val="15"/>
  </w:num>
  <w:num w:numId="7">
    <w:abstractNumId w:val="6"/>
  </w:num>
  <w:num w:numId="8">
    <w:abstractNumId w:val="2"/>
  </w:num>
  <w:num w:numId="9">
    <w:abstractNumId w:val="1"/>
  </w:num>
  <w:num w:numId="10">
    <w:abstractNumId w:val="5"/>
  </w:num>
  <w:num w:numId="11">
    <w:abstractNumId w:val="7"/>
  </w:num>
  <w:num w:numId="12">
    <w:abstractNumId w:val="14"/>
  </w:num>
  <w:num w:numId="13">
    <w:abstractNumId w:val="13"/>
  </w:num>
  <w:num w:numId="14">
    <w:abstractNumId w:val="8"/>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WIzODU3OGRmY2YxZDZkYTJiNzAxYzllOTAzMDAifQ=="/>
    <w:docVar w:name="KSO_WPS_MARK_KEY" w:val="907372e2-00ec-40f1-8b3b-dbdad15c6e2f"/>
  </w:docVars>
  <w:rsids>
    <w:rsidRoot w:val="000B1758"/>
    <w:rsid w:val="00000D39"/>
    <w:rsid w:val="00000ED4"/>
    <w:rsid w:val="00000F8D"/>
    <w:rsid w:val="000016D5"/>
    <w:rsid w:val="000016FB"/>
    <w:rsid w:val="00001CC6"/>
    <w:rsid w:val="00001E49"/>
    <w:rsid w:val="00001E6E"/>
    <w:rsid w:val="00002602"/>
    <w:rsid w:val="000038CF"/>
    <w:rsid w:val="00003A93"/>
    <w:rsid w:val="00003EF0"/>
    <w:rsid w:val="00004C69"/>
    <w:rsid w:val="0000776D"/>
    <w:rsid w:val="00007B31"/>
    <w:rsid w:val="00011F72"/>
    <w:rsid w:val="00013A78"/>
    <w:rsid w:val="0001648A"/>
    <w:rsid w:val="00017D47"/>
    <w:rsid w:val="0002158D"/>
    <w:rsid w:val="00021C7C"/>
    <w:rsid w:val="00022FC5"/>
    <w:rsid w:val="000234A4"/>
    <w:rsid w:val="00023656"/>
    <w:rsid w:val="000254AD"/>
    <w:rsid w:val="00025AE3"/>
    <w:rsid w:val="00030640"/>
    <w:rsid w:val="00030CD4"/>
    <w:rsid w:val="0003138B"/>
    <w:rsid w:val="00032147"/>
    <w:rsid w:val="0003337B"/>
    <w:rsid w:val="000341DA"/>
    <w:rsid w:val="00036EC6"/>
    <w:rsid w:val="00037BC5"/>
    <w:rsid w:val="00037C9C"/>
    <w:rsid w:val="00041718"/>
    <w:rsid w:val="00041AFC"/>
    <w:rsid w:val="00041F5C"/>
    <w:rsid w:val="0004375C"/>
    <w:rsid w:val="000443B8"/>
    <w:rsid w:val="000458C2"/>
    <w:rsid w:val="000470E7"/>
    <w:rsid w:val="0004756E"/>
    <w:rsid w:val="00047728"/>
    <w:rsid w:val="000477B6"/>
    <w:rsid w:val="000513C3"/>
    <w:rsid w:val="00052CCE"/>
    <w:rsid w:val="00053982"/>
    <w:rsid w:val="00053FC8"/>
    <w:rsid w:val="000557F9"/>
    <w:rsid w:val="0005763A"/>
    <w:rsid w:val="00057EE3"/>
    <w:rsid w:val="00061F2E"/>
    <w:rsid w:val="00062487"/>
    <w:rsid w:val="0006254B"/>
    <w:rsid w:val="0006264A"/>
    <w:rsid w:val="000636A0"/>
    <w:rsid w:val="00065A66"/>
    <w:rsid w:val="00067F47"/>
    <w:rsid w:val="000703AD"/>
    <w:rsid w:val="00073655"/>
    <w:rsid w:val="00073A77"/>
    <w:rsid w:val="0007414E"/>
    <w:rsid w:val="000741C6"/>
    <w:rsid w:val="00074364"/>
    <w:rsid w:val="00074D96"/>
    <w:rsid w:val="00075F56"/>
    <w:rsid w:val="000800FF"/>
    <w:rsid w:val="000803E3"/>
    <w:rsid w:val="000815D1"/>
    <w:rsid w:val="0008180E"/>
    <w:rsid w:val="000829AF"/>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099"/>
    <w:rsid w:val="000B5508"/>
    <w:rsid w:val="000B554C"/>
    <w:rsid w:val="000B6FE5"/>
    <w:rsid w:val="000C02EA"/>
    <w:rsid w:val="000C03BD"/>
    <w:rsid w:val="000C051A"/>
    <w:rsid w:val="000C068F"/>
    <w:rsid w:val="000C0B89"/>
    <w:rsid w:val="000C1199"/>
    <w:rsid w:val="000C1468"/>
    <w:rsid w:val="000C25AD"/>
    <w:rsid w:val="000C3BC2"/>
    <w:rsid w:val="000C43F9"/>
    <w:rsid w:val="000C4BF6"/>
    <w:rsid w:val="000C5403"/>
    <w:rsid w:val="000C5CB7"/>
    <w:rsid w:val="000C6A69"/>
    <w:rsid w:val="000C6F0A"/>
    <w:rsid w:val="000C7BBA"/>
    <w:rsid w:val="000C7DC2"/>
    <w:rsid w:val="000D0966"/>
    <w:rsid w:val="000D1C94"/>
    <w:rsid w:val="000D280C"/>
    <w:rsid w:val="000D3662"/>
    <w:rsid w:val="000D481B"/>
    <w:rsid w:val="000D5A29"/>
    <w:rsid w:val="000D5A56"/>
    <w:rsid w:val="000D66A9"/>
    <w:rsid w:val="000D69B9"/>
    <w:rsid w:val="000D732C"/>
    <w:rsid w:val="000D7E5C"/>
    <w:rsid w:val="000D7F98"/>
    <w:rsid w:val="000E0634"/>
    <w:rsid w:val="000E0684"/>
    <w:rsid w:val="000E06BC"/>
    <w:rsid w:val="000E0922"/>
    <w:rsid w:val="000E0A28"/>
    <w:rsid w:val="000E1CD3"/>
    <w:rsid w:val="000E3A2F"/>
    <w:rsid w:val="000E602B"/>
    <w:rsid w:val="000E6FED"/>
    <w:rsid w:val="000E7F00"/>
    <w:rsid w:val="000F106F"/>
    <w:rsid w:val="000F1B50"/>
    <w:rsid w:val="000F1EBD"/>
    <w:rsid w:val="000F3AAD"/>
    <w:rsid w:val="000F7D68"/>
    <w:rsid w:val="000F7DF6"/>
    <w:rsid w:val="001024B9"/>
    <w:rsid w:val="001042A1"/>
    <w:rsid w:val="00104316"/>
    <w:rsid w:val="001046CE"/>
    <w:rsid w:val="00106583"/>
    <w:rsid w:val="00106DF4"/>
    <w:rsid w:val="00107905"/>
    <w:rsid w:val="001079DC"/>
    <w:rsid w:val="00113060"/>
    <w:rsid w:val="0011320B"/>
    <w:rsid w:val="00113E21"/>
    <w:rsid w:val="00114289"/>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3A07"/>
    <w:rsid w:val="0014432F"/>
    <w:rsid w:val="001443CA"/>
    <w:rsid w:val="001448F6"/>
    <w:rsid w:val="0014627B"/>
    <w:rsid w:val="001474B7"/>
    <w:rsid w:val="00147A06"/>
    <w:rsid w:val="00147D49"/>
    <w:rsid w:val="00150424"/>
    <w:rsid w:val="0015077A"/>
    <w:rsid w:val="00150DC5"/>
    <w:rsid w:val="00150E42"/>
    <w:rsid w:val="001523BF"/>
    <w:rsid w:val="001525BE"/>
    <w:rsid w:val="00152939"/>
    <w:rsid w:val="00152B20"/>
    <w:rsid w:val="00153285"/>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1C16"/>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47A9"/>
    <w:rsid w:val="00195003"/>
    <w:rsid w:val="00197FDD"/>
    <w:rsid w:val="001A06C4"/>
    <w:rsid w:val="001A0ECC"/>
    <w:rsid w:val="001A19CC"/>
    <w:rsid w:val="001A3535"/>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1771"/>
    <w:rsid w:val="001C180B"/>
    <w:rsid w:val="001C1E26"/>
    <w:rsid w:val="001C2089"/>
    <w:rsid w:val="001C3046"/>
    <w:rsid w:val="001C46A9"/>
    <w:rsid w:val="001C51D1"/>
    <w:rsid w:val="001C5299"/>
    <w:rsid w:val="001C6A7A"/>
    <w:rsid w:val="001C70C8"/>
    <w:rsid w:val="001C7106"/>
    <w:rsid w:val="001C7E0D"/>
    <w:rsid w:val="001D08D0"/>
    <w:rsid w:val="001D1BA0"/>
    <w:rsid w:val="001D4BAD"/>
    <w:rsid w:val="001D4FC0"/>
    <w:rsid w:val="001D5638"/>
    <w:rsid w:val="001D5DBC"/>
    <w:rsid w:val="001D70A4"/>
    <w:rsid w:val="001D71A9"/>
    <w:rsid w:val="001E1993"/>
    <w:rsid w:val="001E312A"/>
    <w:rsid w:val="001E3487"/>
    <w:rsid w:val="001E3B96"/>
    <w:rsid w:val="001E4761"/>
    <w:rsid w:val="001E4CC2"/>
    <w:rsid w:val="001E52A8"/>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D2"/>
    <w:rsid w:val="001F6BAD"/>
    <w:rsid w:val="001F7EF0"/>
    <w:rsid w:val="00200919"/>
    <w:rsid w:val="00201AFC"/>
    <w:rsid w:val="0020560B"/>
    <w:rsid w:val="00205B95"/>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3026D"/>
    <w:rsid w:val="00230F90"/>
    <w:rsid w:val="00231E1C"/>
    <w:rsid w:val="00231EF8"/>
    <w:rsid w:val="00232C74"/>
    <w:rsid w:val="00232FE3"/>
    <w:rsid w:val="00234582"/>
    <w:rsid w:val="002345F1"/>
    <w:rsid w:val="00234851"/>
    <w:rsid w:val="002378DF"/>
    <w:rsid w:val="002403DF"/>
    <w:rsid w:val="0024378B"/>
    <w:rsid w:val="002448EE"/>
    <w:rsid w:val="00245760"/>
    <w:rsid w:val="00247226"/>
    <w:rsid w:val="00247A29"/>
    <w:rsid w:val="00250A90"/>
    <w:rsid w:val="00250ED4"/>
    <w:rsid w:val="00251BF0"/>
    <w:rsid w:val="00252D18"/>
    <w:rsid w:val="00253335"/>
    <w:rsid w:val="002562A4"/>
    <w:rsid w:val="00257D9E"/>
    <w:rsid w:val="0026021E"/>
    <w:rsid w:val="00260230"/>
    <w:rsid w:val="00262091"/>
    <w:rsid w:val="0026224A"/>
    <w:rsid w:val="00263592"/>
    <w:rsid w:val="002637EC"/>
    <w:rsid w:val="00263A06"/>
    <w:rsid w:val="00264C25"/>
    <w:rsid w:val="00264F3D"/>
    <w:rsid w:val="00264F90"/>
    <w:rsid w:val="00264F99"/>
    <w:rsid w:val="00265C04"/>
    <w:rsid w:val="00266CE1"/>
    <w:rsid w:val="002671A0"/>
    <w:rsid w:val="00270EED"/>
    <w:rsid w:val="00271B60"/>
    <w:rsid w:val="00271F95"/>
    <w:rsid w:val="00272498"/>
    <w:rsid w:val="0027256B"/>
    <w:rsid w:val="0027289F"/>
    <w:rsid w:val="002728F9"/>
    <w:rsid w:val="00272F7E"/>
    <w:rsid w:val="00274CFA"/>
    <w:rsid w:val="002758E4"/>
    <w:rsid w:val="002762AB"/>
    <w:rsid w:val="00277837"/>
    <w:rsid w:val="00280F8A"/>
    <w:rsid w:val="002811A3"/>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544"/>
    <w:rsid w:val="0029676A"/>
    <w:rsid w:val="00296DC1"/>
    <w:rsid w:val="002A0267"/>
    <w:rsid w:val="002A0819"/>
    <w:rsid w:val="002A0EC4"/>
    <w:rsid w:val="002A1A83"/>
    <w:rsid w:val="002A1C0A"/>
    <w:rsid w:val="002A20D3"/>
    <w:rsid w:val="002A2F8C"/>
    <w:rsid w:val="002A345D"/>
    <w:rsid w:val="002A3D67"/>
    <w:rsid w:val="002A42AB"/>
    <w:rsid w:val="002A4865"/>
    <w:rsid w:val="002A54E7"/>
    <w:rsid w:val="002A57DC"/>
    <w:rsid w:val="002A7F86"/>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41A0"/>
    <w:rsid w:val="002C497E"/>
    <w:rsid w:val="002C5DDB"/>
    <w:rsid w:val="002C6386"/>
    <w:rsid w:val="002C7787"/>
    <w:rsid w:val="002C7F4C"/>
    <w:rsid w:val="002D2521"/>
    <w:rsid w:val="002D2900"/>
    <w:rsid w:val="002D3363"/>
    <w:rsid w:val="002D6A45"/>
    <w:rsid w:val="002D70A2"/>
    <w:rsid w:val="002D72B6"/>
    <w:rsid w:val="002D7A2A"/>
    <w:rsid w:val="002E0451"/>
    <w:rsid w:val="002E0FDE"/>
    <w:rsid w:val="002E10CA"/>
    <w:rsid w:val="002E32BD"/>
    <w:rsid w:val="002E3DAB"/>
    <w:rsid w:val="002E49A8"/>
    <w:rsid w:val="002E5581"/>
    <w:rsid w:val="002F0C3C"/>
    <w:rsid w:val="002F3D4A"/>
    <w:rsid w:val="002F54D4"/>
    <w:rsid w:val="002F55EA"/>
    <w:rsid w:val="002F5880"/>
    <w:rsid w:val="002F5F05"/>
    <w:rsid w:val="002F7E72"/>
    <w:rsid w:val="00301CF0"/>
    <w:rsid w:val="00302462"/>
    <w:rsid w:val="00302E8F"/>
    <w:rsid w:val="00303656"/>
    <w:rsid w:val="00304247"/>
    <w:rsid w:val="003054EF"/>
    <w:rsid w:val="00306B14"/>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01C7"/>
    <w:rsid w:val="003312F3"/>
    <w:rsid w:val="00332230"/>
    <w:rsid w:val="0033239F"/>
    <w:rsid w:val="00332DAC"/>
    <w:rsid w:val="00333578"/>
    <w:rsid w:val="00334580"/>
    <w:rsid w:val="00334D5F"/>
    <w:rsid w:val="00335490"/>
    <w:rsid w:val="00335E48"/>
    <w:rsid w:val="003375FF"/>
    <w:rsid w:val="00337AE3"/>
    <w:rsid w:val="00341491"/>
    <w:rsid w:val="0034159A"/>
    <w:rsid w:val="00342568"/>
    <w:rsid w:val="00342D4E"/>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12B"/>
    <w:rsid w:val="003648A7"/>
    <w:rsid w:val="00364D40"/>
    <w:rsid w:val="00366E66"/>
    <w:rsid w:val="0037090B"/>
    <w:rsid w:val="003712A0"/>
    <w:rsid w:val="00371DC3"/>
    <w:rsid w:val="003728BF"/>
    <w:rsid w:val="00372E84"/>
    <w:rsid w:val="00373B2E"/>
    <w:rsid w:val="00374063"/>
    <w:rsid w:val="0037512E"/>
    <w:rsid w:val="003753CE"/>
    <w:rsid w:val="0037660C"/>
    <w:rsid w:val="00376B9B"/>
    <w:rsid w:val="0038017E"/>
    <w:rsid w:val="0038535C"/>
    <w:rsid w:val="003870B2"/>
    <w:rsid w:val="0038716A"/>
    <w:rsid w:val="00390BBD"/>
    <w:rsid w:val="00391867"/>
    <w:rsid w:val="00391B0C"/>
    <w:rsid w:val="003921C1"/>
    <w:rsid w:val="00392346"/>
    <w:rsid w:val="00392ADE"/>
    <w:rsid w:val="00393633"/>
    <w:rsid w:val="0039427E"/>
    <w:rsid w:val="0039443F"/>
    <w:rsid w:val="003948E9"/>
    <w:rsid w:val="00394AE2"/>
    <w:rsid w:val="00395F9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05E"/>
    <w:rsid w:val="003B4661"/>
    <w:rsid w:val="003B58C1"/>
    <w:rsid w:val="003C05AB"/>
    <w:rsid w:val="003C0D79"/>
    <w:rsid w:val="003C12FA"/>
    <w:rsid w:val="003C13D0"/>
    <w:rsid w:val="003C376C"/>
    <w:rsid w:val="003C5099"/>
    <w:rsid w:val="003C7A2E"/>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0196"/>
    <w:rsid w:val="003F1582"/>
    <w:rsid w:val="003F31D7"/>
    <w:rsid w:val="003F3986"/>
    <w:rsid w:val="003F4AB1"/>
    <w:rsid w:val="003F59AD"/>
    <w:rsid w:val="003F59E9"/>
    <w:rsid w:val="003F6CA1"/>
    <w:rsid w:val="003F6E37"/>
    <w:rsid w:val="003F74A7"/>
    <w:rsid w:val="003F752A"/>
    <w:rsid w:val="003F7736"/>
    <w:rsid w:val="003F7A98"/>
    <w:rsid w:val="0040048A"/>
    <w:rsid w:val="00400DBE"/>
    <w:rsid w:val="00401D79"/>
    <w:rsid w:val="00403006"/>
    <w:rsid w:val="00404956"/>
    <w:rsid w:val="0040496E"/>
    <w:rsid w:val="00404E0C"/>
    <w:rsid w:val="00405212"/>
    <w:rsid w:val="004064EB"/>
    <w:rsid w:val="004078AC"/>
    <w:rsid w:val="004121D8"/>
    <w:rsid w:val="0041247C"/>
    <w:rsid w:val="00412904"/>
    <w:rsid w:val="00412AEE"/>
    <w:rsid w:val="00412B55"/>
    <w:rsid w:val="00413EFE"/>
    <w:rsid w:val="00415C04"/>
    <w:rsid w:val="00416AAA"/>
    <w:rsid w:val="00420913"/>
    <w:rsid w:val="00420CA1"/>
    <w:rsid w:val="004214BD"/>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E8D"/>
    <w:rsid w:val="00435629"/>
    <w:rsid w:val="0043731C"/>
    <w:rsid w:val="004376C7"/>
    <w:rsid w:val="004419AB"/>
    <w:rsid w:val="00444441"/>
    <w:rsid w:val="004463D1"/>
    <w:rsid w:val="00447875"/>
    <w:rsid w:val="0045113C"/>
    <w:rsid w:val="00451C30"/>
    <w:rsid w:val="00452C50"/>
    <w:rsid w:val="004530FB"/>
    <w:rsid w:val="0045334A"/>
    <w:rsid w:val="0045339F"/>
    <w:rsid w:val="00453EE6"/>
    <w:rsid w:val="00454FD0"/>
    <w:rsid w:val="00457B23"/>
    <w:rsid w:val="004630C5"/>
    <w:rsid w:val="0046456C"/>
    <w:rsid w:val="004662B8"/>
    <w:rsid w:val="004666B9"/>
    <w:rsid w:val="00466A3C"/>
    <w:rsid w:val="0046710C"/>
    <w:rsid w:val="00467387"/>
    <w:rsid w:val="0047103C"/>
    <w:rsid w:val="00472EEC"/>
    <w:rsid w:val="00473CC1"/>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1B4A"/>
    <w:rsid w:val="004B2886"/>
    <w:rsid w:val="004B2B1E"/>
    <w:rsid w:val="004B34A3"/>
    <w:rsid w:val="004B39A8"/>
    <w:rsid w:val="004B434C"/>
    <w:rsid w:val="004B5660"/>
    <w:rsid w:val="004B569D"/>
    <w:rsid w:val="004B7E8A"/>
    <w:rsid w:val="004C01D6"/>
    <w:rsid w:val="004C112D"/>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6EE6"/>
    <w:rsid w:val="004F75FE"/>
    <w:rsid w:val="004F7935"/>
    <w:rsid w:val="005004EC"/>
    <w:rsid w:val="005018DC"/>
    <w:rsid w:val="00501915"/>
    <w:rsid w:val="00503141"/>
    <w:rsid w:val="005031E3"/>
    <w:rsid w:val="005033EB"/>
    <w:rsid w:val="005048AF"/>
    <w:rsid w:val="00504D22"/>
    <w:rsid w:val="00505B40"/>
    <w:rsid w:val="00511374"/>
    <w:rsid w:val="00511745"/>
    <w:rsid w:val="00511D30"/>
    <w:rsid w:val="005134AC"/>
    <w:rsid w:val="00513BA3"/>
    <w:rsid w:val="00514E9A"/>
    <w:rsid w:val="00515A06"/>
    <w:rsid w:val="00515C17"/>
    <w:rsid w:val="005162C8"/>
    <w:rsid w:val="005171CC"/>
    <w:rsid w:val="00517B6B"/>
    <w:rsid w:val="005203FE"/>
    <w:rsid w:val="00522989"/>
    <w:rsid w:val="00522A9C"/>
    <w:rsid w:val="00524112"/>
    <w:rsid w:val="005248B3"/>
    <w:rsid w:val="00525806"/>
    <w:rsid w:val="00526AB0"/>
    <w:rsid w:val="005309FF"/>
    <w:rsid w:val="005310C5"/>
    <w:rsid w:val="00532A78"/>
    <w:rsid w:val="00533072"/>
    <w:rsid w:val="005343A3"/>
    <w:rsid w:val="005345D3"/>
    <w:rsid w:val="00534F2B"/>
    <w:rsid w:val="005357E8"/>
    <w:rsid w:val="00535B6F"/>
    <w:rsid w:val="00536534"/>
    <w:rsid w:val="005404FA"/>
    <w:rsid w:val="005412FB"/>
    <w:rsid w:val="005413B6"/>
    <w:rsid w:val="00542CE8"/>
    <w:rsid w:val="00542DA6"/>
    <w:rsid w:val="005447EB"/>
    <w:rsid w:val="00544A71"/>
    <w:rsid w:val="00544D8B"/>
    <w:rsid w:val="00546620"/>
    <w:rsid w:val="005466CE"/>
    <w:rsid w:val="005472C3"/>
    <w:rsid w:val="00547C1E"/>
    <w:rsid w:val="00547EF4"/>
    <w:rsid w:val="00551CDD"/>
    <w:rsid w:val="00551E04"/>
    <w:rsid w:val="00551F1A"/>
    <w:rsid w:val="005529C9"/>
    <w:rsid w:val="00554D77"/>
    <w:rsid w:val="0055522F"/>
    <w:rsid w:val="00555394"/>
    <w:rsid w:val="0055585C"/>
    <w:rsid w:val="00555A8D"/>
    <w:rsid w:val="00556C62"/>
    <w:rsid w:val="005608DE"/>
    <w:rsid w:val="00560A00"/>
    <w:rsid w:val="00561836"/>
    <w:rsid w:val="00562319"/>
    <w:rsid w:val="005628CE"/>
    <w:rsid w:val="0056398E"/>
    <w:rsid w:val="00564A86"/>
    <w:rsid w:val="00565D22"/>
    <w:rsid w:val="00565F51"/>
    <w:rsid w:val="00565FC6"/>
    <w:rsid w:val="0056616A"/>
    <w:rsid w:val="00566BA9"/>
    <w:rsid w:val="00571A2F"/>
    <w:rsid w:val="00572308"/>
    <w:rsid w:val="00573121"/>
    <w:rsid w:val="005745E2"/>
    <w:rsid w:val="00575C31"/>
    <w:rsid w:val="005766CC"/>
    <w:rsid w:val="00576AC6"/>
    <w:rsid w:val="00577076"/>
    <w:rsid w:val="00577479"/>
    <w:rsid w:val="00577509"/>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6B82"/>
    <w:rsid w:val="005B77B0"/>
    <w:rsid w:val="005C0FF9"/>
    <w:rsid w:val="005C118D"/>
    <w:rsid w:val="005C4D47"/>
    <w:rsid w:val="005C5EF1"/>
    <w:rsid w:val="005C65FF"/>
    <w:rsid w:val="005C6BB1"/>
    <w:rsid w:val="005D04A9"/>
    <w:rsid w:val="005D0AEE"/>
    <w:rsid w:val="005D0F20"/>
    <w:rsid w:val="005D1564"/>
    <w:rsid w:val="005D17C8"/>
    <w:rsid w:val="005D1C38"/>
    <w:rsid w:val="005D3068"/>
    <w:rsid w:val="005D3B2C"/>
    <w:rsid w:val="005D5713"/>
    <w:rsid w:val="005D60C7"/>
    <w:rsid w:val="005D7E19"/>
    <w:rsid w:val="005E0443"/>
    <w:rsid w:val="005E068C"/>
    <w:rsid w:val="005E297D"/>
    <w:rsid w:val="005E36CA"/>
    <w:rsid w:val="005E3816"/>
    <w:rsid w:val="005E6DBE"/>
    <w:rsid w:val="005E7648"/>
    <w:rsid w:val="005E7A7A"/>
    <w:rsid w:val="005F0155"/>
    <w:rsid w:val="005F03FA"/>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77E"/>
    <w:rsid w:val="00605909"/>
    <w:rsid w:val="00606165"/>
    <w:rsid w:val="006067C4"/>
    <w:rsid w:val="0060713A"/>
    <w:rsid w:val="00612DA4"/>
    <w:rsid w:val="006159F8"/>
    <w:rsid w:val="00615F23"/>
    <w:rsid w:val="00616E5B"/>
    <w:rsid w:val="00622875"/>
    <w:rsid w:val="006233CC"/>
    <w:rsid w:val="0062697D"/>
    <w:rsid w:val="00626C3E"/>
    <w:rsid w:val="00626D1C"/>
    <w:rsid w:val="006270C2"/>
    <w:rsid w:val="00627DC6"/>
    <w:rsid w:val="00630821"/>
    <w:rsid w:val="0063082E"/>
    <w:rsid w:val="00632172"/>
    <w:rsid w:val="00632272"/>
    <w:rsid w:val="00632CA8"/>
    <w:rsid w:val="006333F3"/>
    <w:rsid w:val="006337FE"/>
    <w:rsid w:val="00633B5B"/>
    <w:rsid w:val="00634E02"/>
    <w:rsid w:val="00635114"/>
    <w:rsid w:val="00635B3E"/>
    <w:rsid w:val="006368AF"/>
    <w:rsid w:val="00640665"/>
    <w:rsid w:val="00640891"/>
    <w:rsid w:val="0064135E"/>
    <w:rsid w:val="0064223E"/>
    <w:rsid w:val="00642DCB"/>
    <w:rsid w:val="0064442C"/>
    <w:rsid w:val="00644DEB"/>
    <w:rsid w:val="00645262"/>
    <w:rsid w:val="006453B2"/>
    <w:rsid w:val="00645DAC"/>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BD6"/>
    <w:rsid w:val="00665E50"/>
    <w:rsid w:val="00666A90"/>
    <w:rsid w:val="00666B40"/>
    <w:rsid w:val="0066795E"/>
    <w:rsid w:val="00670FD3"/>
    <w:rsid w:val="00671984"/>
    <w:rsid w:val="00671E81"/>
    <w:rsid w:val="00673FD6"/>
    <w:rsid w:val="006748DB"/>
    <w:rsid w:val="00674F23"/>
    <w:rsid w:val="00675068"/>
    <w:rsid w:val="006753F7"/>
    <w:rsid w:val="00677B4D"/>
    <w:rsid w:val="00680642"/>
    <w:rsid w:val="00681FE5"/>
    <w:rsid w:val="0068218C"/>
    <w:rsid w:val="00682D7C"/>
    <w:rsid w:val="00683BC5"/>
    <w:rsid w:val="00684145"/>
    <w:rsid w:val="006842A5"/>
    <w:rsid w:val="006844AC"/>
    <w:rsid w:val="00684923"/>
    <w:rsid w:val="006851C3"/>
    <w:rsid w:val="006852F3"/>
    <w:rsid w:val="00687D4D"/>
    <w:rsid w:val="00691463"/>
    <w:rsid w:val="00691F46"/>
    <w:rsid w:val="0069299E"/>
    <w:rsid w:val="00693620"/>
    <w:rsid w:val="00693A81"/>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A7681"/>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7CA9"/>
    <w:rsid w:val="006D0496"/>
    <w:rsid w:val="006D2175"/>
    <w:rsid w:val="006D4265"/>
    <w:rsid w:val="006D49AD"/>
    <w:rsid w:val="006D64D7"/>
    <w:rsid w:val="006D6D2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297"/>
    <w:rsid w:val="006F0557"/>
    <w:rsid w:val="006F3520"/>
    <w:rsid w:val="006F38BD"/>
    <w:rsid w:val="006F43CF"/>
    <w:rsid w:val="006F726C"/>
    <w:rsid w:val="0070507B"/>
    <w:rsid w:val="0070608C"/>
    <w:rsid w:val="007065BF"/>
    <w:rsid w:val="0070797E"/>
    <w:rsid w:val="00710CAB"/>
    <w:rsid w:val="0071126A"/>
    <w:rsid w:val="007114D3"/>
    <w:rsid w:val="00711A52"/>
    <w:rsid w:val="00712322"/>
    <w:rsid w:val="007126DE"/>
    <w:rsid w:val="007128FD"/>
    <w:rsid w:val="0071337B"/>
    <w:rsid w:val="007139C7"/>
    <w:rsid w:val="00714322"/>
    <w:rsid w:val="007165BE"/>
    <w:rsid w:val="007170B2"/>
    <w:rsid w:val="007202C3"/>
    <w:rsid w:val="00720AFA"/>
    <w:rsid w:val="00720B91"/>
    <w:rsid w:val="00720D9C"/>
    <w:rsid w:val="0072250B"/>
    <w:rsid w:val="0072388B"/>
    <w:rsid w:val="007247FC"/>
    <w:rsid w:val="00725A14"/>
    <w:rsid w:val="00726547"/>
    <w:rsid w:val="007266B6"/>
    <w:rsid w:val="0072725B"/>
    <w:rsid w:val="00727CCC"/>
    <w:rsid w:val="00730E38"/>
    <w:rsid w:val="00731C26"/>
    <w:rsid w:val="007321EE"/>
    <w:rsid w:val="007333F0"/>
    <w:rsid w:val="00733E09"/>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939"/>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1B0"/>
    <w:rsid w:val="00776643"/>
    <w:rsid w:val="00776F1A"/>
    <w:rsid w:val="00782D1F"/>
    <w:rsid w:val="00783E66"/>
    <w:rsid w:val="00784B25"/>
    <w:rsid w:val="00785F68"/>
    <w:rsid w:val="00786D63"/>
    <w:rsid w:val="007870B9"/>
    <w:rsid w:val="00787702"/>
    <w:rsid w:val="00787EA7"/>
    <w:rsid w:val="00790CF4"/>
    <w:rsid w:val="00792877"/>
    <w:rsid w:val="00792BFB"/>
    <w:rsid w:val="0079415C"/>
    <w:rsid w:val="00794264"/>
    <w:rsid w:val="007942BB"/>
    <w:rsid w:val="007948F6"/>
    <w:rsid w:val="00794CB6"/>
    <w:rsid w:val="007956CC"/>
    <w:rsid w:val="00795882"/>
    <w:rsid w:val="00795F0F"/>
    <w:rsid w:val="00796627"/>
    <w:rsid w:val="0079715E"/>
    <w:rsid w:val="00797660"/>
    <w:rsid w:val="00797B48"/>
    <w:rsid w:val="007A0111"/>
    <w:rsid w:val="007A04FF"/>
    <w:rsid w:val="007A2241"/>
    <w:rsid w:val="007A2258"/>
    <w:rsid w:val="007A2540"/>
    <w:rsid w:val="007A258A"/>
    <w:rsid w:val="007A3764"/>
    <w:rsid w:val="007A486D"/>
    <w:rsid w:val="007A4A34"/>
    <w:rsid w:val="007B0405"/>
    <w:rsid w:val="007B1855"/>
    <w:rsid w:val="007B2E3F"/>
    <w:rsid w:val="007B2FEC"/>
    <w:rsid w:val="007B3683"/>
    <w:rsid w:val="007B5782"/>
    <w:rsid w:val="007B71AA"/>
    <w:rsid w:val="007B7B67"/>
    <w:rsid w:val="007C0B6B"/>
    <w:rsid w:val="007C1531"/>
    <w:rsid w:val="007C46F9"/>
    <w:rsid w:val="007C51BD"/>
    <w:rsid w:val="007C57A1"/>
    <w:rsid w:val="007C60C6"/>
    <w:rsid w:val="007C6927"/>
    <w:rsid w:val="007C6CAC"/>
    <w:rsid w:val="007C74FC"/>
    <w:rsid w:val="007C7F02"/>
    <w:rsid w:val="007D07A2"/>
    <w:rsid w:val="007D0EE0"/>
    <w:rsid w:val="007D1423"/>
    <w:rsid w:val="007D2D9A"/>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053"/>
    <w:rsid w:val="007E3A34"/>
    <w:rsid w:val="007E45E0"/>
    <w:rsid w:val="007E4717"/>
    <w:rsid w:val="007E79DD"/>
    <w:rsid w:val="007F0DF5"/>
    <w:rsid w:val="007F23B8"/>
    <w:rsid w:val="007F2532"/>
    <w:rsid w:val="007F28A0"/>
    <w:rsid w:val="007F29DD"/>
    <w:rsid w:val="007F324B"/>
    <w:rsid w:val="007F4B52"/>
    <w:rsid w:val="007F6DEC"/>
    <w:rsid w:val="007F6E6E"/>
    <w:rsid w:val="008036CD"/>
    <w:rsid w:val="008043B8"/>
    <w:rsid w:val="00804675"/>
    <w:rsid w:val="0080481D"/>
    <w:rsid w:val="008068B6"/>
    <w:rsid w:val="008071C3"/>
    <w:rsid w:val="00807A81"/>
    <w:rsid w:val="00807D45"/>
    <w:rsid w:val="008109FB"/>
    <w:rsid w:val="00810DBD"/>
    <w:rsid w:val="00812F75"/>
    <w:rsid w:val="00813A1C"/>
    <w:rsid w:val="00813B5C"/>
    <w:rsid w:val="008145DE"/>
    <w:rsid w:val="00814B0C"/>
    <w:rsid w:val="00814C22"/>
    <w:rsid w:val="00815B95"/>
    <w:rsid w:val="0081638D"/>
    <w:rsid w:val="00816ED7"/>
    <w:rsid w:val="00816F52"/>
    <w:rsid w:val="00817075"/>
    <w:rsid w:val="00817D84"/>
    <w:rsid w:val="00820FE1"/>
    <w:rsid w:val="00821241"/>
    <w:rsid w:val="00823A16"/>
    <w:rsid w:val="00823FAF"/>
    <w:rsid w:val="00825DD8"/>
    <w:rsid w:val="00826076"/>
    <w:rsid w:val="008269F8"/>
    <w:rsid w:val="00830C66"/>
    <w:rsid w:val="008324DD"/>
    <w:rsid w:val="00832A22"/>
    <w:rsid w:val="008332FC"/>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168"/>
    <w:rsid w:val="008A125B"/>
    <w:rsid w:val="008A4402"/>
    <w:rsid w:val="008A446A"/>
    <w:rsid w:val="008A4792"/>
    <w:rsid w:val="008A4D74"/>
    <w:rsid w:val="008A5F38"/>
    <w:rsid w:val="008A607F"/>
    <w:rsid w:val="008B0A6E"/>
    <w:rsid w:val="008B0B71"/>
    <w:rsid w:val="008B2B18"/>
    <w:rsid w:val="008B3764"/>
    <w:rsid w:val="008B390E"/>
    <w:rsid w:val="008B3D4F"/>
    <w:rsid w:val="008B5985"/>
    <w:rsid w:val="008B65F0"/>
    <w:rsid w:val="008C0A7A"/>
    <w:rsid w:val="008C11CA"/>
    <w:rsid w:val="008C36D0"/>
    <w:rsid w:val="008C420B"/>
    <w:rsid w:val="008C45C5"/>
    <w:rsid w:val="008C4BCC"/>
    <w:rsid w:val="008C51DA"/>
    <w:rsid w:val="008C6FE4"/>
    <w:rsid w:val="008D0C39"/>
    <w:rsid w:val="008D1070"/>
    <w:rsid w:val="008D3322"/>
    <w:rsid w:val="008D36DC"/>
    <w:rsid w:val="008D5FBE"/>
    <w:rsid w:val="008D6B07"/>
    <w:rsid w:val="008D7092"/>
    <w:rsid w:val="008D7362"/>
    <w:rsid w:val="008D7D6D"/>
    <w:rsid w:val="008D7D97"/>
    <w:rsid w:val="008E0761"/>
    <w:rsid w:val="008E207D"/>
    <w:rsid w:val="008E365F"/>
    <w:rsid w:val="008E37A4"/>
    <w:rsid w:val="008E42AD"/>
    <w:rsid w:val="008E44F8"/>
    <w:rsid w:val="008E46A6"/>
    <w:rsid w:val="008E49D0"/>
    <w:rsid w:val="008E5633"/>
    <w:rsid w:val="008E588C"/>
    <w:rsid w:val="008E59F5"/>
    <w:rsid w:val="008E5D36"/>
    <w:rsid w:val="008E62CA"/>
    <w:rsid w:val="008E6F1A"/>
    <w:rsid w:val="008E774D"/>
    <w:rsid w:val="008F08A6"/>
    <w:rsid w:val="008F150B"/>
    <w:rsid w:val="008F1725"/>
    <w:rsid w:val="008F18BC"/>
    <w:rsid w:val="008F19DB"/>
    <w:rsid w:val="008F1F01"/>
    <w:rsid w:val="008F2E92"/>
    <w:rsid w:val="008F4955"/>
    <w:rsid w:val="008F5008"/>
    <w:rsid w:val="008F53D0"/>
    <w:rsid w:val="008F6AEC"/>
    <w:rsid w:val="009008DF"/>
    <w:rsid w:val="009014CE"/>
    <w:rsid w:val="00901643"/>
    <w:rsid w:val="009035D9"/>
    <w:rsid w:val="00905202"/>
    <w:rsid w:val="0090584B"/>
    <w:rsid w:val="00906837"/>
    <w:rsid w:val="0091029F"/>
    <w:rsid w:val="0091033A"/>
    <w:rsid w:val="009105F8"/>
    <w:rsid w:val="00911EE1"/>
    <w:rsid w:val="0091261B"/>
    <w:rsid w:val="00913387"/>
    <w:rsid w:val="00913453"/>
    <w:rsid w:val="009140C6"/>
    <w:rsid w:val="009145DE"/>
    <w:rsid w:val="00915AF4"/>
    <w:rsid w:val="00915C4B"/>
    <w:rsid w:val="0091774D"/>
    <w:rsid w:val="009201CA"/>
    <w:rsid w:val="00921702"/>
    <w:rsid w:val="00926C79"/>
    <w:rsid w:val="0092753C"/>
    <w:rsid w:val="00927588"/>
    <w:rsid w:val="00927F4B"/>
    <w:rsid w:val="00930CDD"/>
    <w:rsid w:val="00933565"/>
    <w:rsid w:val="00933879"/>
    <w:rsid w:val="009344B9"/>
    <w:rsid w:val="00935808"/>
    <w:rsid w:val="00937EA0"/>
    <w:rsid w:val="00944A14"/>
    <w:rsid w:val="00944E3B"/>
    <w:rsid w:val="00944FD1"/>
    <w:rsid w:val="009470CA"/>
    <w:rsid w:val="0094748C"/>
    <w:rsid w:val="009479B4"/>
    <w:rsid w:val="00947DA4"/>
    <w:rsid w:val="00947E0E"/>
    <w:rsid w:val="00947FB8"/>
    <w:rsid w:val="009500BD"/>
    <w:rsid w:val="0095109F"/>
    <w:rsid w:val="00951691"/>
    <w:rsid w:val="009523CC"/>
    <w:rsid w:val="00953467"/>
    <w:rsid w:val="009546E0"/>
    <w:rsid w:val="009553B8"/>
    <w:rsid w:val="009562D5"/>
    <w:rsid w:val="00957888"/>
    <w:rsid w:val="009608DF"/>
    <w:rsid w:val="00961502"/>
    <w:rsid w:val="00961A92"/>
    <w:rsid w:val="00961AF8"/>
    <w:rsid w:val="009633D1"/>
    <w:rsid w:val="009634A9"/>
    <w:rsid w:val="0096403A"/>
    <w:rsid w:val="0096469F"/>
    <w:rsid w:val="00964C3F"/>
    <w:rsid w:val="00965ADF"/>
    <w:rsid w:val="00965D48"/>
    <w:rsid w:val="00966317"/>
    <w:rsid w:val="00966D46"/>
    <w:rsid w:val="00967419"/>
    <w:rsid w:val="009723FB"/>
    <w:rsid w:val="00972BCD"/>
    <w:rsid w:val="00972E92"/>
    <w:rsid w:val="00973279"/>
    <w:rsid w:val="00973C9C"/>
    <w:rsid w:val="009740C4"/>
    <w:rsid w:val="00974967"/>
    <w:rsid w:val="0097498E"/>
    <w:rsid w:val="00974B58"/>
    <w:rsid w:val="00976D7E"/>
    <w:rsid w:val="00976E47"/>
    <w:rsid w:val="00980265"/>
    <w:rsid w:val="0098277D"/>
    <w:rsid w:val="009837F5"/>
    <w:rsid w:val="009852A5"/>
    <w:rsid w:val="0098543A"/>
    <w:rsid w:val="009855FC"/>
    <w:rsid w:val="00985623"/>
    <w:rsid w:val="0098598D"/>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38ED"/>
    <w:rsid w:val="009C401B"/>
    <w:rsid w:val="009C48E9"/>
    <w:rsid w:val="009C4F79"/>
    <w:rsid w:val="009C5984"/>
    <w:rsid w:val="009C5BE1"/>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9F7347"/>
    <w:rsid w:val="00A004DE"/>
    <w:rsid w:val="00A017FA"/>
    <w:rsid w:val="00A02367"/>
    <w:rsid w:val="00A023BB"/>
    <w:rsid w:val="00A02C29"/>
    <w:rsid w:val="00A02C67"/>
    <w:rsid w:val="00A03295"/>
    <w:rsid w:val="00A06BE3"/>
    <w:rsid w:val="00A06D56"/>
    <w:rsid w:val="00A07F9F"/>
    <w:rsid w:val="00A137CA"/>
    <w:rsid w:val="00A13977"/>
    <w:rsid w:val="00A13F87"/>
    <w:rsid w:val="00A14493"/>
    <w:rsid w:val="00A15B78"/>
    <w:rsid w:val="00A20A3E"/>
    <w:rsid w:val="00A219DA"/>
    <w:rsid w:val="00A22464"/>
    <w:rsid w:val="00A23055"/>
    <w:rsid w:val="00A2354F"/>
    <w:rsid w:val="00A25009"/>
    <w:rsid w:val="00A25B72"/>
    <w:rsid w:val="00A25E76"/>
    <w:rsid w:val="00A26558"/>
    <w:rsid w:val="00A26843"/>
    <w:rsid w:val="00A27F5A"/>
    <w:rsid w:val="00A27F6E"/>
    <w:rsid w:val="00A30905"/>
    <w:rsid w:val="00A30D62"/>
    <w:rsid w:val="00A31DDA"/>
    <w:rsid w:val="00A33A35"/>
    <w:rsid w:val="00A33DE8"/>
    <w:rsid w:val="00A34AD4"/>
    <w:rsid w:val="00A35B61"/>
    <w:rsid w:val="00A36F70"/>
    <w:rsid w:val="00A432DC"/>
    <w:rsid w:val="00A446AA"/>
    <w:rsid w:val="00A47CFC"/>
    <w:rsid w:val="00A50040"/>
    <w:rsid w:val="00A5272F"/>
    <w:rsid w:val="00A53DFC"/>
    <w:rsid w:val="00A54DCC"/>
    <w:rsid w:val="00A55854"/>
    <w:rsid w:val="00A60281"/>
    <w:rsid w:val="00A615AF"/>
    <w:rsid w:val="00A6169F"/>
    <w:rsid w:val="00A63A7E"/>
    <w:rsid w:val="00A655FD"/>
    <w:rsid w:val="00A65C73"/>
    <w:rsid w:val="00A705FB"/>
    <w:rsid w:val="00A71AD8"/>
    <w:rsid w:val="00A71D1A"/>
    <w:rsid w:val="00A725B5"/>
    <w:rsid w:val="00A72706"/>
    <w:rsid w:val="00A727AD"/>
    <w:rsid w:val="00A73581"/>
    <w:rsid w:val="00A747D6"/>
    <w:rsid w:val="00A74C7F"/>
    <w:rsid w:val="00A74FAA"/>
    <w:rsid w:val="00A75DB1"/>
    <w:rsid w:val="00A75E5D"/>
    <w:rsid w:val="00A7625F"/>
    <w:rsid w:val="00A762B0"/>
    <w:rsid w:val="00A76B9D"/>
    <w:rsid w:val="00A803D3"/>
    <w:rsid w:val="00A8254A"/>
    <w:rsid w:val="00A826B2"/>
    <w:rsid w:val="00A83178"/>
    <w:rsid w:val="00A832B4"/>
    <w:rsid w:val="00A8559A"/>
    <w:rsid w:val="00A8566D"/>
    <w:rsid w:val="00A85E84"/>
    <w:rsid w:val="00A87F60"/>
    <w:rsid w:val="00A90A53"/>
    <w:rsid w:val="00A919ED"/>
    <w:rsid w:val="00A91EA9"/>
    <w:rsid w:val="00A9200A"/>
    <w:rsid w:val="00A92ADC"/>
    <w:rsid w:val="00A934E4"/>
    <w:rsid w:val="00A9392E"/>
    <w:rsid w:val="00A94DC8"/>
    <w:rsid w:val="00A96C73"/>
    <w:rsid w:val="00A96D35"/>
    <w:rsid w:val="00A974C7"/>
    <w:rsid w:val="00A97716"/>
    <w:rsid w:val="00AA0A5E"/>
    <w:rsid w:val="00AA2647"/>
    <w:rsid w:val="00AA270A"/>
    <w:rsid w:val="00AA338D"/>
    <w:rsid w:val="00AA349D"/>
    <w:rsid w:val="00AA3BF7"/>
    <w:rsid w:val="00AA3F66"/>
    <w:rsid w:val="00AA6067"/>
    <w:rsid w:val="00AA62F2"/>
    <w:rsid w:val="00AA6455"/>
    <w:rsid w:val="00AA7839"/>
    <w:rsid w:val="00AB099B"/>
    <w:rsid w:val="00AB209C"/>
    <w:rsid w:val="00AB70DF"/>
    <w:rsid w:val="00AB7129"/>
    <w:rsid w:val="00AB7B5F"/>
    <w:rsid w:val="00AC0D9A"/>
    <w:rsid w:val="00AC1BF6"/>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121E"/>
    <w:rsid w:val="00AE2FE7"/>
    <w:rsid w:val="00AE3459"/>
    <w:rsid w:val="00AE4277"/>
    <w:rsid w:val="00AE6240"/>
    <w:rsid w:val="00AE693C"/>
    <w:rsid w:val="00AE70FB"/>
    <w:rsid w:val="00AE7AF2"/>
    <w:rsid w:val="00AF003F"/>
    <w:rsid w:val="00AF2025"/>
    <w:rsid w:val="00AF207A"/>
    <w:rsid w:val="00AF33A5"/>
    <w:rsid w:val="00AF3693"/>
    <w:rsid w:val="00AF373C"/>
    <w:rsid w:val="00AF3BB0"/>
    <w:rsid w:val="00B01079"/>
    <w:rsid w:val="00B01EF3"/>
    <w:rsid w:val="00B05393"/>
    <w:rsid w:val="00B10012"/>
    <w:rsid w:val="00B13778"/>
    <w:rsid w:val="00B13834"/>
    <w:rsid w:val="00B13CC1"/>
    <w:rsid w:val="00B13FB2"/>
    <w:rsid w:val="00B15646"/>
    <w:rsid w:val="00B16938"/>
    <w:rsid w:val="00B16967"/>
    <w:rsid w:val="00B176FA"/>
    <w:rsid w:val="00B17B24"/>
    <w:rsid w:val="00B207CD"/>
    <w:rsid w:val="00B215A6"/>
    <w:rsid w:val="00B22BBC"/>
    <w:rsid w:val="00B23CCA"/>
    <w:rsid w:val="00B23D46"/>
    <w:rsid w:val="00B24788"/>
    <w:rsid w:val="00B24AD3"/>
    <w:rsid w:val="00B24FFE"/>
    <w:rsid w:val="00B27663"/>
    <w:rsid w:val="00B278F2"/>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168"/>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1F"/>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3BCF"/>
    <w:rsid w:val="00B849E1"/>
    <w:rsid w:val="00B86E4E"/>
    <w:rsid w:val="00B870D0"/>
    <w:rsid w:val="00B87C7B"/>
    <w:rsid w:val="00B905A4"/>
    <w:rsid w:val="00B90B14"/>
    <w:rsid w:val="00B91B8A"/>
    <w:rsid w:val="00B93072"/>
    <w:rsid w:val="00B93BB2"/>
    <w:rsid w:val="00B9557C"/>
    <w:rsid w:val="00B96A6B"/>
    <w:rsid w:val="00B97B6A"/>
    <w:rsid w:val="00BA1DDB"/>
    <w:rsid w:val="00BA1E27"/>
    <w:rsid w:val="00BA24E4"/>
    <w:rsid w:val="00BA537D"/>
    <w:rsid w:val="00BA5795"/>
    <w:rsid w:val="00BA6210"/>
    <w:rsid w:val="00BA6237"/>
    <w:rsid w:val="00BA6356"/>
    <w:rsid w:val="00BA679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DA"/>
    <w:rsid w:val="00BC7123"/>
    <w:rsid w:val="00BD037F"/>
    <w:rsid w:val="00BD12EA"/>
    <w:rsid w:val="00BD2917"/>
    <w:rsid w:val="00BD2B7E"/>
    <w:rsid w:val="00BD2ED6"/>
    <w:rsid w:val="00BD45EE"/>
    <w:rsid w:val="00BD5267"/>
    <w:rsid w:val="00BD580D"/>
    <w:rsid w:val="00BD60ED"/>
    <w:rsid w:val="00BD6C3B"/>
    <w:rsid w:val="00BD7212"/>
    <w:rsid w:val="00BD7EE9"/>
    <w:rsid w:val="00BE0088"/>
    <w:rsid w:val="00BE372C"/>
    <w:rsid w:val="00BE5C8A"/>
    <w:rsid w:val="00BE6D2C"/>
    <w:rsid w:val="00BE6DCC"/>
    <w:rsid w:val="00BE6F81"/>
    <w:rsid w:val="00BE704D"/>
    <w:rsid w:val="00BF03AF"/>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23C"/>
    <w:rsid w:val="00C0594E"/>
    <w:rsid w:val="00C06B8A"/>
    <w:rsid w:val="00C06D48"/>
    <w:rsid w:val="00C07040"/>
    <w:rsid w:val="00C0779D"/>
    <w:rsid w:val="00C10105"/>
    <w:rsid w:val="00C11042"/>
    <w:rsid w:val="00C1122D"/>
    <w:rsid w:val="00C11DCF"/>
    <w:rsid w:val="00C11ED6"/>
    <w:rsid w:val="00C12500"/>
    <w:rsid w:val="00C12C1E"/>
    <w:rsid w:val="00C12F01"/>
    <w:rsid w:val="00C1351A"/>
    <w:rsid w:val="00C13F17"/>
    <w:rsid w:val="00C1443B"/>
    <w:rsid w:val="00C148F6"/>
    <w:rsid w:val="00C15281"/>
    <w:rsid w:val="00C15327"/>
    <w:rsid w:val="00C15343"/>
    <w:rsid w:val="00C15747"/>
    <w:rsid w:val="00C15A06"/>
    <w:rsid w:val="00C16DC1"/>
    <w:rsid w:val="00C16EAE"/>
    <w:rsid w:val="00C2038F"/>
    <w:rsid w:val="00C20D56"/>
    <w:rsid w:val="00C2108B"/>
    <w:rsid w:val="00C21F27"/>
    <w:rsid w:val="00C22021"/>
    <w:rsid w:val="00C23F37"/>
    <w:rsid w:val="00C24953"/>
    <w:rsid w:val="00C2519A"/>
    <w:rsid w:val="00C25515"/>
    <w:rsid w:val="00C30F19"/>
    <w:rsid w:val="00C31771"/>
    <w:rsid w:val="00C318B0"/>
    <w:rsid w:val="00C319C7"/>
    <w:rsid w:val="00C33304"/>
    <w:rsid w:val="00C3442F"/>
    <w:rsid w:val="00C34C76"/>
    <w:rsid w:val="00C35CA1"/>
    <w:rsid w:val="00C3679B"/>
    <w:rsid w:val="00C369DB"/>
    <w:rsid w:val="00C36BB0"/>
    <w:rsid w:val="00C4079A"/>
    <w:rsid w:val="00C40B34"/>
    <w:rsid w:val="00C41CAA"/>
    <w:rsid w:val="00C432EB"/>
    <w:rsid w:val="00C46A31"/>
    <w:rsid w:val="00C476F5"/>
    <w:rsid w:val="00C47FBE"/>
    <w:rsid w:val="00C51377"/>
    <w:rsid w:val="00C51ABE"/>
    <w:rsid w:val="00C53C53"/>
    <w:rsid w:val="00C53EE2"/>
    <w:rsid w:val="00C53EF4"/>
    <w:rsid w:val="00C54558"/>
    <w:rsid w:val="00C55207"/>
    <w:rsid w:val="00C55311"/>
    <w:rsid w:val="00C55CFE"/>
    <w:rsid w:val="00C56E17"/>
    <w:rsid w:val="00C6187E"/>
    <w:rsid w:val="00C619C0"/>
    <w:rsid w:val="00C6247E"/>
    <w:rsid w:val="00C625E6"/>
    <w:rsid w:val="00C64547"/>
    <w:rsid w:val="00C6456C"/>
    <w:rsid w:val="00C656E2"/>
    <w:rsid w:val="00C66337"/>
    <w:rsid w:val="00C72A5E"/>
    <w:rsid w:val="00C73106"/>
    <w:rsid w:val="00C74128"/>
    <w:rsid w:val="00C7433C"/>
    <w:rsid w:val="00C74506"/>
    <w:rsid w:val="00C76C42"/>
    <w:rsid w:val="00C779A5"/>
    <w:rsid w:val="00C82509"/>
    <w:rsid w:val="00C8349D"/>
    <w:rsid w:val="00C839EA"/>
    <w:rsid w:val="00C83C2C"/>
    <w:rsid w:val="00C8644D"/>
    <w:rsid w:val="00C86A7A"/>
    <w:rsid w:val="00C8752D"/>
    <w:rsid w:val="00C87BC9"/>
    <w:rsid w:val="00C91956"/>
    <w:rsid w:val="00C91DB9"/>
    <w:rsid w:val="00C92B67"/>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CE2"/>
    <w:rsid w:val="00CB03E9"/>
    <w:rsid w:val="00CB30EC"/>
    <w:rsid w:val="00CB38C8"/>
    <w:rsid w:val="00CB3EC6"/>
    <w:rsid w:val="00CB6CFF"/>
    <w:rsid w:val="00CB6E59"/>
    <w:rsid w:val="00CB752C"/>
    <w:rsid w:val="00CC1306"/>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519D"/>
    <w:rsid w:val="00CD5962"/>
    <w:rsid w:val="00CD5AFB"/>
    <w:rsid w:val="00CD5F88"/>
    <w:rsid w:val="00CE090B"/>
    <w:rsid w:val="00CE0C3B"/>
    <w:rsid w:val="00CE113D"/>
    <w:rsid w:val="00CE2E75"/>
    <w:rsid w:val="00CE3848"/>
    <w:rsid w:val="00CE4E03"/>
    <w:rsid w:val="00CE4FBE"/>
    <w:rsid w:val="00CE7334"/>
    <w:rsid w:val="00CF1229"/>
    <w:rsid w:val="00CF3593"/>
    <w:rsid w:val="00CF4148"/>
    <w:rsid w:val="00CF43BD"/>
    <w:rsid w:val="00CF5886"/>
    <w:rsid w:val="00CF5930"/>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BA1"/>
    <w:rsid w:val="00D34FF8"/>
    <w:rsid w:val="00D352A2"/>
    <w:rsid w:val="00D40198"/>
    <w:rsid w:val="00D40BF1"/>
    <w:rsid w:val="00D419BD"/>
    <w:rsid w:val="00D4246E"/>
    <w:rsid w:val="00D43D19"/>
    <w:rsid w:val="00D43E7A"/>
    <w:rsid w:val="00D47159"/>
    <w:rsid w:val="00D47708"/>
    <w:rsid w:val="00D47AD8"/>
    <w:rsid w:val="00D502B6"/>
    <w:rsid w:val="00D53D40"/>
    <w:rsid w:val="00D542D1"/>
    <w:rsid w:val="00D54741"/>
    <w:rsid w:val="00D54D15"/>
    <w:rsid w:val="00D54FF4"/>
    <w:rsid w:val="00D55636"/>
    <w:rsid w:val="00D57F64"/>
    <w:rsid w:val="00D6127E"/>
    <w:rsid w:val="00D62387"/>
    <w:rsid w:val="00D62A18"/>
    <w:rsid w:val="00D62E1F"/>
    <w:rsid w:val="00D630D3"/>
    <w:rsid w:val="00D63C4B"/>
    <w:rsid w:val="00D63C69"/>
    <w:rsid w:val="00D642EC"/>
    <w:rsid w:val="00D6448C"/>
    <w:rsid w:val="00D665D2"/>
    <w:rsid w:val="00D66D3E"/>
    <w:rsid w:val="00D67250"/>
    <w:rsid w:val="00D67A0A"/>
    <w:rsid w:val="00D709A5"/>
    <w:rsid w:val="00D71B94"/>
    <w:rsid w:val="00D72706"/>
    <w:rsid w:val="00D72BEB"/>
    <w:rsid w:val="00D72C52"/>
    <w:rsid w:val="00D75A69"/>
    <w:rsid w:val="00D76B8A"/>
    <w:rsid w:val="00D7799F"/>
    <w:rsid w:val="00D8090C"/>
    <w:rsid w:val="00D80A9D"/>
    <w:rsid w:val="00D80B14"/>
    <w:rsid w:val="00D80C66"/>
    <w:rsid w:val="00D817D2"/>
    <w:rsid w:val="00D83884"/>
    <w:rsid w:val="00D83A14"/>
    <w:rsid w:val="00D84490"/>
    <w:rsid w:val="00D85A83"/>
    <w:rsid w:val="00D86135"/>
    <w:rsid w:val="00D86741"/>
    <w:rsid w:val="00D877FF"/>
    <w:rsid w:val="00D90132"/>
    <w:rsid w:val="00D90209"/>
    <w:rsid w:val="00D9026F"/>
    <w:rsid w:val="00D91C08"/>
    <w:rsid w:val="00D92602"/>
    <w:rsid w:val="00D92A1F"/>
    <w:rsid w:val="00D9374D"/>
    <w:rsid w:val="00D94144"/>
    <w:rsid w:val="00D968DD"/>
    <w:rsid w:val="00D96F24"/>
    <w:rsid w:val="00DA01D1"/>
    <w:rsid w:val="00DA0283"/>
    <w:rsid w:val="00DA0BAA"/>
    <w:rsid w:val="00DA1DAA"/>
    <w:rsid w:val="00DA247B"/>
    <w:rsid w:val="00DA31D9"/>
    <w:rsid w:val="00DA3362"/>
    <w:rsid w:val="00DA3717"/>
    <w:rsid w:val="00DA4C37"/>
    <w:rsid w:val="00DA5230"/>
    <w:rsid w:val="00DA6095"/>
    <w:rsid w:val="00DA626A"/>
    <w:rsid w:val="00DA68E3"/>
    <w:rsid w:val="00DB120C"/>
    <w:rsid w:val="00DB283A"/>
    <w:rsid w:val="00DB29FF"/>
    <w:rsid w:val="00DB2E20"/>
    <w:rsid w:val="00DB3CD0"/>
    <w:rsid w:val="00DB4242"/>
    <w:rsid w:val="00DB4DB8"/>
    <w:rsid w:val="00DB5A16"/>
    <w:rsid w:val="00DC11B1"/>
    <w:rsid w:val="00DC15AD"/>
    <w:rsid w:val="00DC5B7D"/>
    <w:rsid w:val="00DC62CE"/>
    <w:rsid w:val="00DC7D94"/>
    <w:rsid w:val="00DC7F41"/>
    <w:rsid w:val="00DD0306"/>
    <w:rsid w:val="00DD1438"/>
    <w:rsid w:val="00DD298A"/>
    <w:rsid w:val="00DD2A1E"/>
    <w:rsid w:val="00DD3A80"/>
    <w:rsid w:val="00DD4A68"/>
    <w:rsid w:val="00DD528C"/>
    <w:rsid w:val="00DD7197"/>
    <w:rsid w:val="00DD76E7"/>
    <w:rsid w:val="00DD770B"/>
    <w:rsid w:val="00DD7A65"/>
    <w:rsid w:val="00DE00E1"/>
    <w:rsid w:val="00DE11B6"/>
    <w:rsid w:val="00DE1789"/>
    <w:rsid w:val="00DE52BD"/>
    <w:rsid w:val="00DE5EA4"/>
    <w:rsid w:val="00DE61F5"/>
    <w:rsid w:val="00DE75A6"/>
    <w:rsid w:val="00DE75B5"/>
    <w:rsid w:val="00DE7939"/>
    <w:rsid w:val="00DE7C93"/>
    <w:rsid w:val="00DE7F76"/>
    <w:rsid w:val="00DF015F"/>
    <w:rsid w:val="00DF08CF"/>
    <w:rsid w:val="00DF1A97"/>
    <w:rsid w:val="00DF2AD8"/>
    <w:rsid w:val="00DF3671"/>
    <w:rsid w:val="00DF48AB"/>
    <w:rsid w:val="00DF4FA9"/>
    <w:rsid w:val="00DF55D3"/>
    <w:rsid w:val="00DF6003"/>
    <w:rsid w:val="00DF601E"/>
    <w:rsid w:val="00DF7C6E"/>
    <w:rsid w:val="00E002F2"/>
    <w:rsid w:val="00E0045F"/>
    <w:rsid w:val="00E005E4"/>
    <w:rsid w:val="00E02F4D"/>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18B"/>
    <w:rsid w:val="00E27417"/>
    <w:rsid w:val="00E276C3"/>
    <w:rsid w:val="00E27798"/>
    <w:rsid w:val="00E3124B"/>
    <w:rsid w:val="00E321EA"/>
    <w:rsid w:val="00E36DB4"/>
    <w:rsid w:val="00E37C6D"/>
    <w:rsid w:val="00E4036E"/>
    <w:rsid w:val="00E414D3"/>
    <w:rsid w:val="00E43BAF"/>
    <w:rsid w:val="00E449B2"/>
    <w:rsid w:val="00E509C0"/>
    <w:rsid w:val="00E51855"/>
    <w:rsid w:val="00E518B8"/>
    <w:rsid w:val="00E528D2"/>
    <w:rsid w:val="00E529F5"/>
    <w:rsid w:val="00E556E2"/>
    <w:rsid w:val="00E55821"/>
    <w:rsid w:val="00E56CF4"/>
    <w:rsid w:val="00E57FB2"/>
    <w:rsid w:val="00E6253E"/>
    <w:rsid w:val="00E632C4"/>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0691"/>
    <w:rsid w:val="00E91B7B"/>
    <w:rsid w:val="00E91F01"/>
    <w:rsid w:val="00E92D73"/>
    <w:rsid w:val="00E94C34"/>
    <w:rsid w:val="00E9601E"/>
    <w:rsid w:val="00E961FE"/>
    <w:rsid w:val="00E96AEE"/>
    <w:rsid w:val="00E96BE1"/>
    <w:rsid w:val="00E97169"/>
    <w:rsid w:val="00E9725D"/>
    <w:rsid w:val="00E972A5"/>
    <w:rsid w:val="00E9773E"/>
    <w:rsid w:val="00EA02F9"/>
    <w:rsid w:val="00EA093A"/>
    <w:rsid w:val="00EA1998"/>
    <w:rsid w:val="00EA29E1"/>
    <w:rsid w:val="00EA2B02"/>
    <w:rsid w:val="00EA365B"/>
    <w:rsid w:val="00EA4CAE"/>
    <w:rsid w:val="00EA5B6A"/>
    <w:rsid w:val="00EA5F9D"/>
    <w:rsid w:val="00EA68D5"/>
    <w:rsid w:val="00EA75D5"/>
    <w:rsid w:val="00EA7E21"/>
    <w:rsid w:val="00EA7E48"/>
    <w:rsid w:val="00EB038E"/>
    <w:rsid w:val="00EB0E94"/>
    <w:rsid w:val="00EB1574"/>
    <w:rsid w:val="00EB3694"/>
    <w:rsid w:val="00EB377B"/>
    <w:rsid w:val="00EB3E52"/>
    <w:rsid w:val="00EB422C"/>
    <w:rsid w:val="00EB4C9B"/>
    <w:rsid w:val="00EB57D9"/>
    <w:rsid w:val="00EB5E0D"/>
    <w:rsid w:val="00EB6C48"/>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F19EE"/>
    <w:rsid w:val="00EF3A5A"/>
    <w:rsid w:val="00EF53A0"/>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382"/>
    <w:rsid w:val="00F22156"/>
    <w:rsid w:val="00F22AA9"/>
    <w:rsid w:val="00F24451"/>
    <w:rsid w:val="00F25345"/>
    <w:rsid w:val="00F253D4"/>
    <w:rsid w:val="00F256B8"/>
    <w:rsid w:val="00F268A2"/>
    <w:rsid w:val="00F26AEB"/>
    <w:rsid w:val="00F275FF"/>
    <w:rsid w:val="00F27945"/>
    <w:rsid w:val="00F27BFE"/>
    <w:rsid w:val="00F27D71"/>
    <w:rsid w:val="00F30A64"/>
    <w:rsid w:val="00F3269D"/>
    <w:rsid w:val="00F32D21"/>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47B3F"/>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987"/>
    <w:rsid w:val="00F91B3A"/>
    <w:rsid w:val="00F92EBA"/>
    <w:rsid w:val="00F93027"/>
    <w:rsid w:val="00F94742"/>
    <w:rsid w:val="00F961B6"/>
    <w:rsid w:val="00F97B16"/>
    <w:rsid w:val="00F97EBC"/>
    <w:rsid w:val="00FA05BA"/>
    <w:rsid w:val="00FA1942"/>
    <w:rsid w:val="00FA1ACA"/>
    <w:rsid w:val="00FA1FE5"/>
    <w:rsid w:val="00FA2E61"/>
    <w:rsid w:val="00FA2EA0"/>
    <w:rsid w:val="00FA3359"/>
    <w:rsid w:val="00FA5D43"/>
    <w:rsid w:val="00FA5F98"/>
    <w:rsid w:val="00FA5FCB"/>
    <w:rsid w:val="00FA6794"/>
    <w:rsid w:val="00FA7879"/>
    <w:rsid w:val="00FA79A3"/>
    <w:rsid w:val="00FB01D6"/>
    <w:rsid w:val="00FB08EB"/>
    <w:rsid w:val="00FB1A64"/>
    <w:rsid w:val="00FB1F12"/>
    <w:rsid w:val="00FB4439"/>
    <w:rsid w:val="00FB5C1A"/>
    <w:rsid w:val="00FC0AA7"/>
    <w:rsid w:val="00FC2E79"/>
    <w:rsid w:val="00FC4955"/>
    <w:rsid w:val="00FC61AE"/>
    <w:rsid w:val="00FC7642"/>
    <w:rsid w:val="00FD05AB"/>
    <w:rsid w:val="00FD0A1D"/>
    <w:rsid w:val="00FD1C83"/>
    <w:rsid w:val="00FD24E2"/>
    <w:rsid w:val="00FD2508"/>
    <w:rsid w:val="00FD3022"/>
    <w:rsid w:val="00FD4CDE"/>
    <w:rsid w:val="00FD74B2"/>
    <w:rsid w:val="00FE158B"/>
    <w:rsid w:val="00FE1885"/>
    <w:rsid w:val="00FE21F0"/>
    <w:rsid w:val="00FE59C4"/>
    <w:rsid w:val="00FE7737"/>
    <w:rsid w:val="00FE7D74"/>
    <w:rsid w:val="00FF0082"/>
    <w:rsid w:val="00FF05AE"/>
    <w:rsid w:val="00FF0D2E"/>
    <w:rsid w:val="00FF1C5C"/>
    <w:rsid w:val="00FF1C6C"/>
    <w:rsid w:val="00FF1E3F"/>
    <w:rsid w:val="00FF2642"/>
    <w:rsid w:val="00FF284E"/>
    <w:rsid w:val="00FF301D"/>
    <w:rsid w:val="00FF3389"/>
    <w:rsid w:val="00FF3F32"/>
    <w:rsid w:val="00FF507A"/>
    <w:rsid w:val="00FF5A73"/>
    <w:rsid w:val="00FF6A8D"/>
    <w:rsid w:val="00FF7071"/>
    <w:rsid w:val="00FF7AA7"/>
    <w:rsid w:val="011B01DC"/>
    <w:rsid w:val="01816CDA"/>
    <w:rsid w:val="01891DA9"/>
    <w:rsid w:val="01B6267E"/>
    <w:rsid w:val="01BF1628"/>
    <w:rsid w:val="01F3790D"/>
    <w:rsid w:val="021F24CC"/>
    <w:rsid w:val="02425AE3"/>
    <w:rsid w:val="02557D64"/>
    <w:rsid w:val="02597332"/>
    <w:rsid w:val="02C6435F"/>
    <w:rsid w:val="02F401FA"/>
    <w:rsid w:val="02FB201D"/>
    <w:rsid w:val="02FE457B"/>
    <w:rsid w:val="030244A8"/>
    <w:rsid w:val="031A762E"/>
    <w:rsid w:val="03266F40"/>
    <w:rsid w:val="034B62F8"/>
    <w:rsid w:val="034F2D2E"/>
    <w:rsid w:val="03660784"/>
    <w:rsid w:val="036B5CE3"/>
    <w:rsid w:val="03795907"/>
    <w:rsid w:val="038D4294"/>
    <w:rsid w:val="03B3461A"/>
    <w:rsid w:val="03FE080B"/>
    <w:rsid w:val="044E70F9"/>
    <w:rsid w:val="04D836FF"/>
    <w:rsid w:val="05575D67"/>
    <w:rsid w:val="05792FE4"/>
    <w:rsid w:val="05871BDD"/>
    <w:rsid w:val="05A762F0"/>
    <w:rsid w:val="05CD6751"/>
    <w:rsid w:val="05D15F6B"/>
    <w:rsid w:val="05F26BC1"/>
    <w:rsid w:val="05F60001"/>
    <w:rsid w:val="060F2797"/>
    <w:rsid w:val="061C303D"/>
    <w:rsid w:val="06380145"/>
    <w:rsid w:val="06AD3331"/>
    <w:rsid w:val="06EE0639"/>
    <w:rsid w:val="07043A2A"/>
    <w:rsid w:val="07177A05"/>
    <w:rsid w:val="077E5014"/>
    <w:rsid w:val="07896C25"/>
    <w:rsid w:val="07A55FF3"/>
    <w:rsid w:val="07A62D33"/>
    <w:rsid w:val="07B43150"/>
    <w:rsid w:val="07B5193B"/>
    <w:rsid w:val="08084D5F"/>
    <w:rsid w:val="08102EE2"/>
    <w:rsid w:val="08A42B15"/>
    <w:rsid w:val="08DA0346"/>
    <w:rsid w:val="08F473D8"/>
    <w:rsid w:val="0916256A"/>
    <w:rsid w:val="094F18DA"/>
    <w:rsid w:val="098A4ACF"/>
    <w:rsid w:val="098D592D"/>
    <w:rsid w:val="099A7D78"/>
    <w:rsid w:val="09AF44F3"/>
    <w:rsid w:val="0A202BD1"/>
    <w:rsid w:val="0A5A0C73"/>
    <w:rsid w:val="0A923CFB"/>
    <w:rsid w:val="0ABC0E30"/>
    <w:rsid w:val="0B096134"/>
    <w:rsid w:val="0B1070E1"/>
    <w:rsid w:val="0B22064F"/>
    <w:rsid w:val="0BA0433C"/>
    <w:rsid w:val="0BB7585C"/>
    <w:rsid w:val="0BC47AF1"/>
    <w:rsid w:val="0BF837F7"/>
    <w:rsid w:val="0C144458"/>
    <w:rsid w:val="0C243893"/>
    <w:rsid w:val="0C35530F"/>
    <w:rsid w:val="0C7A3F96"/>
    <w:rsid w:val="0CD5527D"/>
    <w:rsid w:val="0D3215B0"/>
    <w:rsid w:val="0D924229"/>
    <w:rsid w:val="0E0E4F0D"/>
    <w:rsid w:val="0E1674A7"/>
    <w:rsid w:val="0E481D2A"/>
    <w:rsid w:val="0E7B16A3"/>
    <w:rsid w:val="0E891CF8"/>
    <w:rsid w:val="0E8A70DD"/>
    <w:rsid w:val="0EAA7F8C"/>
    <w:rsid w:val="0EAF60FB"/>
    <w:rsid w:val="0EB20544"/>
    <w:rsid w:val="0F0122BD"/>
    <w:rsid w:val="0F1350A5"/>
    <w:rsid w:val="0F5D3DFC"/>
    <w:rsid w:val="0F7377DC"/>
    <w:rsid w:val="0FB82D70"/>
    <w:rsid w:val="0FD53D27"/>
    <w:rsid w:val="10407DC2"/>
    <w:rsid w:val="104C70D3"/>
    <w:rsid w:val="10853D50"/>
    <w:rsid w:val="10B31E6A"/>
    <w:rsid w:val="10DB57FB"/>
    <w:rsid w:val="116A0292"/>
    <w:rsid w:val="11B07508"/>
    <w:rsid w:val="11CA2B5B"/>
    <w:rsid w:val="124F3EDE"/>
    <w:rsid w:val="12DF64AB"/>
    <w:rsid w:val="12FB29FB"/>
    <w:rsid w:val="132E487D"/>
    <w:rsid w:val="137F7FA2"/>
    <w:rsid w:val="13C55F7E"/>
    <w:rsid w:val="143876B4"/>
    <w:rsid w:val="143A4636"/>
    <w:rsid w:val="145757E7"/>
    <w:rsid w:val="14B86A48"/>
    <w:rsid w:val="151B2A92"/>
    <w:rsid w:val="1596136A"/>
    <w:rsid w:val="15AB6523"/>
    <w:rsid w:val="15B538FC"/>
    <w:rsid w:val="15CE38A5"/>
    <w:rsid w:val="15DD749F"/>
    <w:rsid w:val="15E248CC"/>
    <w:rsid w:val="15FE4722"/>
    <w:rsid w:val="160F15DA"/>
    <w:rsid w:val="165713B9"/>
    <w:rsid w:val="16574106"/>
    <w:rsid w:val="16751CFB"/>
    <w:rsid w:val="16C731E1"/>
    <w:rsid w:val="1711580E"/>
    <w:rsid w:val="174F208E"/>
    <w:rsid w:val="175A280C"/>
    <w:rsid w:val="1779667D"/>
    <w:rsid w:val="178964D7"/>
    <w:rsid w:val="18C346AE"/>
    <w:rsid w:val="18DE603D"/>
    <w:rsid w:val="18E64A54"/>
    <w:rsid w:val="191109E9"/>
    <w:rsid w:val="192778DE"/>
    <w:rsid w:val="19323AEF"/>
    <w:rsid w:val="1933032F"/>
    <w:rsid w:val="193647BB"/>
    <w:rsid w:val="194B346B"/>
    <w:rsid w:val="198A6F4A"/>
    <w:rsid w:val="198E3A41"/>
    <w:rsid w:val="19E70DE5"/>
    <w:rsid w:val="1A1C6A9B"/>
    <w:rsid w:val="1A1D18C9"/>
    <w:rsid w:val="1A3725D0"/>
    <w:rsid w:val="1A3C665C"/>
    <w:rsid w:val="1A9E40E2"/>
    <w:rsid w:val="1ABC4125"/>
    <w:rsid w:val="1ABE2C6D"/>
    <w:rsid w:val="1AC37239"/>
    <w:rsid w:val="1AE76CF5"/>
    <w:rsid w:val="1AFD0438"/>
    <w:rsid w:val="1AFF27DB"/>
    <w:rsid w:val="1B1A2521"/>
    <w:rsid w:val="1B3830B0"/>
    <w:rsid w:val="1B8F0FD6"/>
    <w:rsid w:val="1BA42F8D"/>
    <w:rsid w:val="1BC95882"/>
    <w:rsid w:val="1BD8089A"/>
    <w:rsid w:val="1BD91610"/>
    <w:rsid w:val="1BE72051"/>
    <w:rsid w:val="1C5D28CD"/>
    <w:rsid w:val="1C632B49"/>
    <w:rsid w:val="1C69019A"/>
    <w:rsid w:val="1C805F5D"/>
    <w:rsid w:val="1CFB6B01"/>
    <w:rsid w:val="1D002743"/>
    <w:rsid w:val="1D1B15DB"/>
    <w:rsid w:val="1D27191A"/>
    <w:rsid w:val="1D411EBB"/>
    <w:rsid w:val="1D731231"/>
    <w:rsid w:val="1D8F0F64"/>
    <w:rsid w:val="1D9B6905"/>
    <w:rsid w:val="1DF132F1"/>
    <w:rsid w:val="1DF618E3"/>
    <w:rsid w:val="1DFF7AD1"/>
    <w:rsid w:val="1F036681"/>
    <w:rsid w:val="1F1E634B"/>
    <w:rsid w:val="1F1F116E"/>
    <w:rsid w:val="1F227393"/>
    <w:rsid w:val="1F2413DA"/>
    <w:rsid w:val="1F5627F9"/>
    <w:rsid w:val="1F5B1072"/>
    <w:rsid w:val="1FC35DD8"/>
    <w:rsid w:val="20113809"/>
    <w:rsid w:val="20130FFB"/>
    <w:rsid w:val="20220462"/>
    <w:rsid w:val="202B2E4D"/>
    <w:rsid w:val="203B406D"/>
    <w:rsid w:val="2078778E"/>
    <w:rsid w:val="20852D38"/>
    <w:rsid w:val="211C2307"/>
    <w:rsid w:val="211D398A"/>
    <w:rsid w:val="21DD23E6"/>
    <w:rsid w:val="21E36ACB"/>
    <w:rsid w:val="22104AF0"/>
    <w:rsid w:val="22384287"/>
    <w:rsid w:val="224A2FA4"/>
    <w:rsid w:val="227F2A39"/>
    <w:rsid w:val="22A13BFB"/>
    <w:rsid w:val="22AD6E6B"/>
    <w:rsid w:val="22EE30DC"/>
    <w:rsid w:val="22EE3273"/>
    <w:rsid w:val="23044798"/>
    <w:rsid w:val="23677270"/>
    <w:rsid w:val="23AA51D5"/>
    <w:rsid w:val="23B15BEF"/>
    <w:rsid w:val="23BB169E"/>
    <w:rsid w:val="24453B04"/>
    <w:rsid w:val="245C09F8"/>
    <w:rsid w:val="24770FF3"/>
    <w:rsid w:val="24A17D04"/>
    <w:rsid w:val="24D03920"/>
    <w:rsid w:val="25230F0E"/>
    <w:rsid w:val="255F4EEA"/>
    <w:rsid w:val="259B1EE2"/>
    <w:rsid w:val="267B7FC8"/>
    <w:rsid w:val="26AD3D12"/>
    <w:rsid w:val="26C009EF"/>
    <w:rsid w:val="275C0B59"/>
    <w:rsid w:val="277F1A5C"/>
    <w:rsid w:val="279E462F"/>
    <w:rsid w:val="27CE5C62"/>
    <w:rsid w:val="282A2F1E"/>
    <w:rsid w:val="28392BAC"/>
    <w:rsid w:val="284C3793"/>
    <w:rsid w:val="285A72FE"/>
    <w:rsid w:val="288948F7"/>
    <w:rsid w:val="28A31CD9"/>
    <w:rsid w:val="28F2674A"/>
    <w:rsid w:val="290B28AF"/>
    <w:rsid w:val="2916341D"/>
    <w:rsid w:val="291C61B9"/>
    <w:rsid w:val="29237E5D"/>
    <w:rsid w:val="293C01E1"/>
    <w:rsid w:val="29424715"/>
    <w:rsid w:val="29633F3F"/>
    <w:rsid w:val="29652BC2"/>
    <w:rsid w:val="299E25A6"/>
    <w:rsid w:val="29AE1E2D"/>
    <w:rsid w:val="2A074CD3"/>
    <w:rsid w:val="2A0D49E0"/>
    <w:rsid w:val="2A1C5D58"/>
    <w:rsid w:val="2A39708C"/>
    <w:rsid w:val="2A48067F"/>
    <w:rsid w:val="2A505E9A"/>
    <w:rsid w:val="2A60422A"/>
    <w:rsid w:val="2A785DAF"/>
    <w:rsid w:val="2AAD0657"/>
    <w:rsid w:val="2BE93196"/>
    <w:rsid w:val="2C017A63"/>
    <w:rsid w:val="2C39292C"/>
    <w:rsid w:val="2C7B4C1A"/>
    <w:rsid w:val="2C815890"/>
    <w:rsid w:val="2D0B7011"/>
    <w:rsid w:val="2D155E9A"/>
    <w:rsid w:val="2D411A69"/>
    <w:rsid w:val="2D8A6DEA"/>
    <w:rsid w:val="2D9A3C2C"/>
    <w:rsid w:val="2DC33EA7"/>
    <w:rsid w:val="2DC94D86"/>
    <w:rsid w:val="2E292E50"/>
    <w:rsid w:val="2E2B23BC"/>
    <w:rsid w:val="2E521B10"/>
    <w:rsid w:val="2E7A2AB7"/>
    <w:rsid w:val="2E7C38FC"/>
    <w:rsid w:val="2E956E4B"/>
    <w:rsid w:val="2F6D2902"/>
    <w:rsid w:val="2FCB21DB"/>
    <w:rsid w:val="2FE273D6"/>
    <w:rsid w:val="2FE27EA4"/>
    <w:rsid w:val="2FE53D10"/>
    <w:rsid w:val="2FFD321C"/>
    <w:rsid w:val="30053EBF"/>
    <w:rsid w:val="301A512E"/>
    <w:rsid w:val="3027566C"/>
    <w:rsid w:val="3057243A"/>
    <w:rsid w:val="3086147F"/>
    <w:rsid w:val="30CE02AD"/>
    <w:rsid w:val="30D215BF"/>
    <w:rsid w:val="30E07A97"/>
    <w:rsid w:val="31275B6A"/>
    <w:rsid w:val="31443613"/>
    <w:rsid w:val="317B5693"/>
    <w:rsid w:val="31836ACF"/>
    <w:rsid w:val="31BE2236"/>
    <w:rsid w:val="321130A8"/>
    <w:rsid w:val="3213368A"/>
    <w:rsid w:val="322D79E1"/>
    <w:rsid w:val="32B151F4"/>
    <w:rsid w:val="32B304FD"/>
    <w:rsid w:val="32E4768D"/>
    <w:rsid w:val="33010C9A"/>
    <w:rsid w:val="33092244"/>
    <w:rsid w:val="334D64CB"/>
    <w:rsid w:val="336D6D80"/>
    <w:rsid w:val="33C73566"/>
    <w:rsid w:val="33E27D01"/>
    <w:rsid w:val="340665EB"/>
    <w:rsid w:val="342D601A"/>
    <w:rsid w:val="34F4297D"/>
    <w:rsid w:val="352D3F35"/>
    <w:rsid w:val="35820D94"/>
    <w:rsid w:val="35886381"/>
    <w:rsid w:val="3623571A"/>
    <w:rsid w:val="363D258C"/>
    <w:rsid w:val="36AE5754"/>
    <w:rsid w:val="36D40535"/>
    <w:rsid w:val="36E91AFE"/>
    <w:rsid w:val="36F26AE3"/>
    <w:rsid w:val="36F81293"/>
    <w:rsid w:val="377B3CBF"/>
    <w:rsid w:val="378578C3"/>
    <w:rsid w:val="37CB166B"/>
    <w:rsid w:val="37F05AA8"/>
    <w:rsid w:val="381C7C1D"/>
    <w:rsid w:val="386952FE"/>
    <w:rsid w:val="38740A4E"/>
    <w:rsid w:val="38CA018D"/>
    <w:rsid w:val="38CC0B17"/>
    <w:rsid w:val="3959544D"/>
    <w:rsid w:val="39643002"/>
    <w:rsid w:val="396B0C05"/>
    <w:rsid w:val="398E760C"/>
    <w:rsid w:val="3A0C6132"/>
    <w:rsid w:val="3A2901A0"/>
    <w:rsid w:val="3A495E97"/>
    <w:rsid w:val="3A957E41"/>
    <w:rsid w:val="3AB46846"/>
    <w:rsid w:val="3AB71AA9"/>
    <w:rsid w:val="3AD0686C"/>
    <w:rsid w:val="3B765874"/>
    <w:rsid w:val="3B772438"/>
    <w:rsid w:val="3B7D1AE9"/>
    <w:rsid w:val="3BC0350B"/>
    <w:rsid w:val="3C9E0817"/>
    <w:rsid w:val="3CAC73D0"/>
    <w:rsid w:val="3CB267E6"/>
    <w:rsid w:val="3CC92B3C"/>
    <w:rsid w:val="3CF0161F"/>
    <w:rsid w:val="3D2B1073"/>
    <w:rsid w:val="3D480FBC"/>
    <w:rsid w:val="3D5D5DA9"/>
    <w:rsid w:val="3DA32482"/>
    <w:rsid w:val="3DC10BA9"/>
    <w:rsid w:val="3E1B491A"/>
    <w:rsid w:val="3EA4509E"/>
    <w:rsid w:val="3EBB7BC9"/>
    <w:rsid w:val="3F1E0ABF"/>
    <w:rsid w:val="3F42070F"/>
    <w:rsid w:val="3F7766BA"/>
    <w:rsid w:val="3F8F680D"/>
    <w:rsid w:val="3F9C0751"/>
    <w:rsid w:val="3FD0582E"/>
    <w:rsid w:val="3FE42449"/>
    <w:rsid w:val="3FEF08E0"/>
    <w:rsid w:val="40036A30"/>
    <w:rsid w:val="4009610F"/>
    <w:rsid w:val="40160809"/>
    <w:rsid w:val="40356C65"/>
    <w:rsid w:val="40373F47"/>
    <w:rsid w:val="40377882"/>
    <w:rsid w:val="40595C8B"/>
    <w:rsid w:val="405A5E8D"/>
    <w:rsid w:val="405D2BB1"/>
    <w:rsid w:val="40650B86"/>
    <w:rsid w:val="40867B5D"/>
    <w:rsid w:val="40A40717"/>
    <w:rsid w:val="41190E1C"/>
    <w:rsid w:val="414D448A"/>
    <w:rsid w:val="414D59F2"/>
    <w:rsid w:val="41977F54"/>
    <w:rsid w:val="41A7227A"/>
    <w:rsid w:val="41A8083B"/>
    <w:rsid w:val="41BD6515"/>
    <w:rsid w:val="41C1673C"/>
    <w:rsid w:val="421A3B26"/>
    <w:rsid w:val="423B2707"/>
    <w:rsid w:val="427C3845"/>
    <w:rsid w:val="42C23DB3"/>
    <w:rsid w:val="43330486"/>
    <w:rsid w:val="43385DE0"/>
    <w:rsid w:val="43475404"/>
    <w:rsid w:val="438756C2"/>
    <w:rsid w:val="439603E8"/>
    <w:rsid w:val="43CF0E7E"/>
    <w:rsid w:val="43E55D81"/>
    <w:rsid w:val="43FF62EA"/>
    <w:rsid w:val="441F71D0"/>
    <w:rsid w:val="4430589B"/>
    <w:rsid w:val="44A022B9"/>
    <w:rsid w:val="44CF3380"/>
    <w:rsid w:val="451232F6"/>
    <w:rsid w:val="45254DAA"/>
    <w:rsid w:val="453C611C"/>
    <w:rsid w:val="45830E0C"/>
    <w:rsid w:val="45B058FC"/>
    <w:rsid w:val="45CF1911"/>
    <w:rsid w:val="45D4681B"/>
    <w:rsid w:val="45E076AF"/>
    <w:rsid w:val="466B5ADD"/>
    <w:rsid w:val="468F3D94"/>
    <w:rsid w:val="470D4956"/>
    <w:rsid w:val="470E72B4"/>
    <w:rsid w:val="47A02651"/>
    <w:rsid w:val="47D56BC2"/>
    <w:rsid w:val="48786993"/>
    <w:rsid w:val="488B48B3"/>
    <w:rsid w:val="488F7CAF"/>
    <w:rsid w:val="4901401A"/>
    <w:rsid w:val="49563A4F"/>
    <w:rsid w:val="49DB32E7"/>
    <w:rsid w:val="4A0A411B"/>
    <w:rsid w:val="4A154596"/>
    <w:rsid w:val="4A367A6E"/>
    <w:rsid w:val="4A8279FA"/>
    <w:rsid w:val="4AA308BA"/>
    <w:rsid w:val="4B003156"/>
    <w:rsid w:val="4B4E0FDD"/>
    <w:rsid w:val="4B53629D"/>
    <w:rsid w:val="4BD93763"/>
    <w:rsid w:val="4BFE5D0D"/>
    <w:rsid w:val="4C586C2C"/>
    <w:rsid w:val="4C5D7AEC"/>
    <w:rsid w:val="4C6563CB"/>
    <w:rsid w:val="4CB21E0B"/>
    <w:rsid w:val="4CB46925"/>
    <w:rsid w:val="4CCF73D0"/>
    <w:rsid w:val="4D024936"/>
    <w:rsid w:val="4D0C773D"/>
    <w:rsid w:val="4D4D68B6"/>
    <w:rsid w:val="4D6D2BE8"/>
    <w:rsid w:val="4D924835"/>
    <w:rsid w:val="4DCB44F6"/>
    <w:rsid w:val="4E3F467A"/>
    <w:rsid w:val="4E451974"/>
    <w:rsid w:val="4E600AB1"/>
    <w:rsid w:val="4E8B30E1"/>
    <w:rsid w:val="4EAE7EEE"/>
    <w:rsid w:val="4EC40C9E"/>
    <w:rsid w:val="4ECF4BC4"/>
    <w:rsid w:val="4F0D6F0C"/>
    <w:rsid w:val="4F12763D"/>
    <w:rsid w:val="4F23726B"/>
    <w:rsid w:val="4F2C6C47"/>
    <w:rsid w:val="4F715103"/>
    <w:rsid w:val="4F7C206B"/>
    <w:rsid w:val="4FD276D6"/>
    <w:rsid w:val="4FE1032A"/>
    <w:rsid w:val="50641880"/>
    <w:rsid w:val="50BD2AC9"/>
    <w:rsid w:val="50C0232B"/>
    <w:rsid w:val="50D7648E"/>
    <w:rsid w:val="50F5652F"/>
    <w:rsid w:val="51083291"/>
    <w:rsid w:val="51262A1E"/>
    <w:rsid w:val="515B4561"/>
    <w:rsid w:val="51856BCB"/>
    <w:rsid w:val="51877BED"/>
    <w:rsid w:val="51C06E5A"/>
    <w:rsid w:val="51E12667"/>
    <w:rsid w:val="51E76491"/>
    <w:rsid w:val="51FF500F"/>
    <w:rsid w:val="523F55A0"/>
    <w:rsid w:val="525A510B"/>
    <w:rsid w:val="52B44731"/>
    <w:rsid w:val="532B46DA"/>
    <w:rsid w:val="5330609C"/>
    <w:rsid w:val="53426596"/>
    <w:rsid w:val="53641FCB"/>
    <w:rsid w:val="537D670B"/>
    <w:rsid w:val="53E15DA7"/>
    <w:rsid w:val="53E5022C"/>
    <w:rsid w:val="542A103A"/>
    <w:rsid w:val="54514779"/>
    <w:rsid w:val="54973DD0"/>
    <w:rsid w:val="54B9689A"/>
    <w:rsid w:val="54C76979"/>
    <w:rsid w:val="54E62652"/>
    <w:rsid w:val="54E830ED"/>
    <w:rsid w:val="54EB3D8B"/>
    <w:rsid w:val="54F45DB1"/>
    <w:rsid w:val="54F71AA5"/>
    <w:rsid w:val="55152795"/>
    <w:rsid w:val="558D468B"/>
    <w:rsid w:val="55D554F0"/>
    <w:rsid w:val="55FF1B5A"/>
    <w:rsid w:val="56284E06"/>
    <w:rsid w:val="562F5A31"/>
    <w:rsid w:val="56410D50"/>
    <w:rsid w:val="569412C5"/>
    <w:rsid w:val="56A031AF"/>
    <w:rsid w:val="56B40E08"/>
    <w:rsid w:val="56C0741E"/>
    <w:rsid w:val="56EA204C"/>
    <w:rsid w:val="56EF7124"/>
    <w:rsid w:val="56F450C3"/>
    <w:rsid w:val="57222732"/>
    <w:rsid w:val="573A52DD"/>
    <w:rsid w:val="57861778"/>
    <w:rsid w:val="57A51D0D"/>
    <w:rsid w:val="581D50D9"/>
    <w:rsid w:val="58311D9E"/>
    <w:rsid w:val="58593F4E"/>
    <w:rsid w:val="58842049"/>
    <w:rsid w:val="58930D25"/>
    <w:rsid w:val="58E04B01"/>
    <w:rsid w:val="58E8589D"/>
    <w:rsid w:val="59264988"/>
    <w:rsid w:val="592E5002"/>
    <w:rsid w:val="596D41F3"/>
    <w:rsid w:val="59BF5730"/>
    <w:rsid w:val="59F459BC"/>
    <w:rsid w:val="5A2534D5"/>
    <w:rsid w:val="5A987886"/>
    <w:rsid w:val="5AC20780"/>
    <w:rsid w:val="5AD83E7A"/>
    <w:rsid w:val="5AD94223"/>
    <w:rsid w:val="5B094EE0"/>
    <w:rsid w:val="5B190C3F"/>
    <w:rsid w:val="5B2D6064"/>
    <w:rsid w:val="5B37348D"/>
    <w:rsid w:val="5B471F1F"/>
    <w:rsid w:val="5B627193"/>
    <w:rsid w:val="5B7E465E"/>
    <w:rsid w:val="5BA31F63"/>
    <w:rsid w:val="5C32651F"/>
    <w:rsid w:val="5CC07945"/>
    <w:rsid w:val="5CC667A6"/>
    <w:rsid w:val="5CD161F0"/>
    <w:rsid w:val="5CDD3C76"/>
    <w:rsid w:val="5CE74417"/>
    <w:rsid w:val="5D8440F2"/>
    <w:rsid w:val="5D903BEA"/>
    <w:rsid w:val="5D93038E"/>
    <w:rsid w:val="5DB31E72"/>
    <w:rsid w:val="5DDB7E09"/>
    <w:rsid w:val="5E024249"/>
    <w:rsid w:val="5E47162C"/>
    <w:rsid w:val="5E5E3225"/>
    <w:rsid w:val="5EDF592C"/>
    <w:rsid w:val="5F0C6451"/>
    <w:rsid w:val="5F342437"/>
    <w:rsid w:val="5F86690C"/>
    <w:rsid w:val="5F9465B7"/>
    <w:rsid w:val="601C6D27"/>
    <w:rsid w:val="6021129C"/>
    <w:rsid w:val="6026192E"/>
    <w:rsid w:val="602D7AE0"/>
    <w:rsid w:val="606B0EE5"/>
    <w:rsid w:val="607C5B0B"/>
    <w:rsid w:val="60901EBB"/>
    <w:rsid w:val="610D2788"/>
    <w:rsid w:val="61291E40"/>
    <w:rsid w:val="615954BA"/>
    <w:rsid w:val="615B041E"/>
    <w:rsid w:val="61654E96"/>
    <w:rsid w:val="619604D6"/>
    <w:rsid w:val="61BD05A4"/>
    <w:rsid w:val="61CF5F81"/>
    <w:rsid w:val="61D46D5B"/>
    <w:rsid w:val="61D5095C"/>
    <w:rsid w:val="622E1231"/>
    <w:rsid w:val="623C640D"/>
    <w:rsid w:val="629444D9"/>
    <w:rsid w:val="62D877D8"/>
    <w:rsid w:val="62E64BB3"/>
    <w:rsid w:val="63584CD6"/>
    <w:rsid w:val="63627EFA"/>
    <w:rsid w:val="637533E7"/>
    <w:rsid w:val="637F24DA"/>
    <w:rsid w:val="63BC0128"/>
    <w:rsid w:val="63E20247"/>
    <w:rsid w:val="64104B28"/>
    <w:rsid w:val="64645FA0"/>
    <w:rsid w:val="646A6C2C"/>
    <w:rsid w:val="64B5128B"/>
    <w:rsid w:val="64BB7199"/>
    <w:rsid w:val="64E763A0"/>
    <w:rsid w:val="65210B92"/>
    <w:rsid w:val="65520000"/>
    <w:rsid w:val="65755FB1"/>
    <w:rsid w:val="658F4760"/>
    <w:rsid w:val="65DE7AF4"/>
    <w:rsid w:val="661108E6"/>
    <w:rsid w:val="66523BD5"/>
    <w:rsid w:val="668C5CF3"/>
    <w:rsid w:val="66E135ED"/>
    <w:rsid w:val="67031140"/>
    <w:rsid w:val="672E1817"/>
    <w:rsid w:val="674D349D"/>
    <w:rsid w:val="677C78B3"/>
    <w:rsid w:val="6786017B"/>
    <w:rsid w:val="67E014F3"/>
    <w:rsid w:val="67E9185C"/>
    <w:rsid w:val="67EE048C"/>
    <w:rsid w:val="67F1249F"/>
    <w:rsid w:val="68085627"/>
    <w:rsid w:val="681A1E33"/>
    <w:rsid w:val="68900F00"/>
    <w:rsid w:val="68D34630"/>
    <w:rsid w:val="69017E8A"/>
    <w:rsid w:val="690346E8"/>
    <w:rsid w:val="696C625D"/>
    <w:rsid w:val="69771147"/>
    <w:rsid w:val="69AF429D"/>
    <w:rsid w:val="69BC4C96"/>
    <w:rsid w:val="6A1A4552"/>
    <w:rsid w:val="6A276531"/>
    <w:rsid w:val="6A5029D3"/>
    <w:rsid w:val="6A6B6121"/>
    <w:rsid w:val="6A8E4559"/>
    <w:rsid w:val="6AA92CB7"/>
    <w:rsid w:val="6B085319"/>
    <w:rsid w:val="6B103FDF"/>
    <w:rsid w:val="6B295256"/>
    <w:rsid w:val="6B35627E"/>
    <w:rsid w:val="6B7910CD"/>
    <w:rsid w:val="6C360D67"/>
    <w:rsid w:val="6C9D36A1"/>
    <w:rsid w:val="6CA70C31"/>
    <w:rsid w:val="6CB47953"/>
    <w:rsid w:val="6CE476C0"/>
    <w:rsid w:val="6D506F6C"/>
    <w:rsid w:val="6D742F60"/>
    <w:rsid w:val="6D8F5DF4"/>
    <w:rsid w:val="6E060688"/>
    <w:rsid w:val="6E0F5A0F"/>
    <w:rsid w:val="6E32280E"/>
    <w:rsid w:val="6E6A4198"/>
    <w:rsid w:val="6E6E5077"/>
    <w:rsid w:val="6EA66490"/>
    <w:rsid w:val="6F072CBA"/>
    <w:rsid w:val="6F282ACD"/>
    <w:rsid w:val="6F505234"/>
    <w:rsid w:val="6F5B1C63"/>
    <w:rsid w:val="6F624CDB"/>
    <w:rsid w:val="6F684F29"/>
    <w:rsid w:val="6FB516F4"/>
    <w:rsid w:val="707003C5"/>
    <w:rsid w:val="70720C71"/>
    <w:rsid w:val="708F139A"/>
    <w:rsid w:val="70D62CDA"/>
    <w:rsid w:val="70ED0C5A"/>
    <w:rsid w:val="719808A6"/>
    <w:rsid w:val="71B4016B"/>
    <w:rsid w:val="71B52F37"/>
    <w:rsid w:val="72002A52"/>
    <w:rsid w:val="72554DB8"/>
    <w:rsid w:val="7268721E"/>
    <w:rsid w:val="72BD340B"/>
    <w:rsid w:val="72CE1C3F"/>
    <w:rsid w:val="72F2500C"/>
    <w:rsid w:val="732B3F97"/>
    <w:rsid w:val="73722CF3"/>
    <w:rsid w:val="73AA0E77"/>
    <w:rsid w:val="73B91647"/>
    <w:rsid w:val="744F69D2"/>
    <w:rsid w:val="74E0323B"/>
    <w:rsid w:val="74FA1712"/>
    <w:rsid w:val="75344EB7"/>
    <w:rsid w:val="753B7BFE"/>
    <w:rsid w:val="753F6432"/>
    <w:rsid w:val="755723C0"/>
    <w:rsid w:val="75CD7D76"/>
    <w:rsid w:val="75E8716F"/>
    <w:rsid w:val="760D3937"/>
    <w:rsid w:val="7653773E"/>
    <w:rsid w:val="768058A6"/>
    <w:rsid w:val="76BA4880"/>
    <w:rsid w:val="76C03645"/>
    <w:rsid w:val="76FC7017"/>
    <w:rsid w:val="772B36AE"/>
    <w:rsid w:val="775258B3"/>
    <w:rsid w:val="7773373C"/>
    <w:rsid w:val="77780C0F"/>
    <w:rsid w:val="77A57079"/>
    <w:rsid w:val="77C6012B"/>
    <w:rsid w:val="77D156FF"/>
    <w:rsid w:val="78604FCF"/>
    <w:rsid w:val="788B2A48"/>
    <w:rsid w:val="78B02D5E"/>
    <w:rsid w:val="78B45B14"/>
    <w:rsid w:val="78E24F1D"/>
    <w:rsid w:val="791C4BAB"/>
    <w:rsid w:val="791F1447"/>
    <w:rsid w:val="791F2B1D"/>
    <w:rsid w:val="794D7D1D"/>
    <w:rsid w:val="79737289"/>
    <w:rsid w:val="79997E5C"/>
    <w:rsid w:val="7A00168D"/>
    <w:rsid w:val="7A0F4078"/>
    <w:rsid w:val="7A271805"/>
    <w:rsid w:val="7A395634"/>
    <w:rsid w:val="7AB324BE"/>
    <w:rsid w:val="7ADA7168"/>
    <w:rsid w:val="7B2A0F1E"/>
    <w:rsid w:val="7B352AA5"/>
    <w:rsid w:val="7BB03624"/>
    <w:rsid w:val="7BB96419"/>
    <w:rsid w:val="7BC9360C"/>
    <w:rsid w:val="7BCB70F5"/>
    <w:rsid w:val="7C010990"/>
    <w:rsid w:val="7C403DDC"/>
    <w:rsid w:val="7C4D7D44"/>
    <w:rsid w:val="7C5C650E"/>
    <w:rsid w:val="7C7E194B"/>
    <w:rsid w:val="7C8D17F9"/>
    <w:rsid w:val="7C9630EE"/>
    <w:rsid w:val="7CBA7662"/>
    <w:rsid w:val="7D06510D"/>
    <w:rsid w:val="7D0B4552"/>
    <w:rsid w:val="7DD7534C"/>
    <w:rsid w:val="7DF17991"/>
    <w:rsid w:val="7DFC1D56"/>
    <w:rsid w:val="7E145689"/>
    <w:rsid w:val="7E23113B"/>
    <w:rsid w:val="7E4D144F"/>
    <w:rsid w:val="7E640F6B"/>
    <w:rsid w:val="7EB32EBD"/>
    <w:rsid w:val="7ED54166"/>
    <w:rsid w:val="7ED607F9"/>
    <w:rsid w:val="7F092506"/>
    <w:rsid w:val="7F0E2A27"/>
    <w:rsid w:val="7F2F4B1D"/>
    <w:rsid w:val="7F41500E"/>
    <w:rsid w:val="7F913875"/>
    <w:rsid w:val="7FBE2C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5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6"/>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5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58"/>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5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6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6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0"/>
    <w:pPr>
      <w:ind w:left="420" w:leftChars="200"/>
    </w:pPr>
  </w:style>
  <w:style w:type="paragraph" w:styleId="13">
    <w:name w:val="Normal Indent"/>
    <w:basedOn w:val="1"/>
    <w:next w:val="1"/>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63"/>
    <w:qFormat/>
    <w:uiPriority w:val="0"/>
    <w:pPr>
      <w:shd w:val="clear" w:color="auto" w:fill="000080"/>
    </w:pPr>
  </w:style>
  <w:style w:type="paragraph" w:styleId="16">
    <w:name w:val="annotation text"/>
    <w:basedOn w:val="1"/>
    <w:link w:val="64"/>
    <w:qFormat/>
    <w:uiPriority w:val="99"/>
    <w:pPr>
      <w:adjustRightInd w:val="0"/>
      <w:spacing w:line="360" w:lineRule="atLeast"/>
      <w:jc w:val="left"/>
      <w:textAlignment w:val="baseline"/>
    </w:pPr>
    <w:rPr>
      <w:kern w:val="0"/>
      <w:sz w:val="24"/>
      <w:szCs w:val="20"/>
    </w:rPr>
  </w:style>
  <w:style w:type="paragraph" w:styleId="17">
    <w:name w:val="Body Text 3"/>
    <w:basedOn w:val="1"/>
    <w:link w:val="65"/>
    <w:qFormat/>
    <w:uiPriority w:val="0"/>
    <w:pPr>
      <w:spacing w:after="120"/>
    </w:pPr>
    <w:rPr>
      <w:sz w:val="16"/>
      <w:szCs w:val="16"/>
    </w:rPr>
  </w:style>
  <w:style w:type="paragraph" w:styleId="18">
    <w:name w:val="Body Text"/>
    <w:basedOn w:val="1"/>
    <w:link w:val="66"/>
    <w:qFormat/>
    <w:uiPriority w:val="0"/>
    <w:pPr>
      <w:tabs>
        <w:tab w:val="left" w:pos="1500"/>
      </w:tabs>
      <w:spacing w:line="360" w:lineRule="auto"/>
    </w:pPr>
    <w:rPr>
      <w:rFonts w:ascii="宋体" w:hAnsi="宋体"/>
      <w:sz w:val="24"/>
    </w:rPr>
  </w:style>
  <w:style w:type="paragraph" w:styleId="19">
    <w:name w:val="Body Text Indent"/>
    <w:basedOn w:val="1"/>
    <w:link w:val="6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6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69"/>
    <w:qFormat/>
    <w:uiPriority w:val="0"/>
    <w:rPr>
      <w:sz w:val="24"/>
      <w:szCs w:val="20"/>
    </w:rPr>
  </w:style>
  <w:style w:type="paragraph" w:styleId="26">
    <w:name w:val="Body Text Indent 2"/>
    <w:basedOn w:val="1"/>
    <w:link w:val="70"/>
    <w:qFormat/>
    <w:uiPriority w:val="0"/>
    <w:pPr>
      <w:spacing w:line="540" w:lineRule="exact"/>
      <w:ind w:firstLine="570"/>
    </w:pPr>
    <w:rPr>
      <w:rFonts w:ascii="宋体" w:hAnsi="宋体"/>
      <w:sz w:val="24"/>
    </w:rPr>
  </w:style>
  <w:style w:type="paragraph" w:styleId="27">
    <w:name w:val="Balloon Text"/>
    <w:basedOn w:val="1"/>
    <w:link w:val="71"/>
    <w:qFormat/>
    <w:uiPriority w:val="0"/>
    <w:rPr>
      <w:sz w:val="18"/>
      <w:szCs w:val="18"/>
    </w:rPr>
  </w:style>
  <w:style w:type="paragraph" w:styleId="28">
    <w:name w:val="footer"/>
    <w:basedOn w:val="1"/>
    <w:link w:val="72"/>
    <w:qFormat/>
    <w:uiPriority w:val="0"/>
    <w:pPr>
      <w:tabs>
        <w:tab w:val="center" w:pos="4153"/>
        <w:tab w:val="right" w:pos="8306"/>
      </w:tabs>
      <w:snapToGrid w:val="0"/>
      <w:jc w:val="left"/>
    </w:pPr>
    <w:rPr>
      <w:sz w:val="18"/>
      <w:szCs w:val="18"/>
    </w:rPr>
  </w:style>
  <w:style w:type="paragraph" w:styleId="29">
    <w:name w:val="header"/>
    <w:basedOn w:val="1"/>
    <w:link w:val="7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7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link w:val="78"/>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79"/>
    <w:qFormat/>
    <w:uiPriority w:val="0"/>
    <w:pPr>
      <w:adjustRightInd/>
      <w:spacing w:line="240" w:lineRule="auto"/>
      <w:textAlignment w:val="auto"/>
    </w:pPr>
    <w:rPr>
      <w:b/>
      <w:bCs/>
      <w:kern w:val="2"/>
      <w:sz w:val="21"/>
      <w:szCs w:val="24"/>
    </w:rPr>
  </w:style>
  <w:style w:type="paragraph" w:styleId="42">
    <w:name w:val="Body Text First Indent"/>
    <w:basedOn w:val="18"/>
    <w:link w:val="80"/>
    <w:qFormat/>
    <w:uiPriority w:val="0"/>
    <w:pPr>
      <w:tabs>
        <w:tab w:val="clear" w:pos="1500"/>
      </w:tabs>
      <w:spacing w:after="120" w:line="240" w:lineRule="auto"/>
      <w:ind w:firstLine="420" w:firstLineChars="100"/>
    </w:pPr>
    <w:rPr>
      <w:sz w:val="21"/>
    </w:rPr>
  </w:style>
  <w:style w:type="paragraph" w:styleId="43">
    <w:name w:val="Body Text First Indent 2"/>
    <w:basedOn w:val="19"/>
    <w:qFormat/>
    <w:uiPriority w:val="0"/>
    <w:pPr>
      <w:spacing w:after="120" w:line="240" w:lineRule="auto"/>
      <w:ind w:left="200" w:leftChars="200" w:firstLine="200" w:firstLine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0"/>
    <w:rPr>
      <w:sz w:val="21"/>
      <w:szCs w:val="21"/>
    </w:rPr>
  </w:style>
  <w:style w:type="character" w:styleId="53">
    <w:name w:val="HTML Cite"/>
    <w:qFormat/>
    <w:uiPriority w:val="0"/>
  </w:style>
  <w:style w:type="character" w:customStyle="1" w:styleId="54">
    <w:name w:val="标题 1 字符"/>
    <w:link w:val="2"/>
    <w:qFormat/>
    <w:uiPriority w:val="0"/>
    <w:rPr>
      <w:rFonts w:ascii="黑体" w:eastAsia="黑体"/>
      <w:sz w:val="52"/>
    </w:rPr>
  </w:style>
  <w:style w:type="character" w:customStyle="1" w:styleId="55">
    <w:name w:val="标题 2 字符"/>
    <w:link w:val="3"/>
    <w:qFormat/>
    <w:uiPriority w:val="0"/>
    <w:rPr>
      <w:rFonts w:ascii="Cambria" w:hAnsi="Cambria" w:eastAsia="宋体" w:cs="Times New Roman"/>
      <w:b/>
      <w:bCs/>
      <w:kern w:val="2"/>
      <w:sz w:val="32"/>
      <w:szCs w:val="32"/>
    </w:rPr>
  </w:style>
  <w:style w:type="character" w:customStyle="1" w:styleId="56">
    <w:name w:val="标题 3 字符"/>
    <w:link w:val="4"/>
    <w:qFormat/>
    <w:uiPriority w:val="0"/>
    <w:rPr>
      <w:b/>
      <w:sz w:val="32"/>
    </w:rPr>
  </w:style>
  <w:style w:type="character" w:customStyle="1" w:styleId="57">
    <w:name w:val="标题 4 字符"/>
    <w:link w:val="5"/>
    <w:qFormat/>
    <w:uiPriority w:val="0"/>
    <w:rPr>
      <w:rFonts w:ascii="Arial" w:hAnsi="Arial" w:eastAsia="黑体"/>
      <w:sz w:val="28"/>
    </w:rPr>
  </w:style>
  <w:style w:type="character" w:customStyle="1" w:styleId="58">
    <w:name w:val="标题 5 字符"/>
    <w:link w:val="6"/>
    <w:qFormat/>
    <w:uiPriority w:val="0"/>
    <w:rPr>
      <w:rFonts w:ascii="宋体" w:hAnsi="宋体"/>
      <w:b/>
      <w:sz w:val="24"/>
    </w:rPr>
  </w:style>
  <w:style w:type="character" w:customStyle="1" w:styleId="59">
    <w:name w:val="标题 6 字符"/>
    <w:link w:val="7"/>
    <w:qFormat/>
    <w:uiPriority w:val="0"/>
    <w:rPr>
      <w:rFonts w:ascii="Arial" w:hAnsi="Arial" w:eastAsia="黑体"/>
      <w:b/>
      <w:bCs/>
      <w:sz w:val="24"/>
      <w:szCs w:val="24"/>
    </w:rPr>
  </w:style>
  <w:style w:type="character" w:customStyle="1" w:styleId="60">
    <w:name w:val="标题 7 字符"/>
    <w:link w:val="8"/>
    <w:qFormat/>
    <w:uiPriority w:val="0"/>
    <w:rPr>
      <w:b/>
      <w:bCs/>
      <w:sz w:val="24"/>
      <w:szCs w:val="24"/>
    </w:rPr>
  </w:style>
  <w:style w:type="character" w:customStyle="1" w:styleId="61">
    <w:name w:val="标题 8 字符"/>
    <w:link w:val="9"/>
    <w:qFormat/>
    <w:uiPriority w:val="0"/>
    <w:rPr>
      <w:rFonts w:ascii="Arial" w:hAnsi="Arial" w:eastAsia="黑体"/>
      <w:sz w:val="24"/>
      <w:szCs w:val="24"/>
    </w:rPr>
  </w:style>
  <w:style w:type="character" w:customStyle="1" w:styleId="62">
    <w:name w:val="标题 9 字符"/>
    <w:link w:val="10"/>
    <w:qFormat/>
    <w:uiPriority w:val="0"/>
    <w:rPr>
      <w:rFonts w:ascii="Arial" w:hAnsi="Arial" w:eastAsia="黑体"/>
      <w:sz w:val="21"/>
      <w:szCs w:val="21"/>
    </w:rPr>
  </w:style>
  <w:style w:type="character" w:customStyle="1" w:styleId="63">
    <w:name w:val="文档结构图 字符"/>
    <w:link w:val="15"/>
    <w:qFormat/>
    <w:uiPriority w:val="0"/>
    <w:rPr>
      <w:kern w:val="2"/>
      <w:sz w:val="21"/>
      <w:szCs w:val="24"/>
      <w:shd w:val="clear" w:color="auto" w:fill="000080"/>
    </w:rPr>
  </w:style>
  <w:style w:type="character" w:customStyle="1" w:styleId="64">
    <w:name w:val="批注文字 字符"/>
    <w:link w:val="16"/>
    <w:qFormat/>
    <w:uiPriority w:val="99"/>
    <w:rPr>
      <w:sz w:val="24"/>
    </w:rPr>
  </w:style>
  <w:style w:type="character" w:customStyle="1" w:styleId="65">
    <w:name w:val="正文文本 3 字符"/>
    <w:link w:val="17"/>
    <w:qFormat/>
    <w:uiPriority w:val="0"/>
    <w:rPr>
      <w:kern w:val="2"/>
      <w:sz w:val="16"/>
      <w:szCs w:val="16"/>
    </w:rPr>
  </w:style>
  <w:style w:type="character" w:customStyle="1" w:styleId="66">
    <w:name w:val="正文文本 字符"/>
    <w:link w:val="18"/>
    <w:qFormat/>
    <w:uiPriority w:val="0"/>
    <w:rPr>
      <w:rFonts w:ascii="宋体" w:hAnsi="宋体"/>
      <w:kern w:val="2"/>
      <w:sz w:val="24"/>
      <w:szCs w:val="24"/>
    </w:rPr>
  </w:style>
  <w:style w:type="character" w:customStyle="1" w:styleId="67">
    <w:name w:val="正文文本缩进 字符"/>
    <w:link w:val="19"/>
    <w:qFormat/>
    <w:uiPriority w:val="0"/>
    <w:rPr>
      <w:rFonts w:ascii="宋体" w:hAnsi="宋体"/>
      <w:kern w:val="2"/>
      <w:sz w:val="24"/>
      <w:szCs w:val="24"/>
    </w:rPr>
  </w:style>
  <w:style w:type="character" w:customStyle="1" w:styleId="68">
    <w:name w:val="纯文本 字符"/>
    <w:link w:val="23"/>
    <w:qFormat/>
    <w:uiPriority w:val="0"/>
    <w:rPr>
      <w:rFonts w:ascii="宋体" w:cs="Courier New"/>
      <w:kern w:val="2"/>
      <w:sz w:val="21"/>
      <w:szCs w:val="21"/>
    </w:rPr>
  </w:style>
  <w:style w:type="character" w:customStyle="1" w:styleId="69">
    <w:name w:val="日期 字符"/>
    <w:link w:val="25"/>
    <w:qFormat/>
    <w:uiPriority w:val="0"/>
    <w:rPr>
      <w:kern w:val="2"/>
      <w:sz w:val="24"/>
    </w:rPr>
  </w:style>
  <w:style w:type="character" w:customStyle="1" w:styleId="70">
    <w:name w:val="正文文本缩进 2 字符"/>
    <w:link w:val="26"/>
    <w:qFormat/>
    <w:uiPriority w:val="0"/>
    <w:rPr>
      <w:rFonts w:ascii="宋体" w:hAnsi="宋体"/>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0"/>
    <w:rPr>
      <w:kern w:val="2"/>
      <w:sz w:val="18"/>
      <w:szCs w:val="18"/>
    </w:rPr>
  </w:style>
  <w:style w:type="character" w:customStyle="1" w:styleId="73">
    <w:name w:val="页眉 字符"/>
    <w:link w:val="29"/>
    <w:qFormat/>
    <w:uiPriority w:val="99"/>
    <w:rPr>
      <w:sz w:val="18"/>
      <w:szCs w:val="18"/>
    </w:rPr>
  </w:style>
  <w:style w:type="character" w:customStyle="1" w:styleId="74">
    <w:name w:val="副标题 字符"/>
    <w:link w:val="32"/>
    <w:qFormat/>
    <w:uiPriority w:val="0"/>
    <w:rPr>
      <w:rFonts w:ascii="Cambria" w:hAnsi="Cambria" w:cs="Droid Sans"/>
      <w:b/>
      <w:bCs/>
      <w:kern w:val="28"/>
      <w:sz w:val="32"/>
      <w:szCs w:val="32"/>
    </w:rPr>
  </w:style>
  <w:style w:type="character" w:customStyle="1" w:styleId="75">
    <w:name w:val="脚注文本 字符"/>
    <w:link w:val="33"/>
    <w:qFormat/>
    <w:uiPriority w:val="0"/>
    <w:rPr>
      <w:sz w:val="18"/>
    </w:rPr>
  </w:style>
  <w:style w:type="character" w:customStyle="1" w:styleId="76">
    <w:name w:val="正文文本缩进 3 字符"/>
    <w:link w:val="35"/>
    <w:qFormat/>
    <w:uiPriority w:val="0"/>
    <w:rPr>
      <w:rFonts w:ascii="宋体" w:hAnsi="MS Sans Serif"/>
      <w:color w:val="000000"/>
      <w:sz w:val="24"/>
    </w:rPr>
  </w:style>
  <w:style w:type="character" w:customStyle="1" w:styleId="77">
    <w:name w:val="正文文本 2 字符"/>
    <w:link w:val="38"/>
    <w:qFormat/>
    <w:uiPriority w:val="0"/>
    <w:rPr>
      <w:kern w:val="2"/>
      <w:sz w:val="21"/>
      <w:szCs w:val="24"/>
    </w:rPr>
  </w:style>
  <w:style w:type="character" w:customStyle="1" w:styleId="78">
    <w:name w:val="标题 字符"/>
    <w:link w:val="40"/>
    <w:qFormat/>
    <w:uiPriority w:val="0"/>
    <w:rPr>
      <w:rFonts w:ascii="Cambria" w:hAnsi="Cambria" w:cs="Droid Sans"/>
      <w:b/>
      <w:bCs/>
      <w:kern w:val="2"/>
      <w:sz w:val="32"/>
      <w:szCs w:val="32"/>
    </w:rPr>
  </w:style>
  <w:style w:type="character" w:customStyle="1" w:styleId="79">
    <w:name w:val="批注主题 字符"/>
    <w:link w:val="41"/>
    <w:qFormat/>
    <w:uiPriority w:val="0"/>
    <w:rPr>
      <w:b/>
      <w:bCs/>
      <w:kern w:val="2"/>
      <w:sz w:val="21"/>
      <w:szCs w:val="24"/>
    </w:rPr>
  </w:style>
  <w:style w:type="character" w:customStyle="1" w:styleId="80">
    <w:name w:val="正文文本首行缩进 字符"/>
    <w:link w:val="42"/>
    <w:qFormat/>
    <w:uiPriority w:val="0"/>
    <w:rPr>
      <w:rFonts w:ascii="宋体" w:hAnsi="宋体"/>
      <w:kern w:val="2"/>
      <w:sz w:val="21"/>
      <w:szCs w:val="24"/>
    </w:rPr>
  </w:style>
  <w:style w:type="paragraph" w:customStyle="1" w:styleId="81">
    <w:name w:val="表格文字"/>
    <w:basedOn w:val="82"/>
    <w:qFormat/>
    <w:uiPriority w:val="0"/>
    <w:pPr>
      <w:spacing w:before="25" w:after="25"/>
    </w:pPr>
    <w:rPr>
      <w:bCs/>
      <w:spacing w:val="10"/>
      <w:sz w:val="24"/>
      <w:szCs w:val="20"/>
    </w:rPr>
  </w:style>
  <w:style w:type="paragraph" w:customStyle="1" w:styleId="82">
    <w:name w:val="表格文字（两侧对齐）"/>
    <w:basedOn w:val="1"/>
    <w:qFormat/>
    <w:uiPriority w:val="0"/>
    <w:pPr>
      <w:widowControl w:val="0"/>
    </w:pPr>
    <w:rPr>
      <w:rFonts w:ascii="Calibri" w:hAnsi="Calibri" w:cs="Times New Roman"/>
      <w:sz w:val="20"/>
    </w:rPr>
  </w:style>
  <w:style w:type="paragraph" w:customStyle="1" w:styleId="83">
    <w:name w:val="Default"/>
    <w:basedOn w:val="40"/>
    <w:qFormat/>
    <w:uiPriority w:val="0"/>
    <w:pPr>
      <w:widowControl w:val="0"/>
      <w:autoSpaceDE w:val="0"/>
      <w:autoSpaceDN w:val="0"/>
      <w:adjustRightInd w:val="0"/>
    </w:pPr>
    <w:rPr>
      <w:rFonts w:ascii="宋体"/>
      <w:color w:val="000000"/>
      <w:sz w:val="24"/>
      <w:lang w:val="en-US" w:eastAsia="zh-CN" w:bidi="ar-SA"/>
    </w:rPr>
  </w:style>
  <w:style w:type="character" w:customStyle="1" w:styleId="84">
    <w:name w:val="不明显强调1"/>
    <w:qFormat/>
    <w:uiPriority w:val="0"/>
    <w:rPr>
      <w:i/>
      <w:iCs/>
      <w:color w:val="808080"/>
    </w:rPr>
  </w:style>
  <w:style w:type="character" w:customStyle="1" w:styleId="85">
    <w:name w:val="批注框文本 Char1"/>
    <w:qFormat/>
    <w:uiPriority w:val="0"/>
    <w:rPr>
      <w:kern w:val="2"/>
      <w:sz w:val="18"/>
      <w:szCs w:val="18"/>
    </w:rPr>
  </w:style>
  <w:style w:type="character" w:customStyle="1" w:styleId="86">
    <w:name w:val="批注文字 Char Char"/>
    <w:qFormat/>
    <w:uiPriority w:val="0"/>
    <w:rPr>
      <w:rFonts w:ascii="宋体" w:eastAsia="宋体" w:cs="Times New Roman"/>
      <w:sz w:val="28"/>
      <w:szCs w:val="20"/>
      <w:lang w:bidi="ar-SA"/>
    </w:rPr>
  </w:style>
  <w:style w:type="character" w:customStyle="1" w:styleId="87">
    <w:name w:val="textcontents"/>
    <w:qFormat/>
    <w:uiPriority w:val="0"/>
    <w:rPr>
      <w:rFonts w:cs="Times New Roman"/>
      <w:lang w:bidi="ar-SA"/>
    </w:rPr>
  </w:style>
  <w:style w:type="character" w:customStyle="1" w:styleId="88">
    <w:name w:val="纯文本 Char1"/>
    <w:qFormat/>
    <w:locked/>
    <w:uiPriority w:val="0"/>
    <w:rPr>
      <w:rFonts w:ascii="Courier New" w:hAnsi="Courier New"/>
      <w:kern w:val="2"/>
      <w:sz w:val="21"/>
    </w:rPr>
  </w:style>
  <w:style w:type="character" w:customStyle="1" w:styleId="89">
    <w:name w:val="Char Char9"/>
    <w:qFormat/>
    <w:uiPriority w:val="0"/>
    <w:rPr>
      <w:rFonts w:ascii="Arial" w:hAnsi="Arial" w:eastAsia="宋体"/>
      <w:b/>
      <w:bCs/>
      <w:kern w:val="2"/>
      <w:sz w:val="21"/>
      <w:szCs w:val="28"/>
      <w:lang w:val="en-US" w:eastAsia="zh-CN" w:bidi="ar-SA"/>
    </w:rPr>
  </w:style>
  <w:style w:type="character" w:customStyle="1" w:styleId="90">
    <w:name w:val="Char Char12"/>
    <w:qFormat/>
    <w:locked/>
    <w:uiPriority w:val="0"/>
    <w:rPr>
      <w:rFonts w:eastAsia="宋体"/>
      <w:b/>
      <w:bCs/>
      <w:kern w:val="44"/>
      <w:sz w:val="32"/>
      <w:szCs w:val="44"/>
      <w:lang w:val="en-US" w:eastAsia="zh-CN" w:bidi="ar-SA"/>
    </w:rPr>
  </w:style>
  <w:style w:type="character" w:customStyle="1" w:styleId="91">
    <w:name w:val="Quote Char1"/>
    <w:qFormat/>
    <w:locked/>
    <w:uiPriority w:val="0"/>
    <w:rPr>
      <w:rFonts w:cs="Times New Roman"/>
      <w:i/>
      <w:iCs/>
      <w:color w:val="000000"/>
      <w:sz w:val="21"/>
      <w:szCs w:val="21"/>
    </w:rPr>
  </w:style>
  <w:style w:type="character" w:customStyle="1" w:styleId="92">
    <w:name w:val="Char Char16"/>
    <w:qFormat/>
    <w:uiPriority w:val="0"/>
    <w:rPr>
      <w:rFonts w:eastAsia="宋体"/>
      <w:kern w:val="2"/>
      <w:sz w:val="21"/>
      <w:szCs w:val="24"/>
      <w:lang w:val="en-US" w:eastAsia="zh-CN" w:bidi="ar-SA"/>
    </w:rPr>
  </w:style>
  <w:style w:type="character" w:customStyle="1" w:styleId="93">
    <w:name w:val="标题 2 Char1"/>
    <w:qFormat/>
    <w:locked/>
    <w:uiPriority w:val="0"/>
    <w:rPr>
      <w:rFonts w:ascii="Arial" w:hAnsi="Arial" w:eastAsia="黑体"/>
      <w:b/>
      <w:bCs/>
      <w:kern w:val="2"/>
      <w:sz w:val="32"/>
      <w:szCs w:val="32"/>
    </w:rPr>
  </w:style>
  <w:style w:type="character" w:customStyle="1" w:styleId="94">
    <w:name w:val="不明显参考1"/>
    <w:qFormat/>
    <w:uiPriority w:val="0"/>
    <w:rPr>
      <w:smallCaps/>
      <w:color w:val="C0504D"/>
      <w:u w:val="single"/>
    </w:rPr>
  </w:style>
  <w:style w:type="character" w:customStyle="1" w:styleId="95">
    <w:name w:val="font101"/>
    <w:qFormat/>
    <w:uiPriority w:val="0"/>
    <w:rPr>
      <w:rFonts w:hint="eastAsia" w:ascii="宋体" w:hAnsi="宋体" w:eastAsia="宋体" w:cs="宋体"/>
      <w:color w:val="000000"/>
      <w:sz w:val="21"/>
      <w:szCs w:val="21"/>
      <w:u w:val="single"/>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样式 Char Char"/>
    <w:link w:val="98"/>
    <w:qFormat/>
    <w:locked/>
    <w:uiPriority w:val="0"/>
    <w:rPr>
      <w:rFonts w:ascii="宋体" w:eastAsia="Times New Roman" w:cs="宋体"/>
      <w:sz w:val="24"/>
      <w:szCs w:val="24"/>
      <w:lang w:val="en-US" w:eastAsia="zh-CN" w:bidi="ar-SA"/>
    </w:rPr>
  </w:style>
  <w:style w:type="paragraph" w:customStyle="1" w:styleId="98">
    <w:name w:val="样式"/>
    <w:link w:val="97"/>
    <w:qFormat/>
    <w:uiPriority w:val="0"/>
    <w:pPr>
      <w:widowControl w:val="0"/>
      <w:autoSpaceDE w:val="0"/>
      <w:autoSpaceDN w:val="0"/>
      <w:adjustRightInd w:val="0"/>
    </w:pPr>
    <w:rPr>
      <w:rFonts w:ascii="宋体" w:hAnsi="Times New Roman" w:eastAsia="Times New Roman" w:cs="宋体"/>
      <w:sz w:val="24"/>
      <w:szCs w:val="24"/>
      <w:lang w:val="en-US" w:eastAsia="zh-CN" w:bidi="ar-SA"/>
    </w:rPr>
  </w:style>
  <w:style w:type="character" w:customStyle="1" w:styleId="99">
    <w:name w:val="副标题 Char1"/>
    <w:qFormat/>
    <w:uiPriority w:val="0"/>
    <w:rPr>
      <w:rFonts w:ascii="Cambria" w:hAnsi="Cambria" w:cs="Times New Roman"/>
      <w:b/>
      <w:bCs/>
      <w:kern w:val="28"/>
      <w:sz w:val="32"/>
      <w:szCs w:val="32"/>
    </w:rPr>
  </w:style>
  <w:style w:type="character" w:customStyle="1" w:styleId="100">
    <w:name w:val="正文文本 Char1"/>
    <w:qFormat/>
    <w:uiPriority w:val="0"/>
    <w:rPr>
      <w:kern w:val="2"/>
      <w:sz w:val="21"/>
      <w:szCs w:val="22"/>
    </w:rPr>
  </w:style>
  <w:style w:type="character" w:customStyle="1" w:styleId="101">
    <w:name w:val="文档结构图 Char1"/>
    <w:qFormat/>
    <w:uiPriority w:val="0"/>
    <w:rPr>
      <w:rFonts w:ascii="宋体" w:hAnsi="宋体"/>
      <w:kern w:val="2"/>
      <w:sz w:val="18"/>
      <w:szCs w:val="18"/>
    </w:rPr>
  </w:style>
  <w:style w:type="character" w:customStyle="1" w:styleId="102">
    <w:name w:val="标题 Char1"/>
    <w:qFormat/>
    <w:uiPriority w:val="0"/>
    <w:rPr>
      <w:rFonts w:ascii="Cambria" w:hAnsi="Cambria" w:cs="Times New Roman"/>
      <w:b/>
      <w:bCs/>
      <w:kern w:val="2"/>
      <w:sz w:val="32"/>
      <w:szCs w:val="32"/>
    </w:rPr>
  </w:style>
  <w:style w:type="character" w:customStyle="1" w:styleId="103">
    <w:name w:val="样式 宋体"/>
    <w:qFormat/>
    <w:uiPriority w:val="0"/>
    <w:rPr>
      <w:rFonts w:ascii="宋体" w:hAnsi="宋体" w:eastAsia="宋体" w:cs="宋体"/>
      <w:sz w:val="21"/>
      <w:szCs w:val="21"/>
    </w:rPr>
  </w:style>
  <w:style w:type="character" w:customStyle="1" w:styleId="104">
    <w:name w:val="ca-52"/>
    <w:qFormat/>
    <w:uiPriority w:val="0"/>
    <w:rPr>
      <w:rFonts w:cs="Times New Roman"/>
    </w:rPr>
  </w:style>
  <w:style w:type="character" w:customStyle="1" w:styleId="105">
    <w:name w:val="ca-51"/>
    <w:qFormat/>
    <w:uiPriority w:val="0"/>
    <w:rPr>
      <w:rFonts w:hint="eastAsia" w:ascii="宋体" w:hAnsi="宋体" w:eastAsia="宋体"/>
      <w:sz w:val="24"/>
      <w:szCs w:val="24"/>
    </w:rPr>
  </w:style>
  <w:style w:type="character" w:customStyle="1" w:styleId="106">
    <w:name w:val="明显引用 字符"/>
    <w:link w:val="107"/>
    <w:qFormat/>
    <w:uiPriority w:val="0"/>
    <w:rPr>
      <w:rFonts w:cs="Droid Sans"/>
      <w:b/>
      <w:bCs/>
      <w:i/>
      <w:iCs/>
      <w:color w:val="4F81BD"/>
      <w:kern w:val="2"/>
      <w:sz w:val="21"/>
      <w:szCs w:val="22"/>
    </w:rPr>
  </w:style>
  <w:style w:type="paragraph" w:styleId="107">
    <w:name w:val="Intense Quote"/>
    <w:basedOn w:val="1"/>
    <w:next w:val="1"/>
    <w:link w:val="106"/>
    <w:qFormat/>
    <w:uiPriority w:val="0"/>
    <w:pPr>
      <w:pBdr>
        <w:bottom w:val="single" w:color="4F81BD" w:sz="4" w:space="4"/>
      </w:pBdr>
      <w:spacing w:before="200" w:after="280"/>
      <w:ind w:left="936" w:right="936"/>
    </w:pPr>
    <w:rPr>
      <w:b/>
      <w:bCs/>
      <w:i/>
      <w:iCs/>
      <w:color w:val="4F81BD"/>
      <w:szCs w:val="22"/>
    </w:rPr>
  </w:style>
  <w:style w:type="character" w:customStyle="1" w:styleId="108">
    <w:name w:val="h3 Char2"/>
    <w:qFormat/>
    <w:uiPriority w:val="0"/>
    <w:rPr>
      <w:rFonts w:eastAsia="宋体"/>
      <w:b/>
      <w:bCs/>
      <w:kern w:val="2"/>
      <w:sz w:val="24"/>
      <w:szCs w:val="32"/>
      <w:lang w:val="en-US" w:eastAsia="zh-CN" w:bidi="ar-SA"/>
    </w:rPr>
  </w:style>
  <w:style w:type="character" w:customStyle="1" w:styleId="109">
    <w:name w:val="正文1 Char"/>
    <w:link w:val="110"/>
    <w:qFormat/>
    <w:uiPriority w:val="0"/>
    <w:rPr>
      <w:sz w:val="24"/>
    </w:rPr>
  </w:style>
  <w:style w:type="paragraph" w:customStyle="1" w:styleId="110">
    <w:name w:val="正文1"/>
    <w:basedOn w:val="1"/>
    <w:link w:val="109"/>
    <w:qFormat/>
    <w:uiPriority w:val="0"/>
    <w:pPr>
      <w:spacing w:line="360" w:lineRule="auto"/>
      <w:ind w:right="240" w:rightChars="100" w:firstLine="480" w:firstLineChars="200"/>
      <w:jc w:val="left"/>
    </w:pPr>
    <w:rPr>
      <w:kern w:val="0"/>
      <w:sz w:val="24"/>
      <w:szCs w:val="20"/>
    </w:rPr>
  </w:style>
  <w:style w:type="character" w:customStyle="1" w:styleId="111">
    <w:name w:val="Quote Char"/>
    <w:link w:val="112"/>
    <w:qFormat/>
    <w:locked/>
    <w:uiPriority w:val="0"/>
    <w:rPr>
      <w:i/>
      <w:color w:val="000000"/>
      <w:kern w:val="2"/>
      <w:sz w:val="22"/>
    </w:rPr>
  </w:style>
  <w:style w:type="paragraph" w:customStyle="1" w:styleId="112">
    <w:name w:val="引用1"/>
    <w:basedOn w:val="1"/>
    <w:next w:val="1"/>
    <w:link w:val="111"/>
    <w:qFormat/>
    <w:uiPriority w:val="0"/>
    <w:rPr>
      <w:i/>
      <w:color w:val="000000"/>
      <w:sz w:val="22"/>
      <w:szCs w:val="20"/>
    </w:rPr>
  </w:style>
  <w:style w:type="character" w:customStyle="1" w:styleId="113">
    <w:name w:val="font91"/>
    <w:qFormat/>
    <w:uiPriority w:val="0"/>
    <w:rPr>
      <w:rFonts w:hint="eastAsia" w:ascii="宋体" w:hAnsi="宋体" w:eastAsia="宋体" w:cs="宋体"/>
      <w:color w:val="FF0000"/>
      <w:sz w:val="21"/>
      <w:szCs w:val="21"/>
      <w:u w:val="single"/>
    </w:rPr>
  </w:style>
  <w:style w:type="character" w:customStyle="1" w:styleId="114">
    <w:name w:val="Char Char10"/>
    <w:qFormat/>
    <w:uiPriority w:val="0"/>
    <w:rPr>
      <w:rFonts w:eastAsia="宋体"/>
      <w:b/>
      <w:bCs/>
      <w:kern w:val="2"/>
      <w:sz w:val="24"/>
      <w:szCs w:val="32"/>
      <w:lang w:val="en-US" w:eastAsia="zh-CN" w:bidi="ar-SA"/>
    </w:rPr>
  </w:style>
  <w:style w:type="character" w:customStyle="1" w:styleId="115">
    <w:name w:val="引用 字符"/>
    <w:link w:val="116"/>
    <w:qFormat/>
    <w:uiPriority w:val="0"/>
    <w:rPr>
      <w:rFonts w:cs="Droid Sans"/>
      <w:i/>
      <w:iCs/>
      <w:color w:val="000000"/>
      <w:kern w:val="2"/>
      <w:sz w:val="21"/>
      <w:szCs w:val="22"/>
    </w:rPr>
  </w:style>
  <w:style w:type="paragraph" w:styleId="116">
    <w:name w:val="Quote"/>
    <w:basedOn w:val="1"/>
    <w:next w:val="1"/>
    <w:link w:val="115"/>
    <w:qFormat/>
    <w:uiPriority w:val="0"/>
    <w:rPr>
      <w:i/>
      <w:iCs/>
      <w:color w:val="000000"/>
      <w:szCs w:val="22"/>
    </w:rPr>
  </w:style>
  <w:style w:type="character" w:customStyle="1" w:styleId="117">
    <w:name w:val="正文文本 3 Char1"/>
    <w:qFormat/>
    <w:uiPriority w:val="0"/>
    <w:rPr>
      <w:kern w:val="2"/>
      <w:sz w:val="16"/>
      <w:szCs w:val="16"/>
    </w:rPr>
  </w:style>
  <w:style w:type="character" w:customStyle="1" w:styleId="118">
    <w:name w:val="gonggao-downline1"/>
    <w:qFormat/>
    <w:uiPriority w:val="0"/>
    <w:rPr>
      <w:rFonts w:cs="Times New Roman"/>
      <w:b/>
      <w:bCs/>
      <w:u w:val="single"/>
    </w:rPr>
  </w:style>
  <w:style w:type="character" w:customStyle="1" w:styleId="119">
    <w:name w:val="HTML Markup"/>
    <w:qFormat/>
    <w:uiPriority w:val="0"/>
    <w:rPr>
      <w:vanish/>
      <w:color w:val="FF0000"/>
    </w:rPr>
  </w:style>
  <w:style w:type="character" w:customStyle="1" w:styleId="120">
    <w:name w:val="样式 宋体 四号"/>
    <w:qFormat/>
    <w:uiPriority w:val="0"/>
    <w:rPr>
      <w:rFonts w:hint="eastAsia" w:ascii="宋体" w:hAnsi="宋体" w:eastAsia="仿宋_GB2312"/>
      <w:sz w:val="28"/>
    </w:rPr>
  </w:style>
  <w:style w:type="character" w:customStyle="1" w:styleId="121">
    <w:name w:val="Char Char3"/>
    <w:qFormat/>
    <w:uiPriority w:val="0"/>
    <w:rPr>
      <w:rFonts w:ascii="宋体" w:eastAsia="宋体" w:cs="Courier New"/>
      <w:kern w:val="2"/>
      <w:sz w:val="21"/>
      <w:szCs w:val="21"/>
      <w:lang w:val="en-US" w:eastAsia="zh-CN" w:bidi="ar-SA"/>
    </w:rPr>
  </w:style>
  <w:style w:type="character" w:customStyle="1" w:styleId="122">
    <w:name w:val="font111"/>
    <w:qFormat/>
    <w:uiPriority w:val="0"/>
    <w:rPr>
      <w:rFonts w:hint="default" w:ascii="Eʩ" w:hAnsi="Eʩ" w:eastAsia="Eʩ" w:cs="Eʩ"/>
      <w:color w:val="000000"/>
      <w:sz w:val="21"/>
      <w:szCs w:val="21"/>
      <w:u w:val="single"/>
    </w:rPr>
  </w:style>
  <w:style w:type="character" w:customStyle="1" w:styleId="123">
    <w:name w:val="引用 Char1"/>
    <w:qFormat/>
    <w:uiPriority w:val="99"/>
    <w:rPr>
      <w:i/>
      <w:iCs/>
      <w:color w:val="000000"/>
      <w:kern w:val="2"/>
      <w:sz w:val="21"/>
      <w:szCs w:val="24"/>
    </w:rPr>
  </w:style>
  <w:style w:type="character" w:customStyle="1" w:styleId="124">
    <w:name w:val="Char Char2"/>
    <w:qFormat/>
    <w:locked/>
    <w:uiPriority w:val="0"/>
    <w:rPr>
      <w:rFonts w:ascii="宋体" w:hAnsi="宋体" w:eastAsia="宋体"/>
      <w:kern w:val="2"/>
      <w:sz w:val="18"/>
      <w:szCs w:val="18"/>
      <w:lang w:val="en-US" w:eastAsia="zh-CN" w:bidi="ar-SA"/>
    </w:rPr>
  </w:style>
  <w:style w:type="character" w:customStyle="1" w:styleId="125">
    <w:name w:val="批注主题 Char1"/>
    <w:qFormat/>
    <w:uiPriority w:val="0"/>
    <w:rPr>
      <w:b/>
      <w:bCs/>
      <w:kern w:val="2"/>
      <w:sz w:val="21"/>
      <w:szCs w:val="22"/>
    </w:rPr>
  </w:style>
  <w:style w:type="character" w:customStyle="1" w:styleId="126">
    <w:name w:val="明显参考1"/>
    <w:qFormat/>
    <w:uiPriority w:val="0"/>
    <w:rPr>
      <w:b/>
      <w:bCs/>
      <w:smallCaps/>
      <w:color w:val="C0504D"/>
      <w:spacing w:val="5"/>
      <w:u w:val="single"/>
    </w:rPr>
  </w:style>
  <w:style w:type="character" w:customStyle="1" w:styleId="127">
    <w:name w:val="明显引用 Char1"/>
    <w:qFormat/>
    <w:uiPriority w:val="99"/>
    <w:rPr>
      <w:b/>
      <w:bCs/>
      <w:i/>
      <w:iCs/>
      <w:color w:val="4F81BD"/>
      <w:kern w:val="2"/>
      <w:sz w:val="21"/>
      <w:szCs w:val="24"/>
    </w:rPr>
  </w:style>
  <w:style w:type="character" w:customStyle="1" w:styleId="128">
    <w:name w:val="明显强调1"/>
    <w:qFormat/>
    <w:uiPriority w:val="0"/>
    <w:rPr>
      <w:b/>
      <w:bCs/>
      <w:i/>
      <w:iCs/>
      <w:color w:val="4F81BD"/>
    </w:rPr>
  </w:style>
  <w:style w:type="character" w:customStyle="1" w:styleId="129">
    <w:name w:val="Page Number1"/>
    <w:qFormat/>
    <w:uiPriority w:val="0"/>
    <w:rPr>
      <w:rFonts w:cs="Times New Roman"/>
    </w:rPr>
  </w:style>
  <w:style w:type="character" w:customStyle="1" w:styleId="130">
    <w:name w:val="日期 Char1"/>
    <w:qFormat/>
    <w:uiPriority w:val="0"/>
    <w:rPr>
      <w:kern w:val="2"/>
      <w:sz w:val="21"/>
      <w:szCs w:val="22"/>
    </w:rPr>
  </w:style>
  <w:style w:type="character" w:customStyle="1" w:styleId="131">
    <w:name w:val="批注主题 Char2"/>
    <w:qFormat/>
    <w:locked/>
    <w:uiPriority w:val="0"/>
    <w:rPr>
      <w:rFonts w:eastAsia="宋体"/>
      <w:b/>
      <w:bCs/>
      <w:kern w:val="2"/>
      <w:sz w:val="21"/>
      <w:szCs w:val="24"/>
      <w:lang w:val="en-US" w:eastAsia="zh-CN" w:bidi="ar-SA"/>
    </w:rPr>
  </w:style>
  <w:style w:type="character" w:customStyle="1" w:styleId="132">
    <w:name w:val="书籍标题1"/>
    <w:qFormat/>
    <w:uiPriority w:val="0"/>
    <w:rPr>
      <w:b/>
      <w:bCs/>
      <w:smallCaps/>
      <w:spacing w:val="5"/>
    </w:rPr>
  </w:style>
  <w:style w:type="character" w:customStyle="1" w:styleId="133">
    <w:name w:val="font31"/>
    <w:qFormat/>
    <w:uiPriority w:val="0"/>
    <w:rPr>
      <w:rFonts w:hint="eastAsia" w:ascii="宋体" w:hAnsi="宋体" w:eastAsia="宋体" w:cs="宋体"/>
      <w:color w:val="000000"/>
      <w:sz w:val="21"/>
      <w:szCs w:val="21"/>
      <w:u w:val="none"/>
    </w:rPr>
  </w:style>
  <w:style w:type="paragraph" w:customStyle="1" w:styleId="134">
    <w:name w:val="Normal Indent1"/>
    <w:basedOn w:val="1"/>
    <w:qFormat/>
    <w:uiPriority w:val="0"/>
    <w:pPr>
      <w:ind w:firstLine="420" w:firstLineChars="200"/>
    </w:pPr>
    <w:rPr>
      <w:rFonts w:cs="Droid Sans"/>
      <w:szCs w:val="21"/>
    </w:rPr>
  </w:style>
  <w:style w:type="paragraph" w:customStyle="1" w:styleId="135">
    <w:name w:val="样式1嗒嗒嗒"/>
    <w:basedOn w:val="1"/>
    <w:qFormat/>
    <w:uiPriority w:val="0"/>
    <w:pPr>
      <w:spacing w:line="360" w:lineRule="auto"/>
      <w:ind w:firstLine="680"/>
    </w:pPr>
    <w:rPr>
      <w:rFonts w:ascii="仿宋_GB2312" w:hAnsi="Times New Roman"/>
      <w:sz w:val="24"/>
      <w:szCs w:val="28"/>
    </w:rPr>
  </w:style>
  <w:style w:type="paragraph" w:customStyle="1" w:styleId="136">
    <w:name w:val="表格标题"/>
    <w:basedOn w:val="1"/>
    <w:qFormat/>
    <w:uiPriority w:val="0"/>
    <w:pPr>
      <w:spacing w:beforeLines="100" w:afterLines="100"/>
      <w:jc w:val="center"/>
    </w:pPr>
    <w:rPr>
      <w:rFonts w:cs="Droid Sans"/>
      <w:b/>
      <w:bCs/>
      <w:sz w:val="44"/>
      <w:szCs w:val="44"/>
    </w:rPr>
  </w:style>
  <w:style w:type="paragraph" w:customStyle="1" w:styleId="137">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9">
    <w:name w:val="正文首行缩进两字符"/>
    <w:basedOn w:val="1"/>
    <w:qFormat/>
    <w:uiPriority w:val="0"/>
    <w:pPr>
      <w:spacing w:line="360" w:lineRule="auto"/>
      <w:ind w:firstLine="200" w:firstLineChars="200"/>
    </w:pPr>
  </w:style>
  <w:style w:type="paragraph" w:customStyle="1" w:styleId="14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1">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2">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4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44">
    <w:name w:val="_Style 143"/>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46">
    <w:name w:val="表格"/>
    <w:basedOn w:val="1"/>
    <w:qFormat/>
    <w:uiPriority w:val="0"/>
    <w:pPr>
      <w:spacing w:line="360" w:lineRule="exact"/>
    </w:pPr>
    <w:rPr>
      <w:sz w:val="24"/>
    </w:rPr>
  </w:style>
  <w:style w:type="paragraph" w:customStyle="1" w:styleId="147">
    <w:name w:val="_Style 2"/>
    <w:basedOn w:val="1"/>
    <w:qFormat/>
    <w:uiPriority w:val="0"/>
    <w:pPr>
      <w:ind w:firstLine="420" w:firstLineChars="200"/>
    </w:pPr>
    <w:rPr>
      <w:sz w:val="18"/>
      <w:szCs w:val="18"/>
    </w:rPr>
  </w:style>
  <w:style w:type="paragraph" w:customStyle="1" w:styleId="14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9">
    <w:name w:val="Table Text"/>
    <w:basedOn w:val="1"/>
    <w:semiHidden/>
    <w:qFormat/>
    <w:uiPriority w:val="0"/>
    <w:rPr>
      <w:rFonts w:ascii="宋体" w:hAnsi="宋体" w:eastAsia="宋体" w:cs="宋体"/>
      <w:sz w:val="22"/>
      <w:szCs w:val="22"/>
      <w:lang w:val="en-US" w:eastAsia="en-US" w:bidi="ar-SA"/>
    </w:rPr>
  </w:style>
  <w:style w:type="paragraph" w:customStyle="1" w:styleId="150">
    <w:name w:val="QQ"/>
    <w:basedOn w:val="1"/>
    <w:qFormat/>
    <w:uiPriority w:val="0"/>
    <w:pPr>
      <w:spacing w:before="120" w:after="120" w:line="360" w:lineRule="auto"/>
      <w:ind w:firstLine="510"/>
    </w:pPr>
    <w:rPr>
      <w:rFonts w:ascii="宋体" w:cs="Droid Sans"/>
      <w:color w:val="000000"/>
      <w:szCs w:val="20"/>
    </w:rPr>
  </w:style>
  <w:style w:type="paragraph" w:customStyle="1" w:styleId="151">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152">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3">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4">
    <w:name w:val="目录"/>
    <w:basedOn w:val="1"/>
    <w:qFormat/>
    <w:uiPriority w:val="0"/>
    <w:pPr>
      <w:widowControl/>
      <w:jc w:val="center"/>
    </w:pPr>
    <w:rPr>
      <w:rFonts w:ascii="宋体"/>
      <w:b/>
      <w:kern w:val="0"/>
      <w:sz w:val="36"/>
      <w:szCs w:val="20"/>
    </w:rPr>
  </w:style>
  <w:style w:type="paragraph" w:customStyle="1" w:styleId="155">
    <w:name w:val="列出段落11"/>
    <w:basedOn w:val="1"/>
    <w:qFormat/>
    <w:uiPriority w:val="34"/>
    <w:pPr>
      <w:ind w:firstLine="420" w:firstLineChars="200"/>
    </w:pPr>
  </w:style>
  <w:style w:type="paragraph" w:customStyle="1" w:styleId="156">
    <w:name w:val="Date1"/>
    <w:basedOn w:val="1"/>
    <w:next w:val="1"/>
    <w:qFormat/>
    <w:uiPriority w:val="0"/>
    <w:rPr>
      <w:rFonts w:cs="Droid Sans"/>
      <w:sz w:val="24"/>
    </w:rPr>
  </w:style>
  <w:style w:type="paragraph" w:customStyle="1" w:styleId="157">
    <w:name w:val="Char Char Char Char1"/>
    <w:basedOn w:val="1"/>
    <w:qFormat/>
    <w:uiPriority w:val="0"/>
  </w:style>
  <w:style w:type="paragraph" w:customStyle="1" w:styleId="158">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59">
    <w:name w:val="表格1"/>
    <w:basedOn w:val="1"/>
    <w:qFormat/>
    <w:uiPriority w:val="0"/>
    <w:pPr>
      <w:adjustRightInd w:val="0"/>
      <w:spacing w:before="80" w:after="80"/>
      <w:jc w:val="left"/>
      <w:textAlignment w:val="baseline"/>
    </w:pPr>
    <w:rPr>
      <w:kern w:val="24"/>
      <w:szCs w:val="20"/>
    </w:rPr>
  </w:style>
  <w:style w:type="paragraph" w:customStyle="1" w:styleId="160">
    <w:name w:val="Char2"/>
    <w:basedOn w:val="1"/>
    <w:qFormat/>
    <w:uiPriority w:val="0"/>
    <w:rPr>
      <w:rFonts w:ascii="Tahoma" w:hAnsi="Tahoma"/>
      <w:sz w:val="24"/>
      <w:szCs w:val="20"/>
    </w:rPr>
  </w:style>
  <w:style w:type="paragraph" w:customStyle="1" w:styleId="161">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62">
    <w:name w:val="Document Map1"/>
    <w:basedOn w:val="1"/>
    <w:qFormat/>
    <w:uiPriority w:val="0"/>
    <w:pPr>
      <w:shd w:val="clear" w:color="auto" w:fill="000080"/>
    </w:pPr>
    <w:rPr>
      <w:rFonts w:cs="Droid Sans"/>
      <w:szCs w:val="21"/>
    </w:rPr>
  </w:style>
  <w:style w:type="paragraph" w:customStyle="1" w:styleId="163">
    <w:name w:val="WW-普通文字"/>
    <w:basedOn w:val="1"/>
    <w:qFormat/>
    <w:uiPriority w:val="0"/>
    <w:pPr>
      <w:suppressAutoHyphens/>
    </w:pPr>
    <w:rPr>
      <w:rFonts w:ascii="宋体" w:hAnsi="宋体"/>
      <w:kern w:val="1"/>
      <w:szCs w:val="20"/>
    </w:rPr>
  </w:style>
  <w:style w:type="paragraph" w:customStyle="1" w:styleId="164">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65">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6">
    <w:name w:val="Char Char Char Char Char Char Char Char Char Char Char Char Char Char Char Char"/>
    <w:basedOn w:val="1"/>
    <w:qFormat/>
    <w:uiPriority w:val="0"/>
  </w:style>
  <w:style w:type="paragraph" w:customStyle="1" w:styleId="167">
    <w:name w:val="Char Char Char1 Char"/>
    <w:basedOn w:val="1"/>
    <w:qFormat/>
    <w:uiPriority w:val="0"/>
    <w:rPr>
      <w:rFonts w:cs="Droid Sans"/>
      <w:sz w:val="28"/>
      <w:szCs w:val="28"/>
    </w:rPr>
  </w:style>
  <w:style w:type="paragraph" w:customStyle="1" w:styleId="168">
    <w:name w:val="Char1"/>
    <w:basedOn w:val="1"/>
    <w:qFormat/>
    <w:uiPriority w:val="0"/>
    <w:rPr>
      <w:rFonts w:cs="Droid Sans"/>
      <w:szCs w:val="21"/>
    </w:rPr>
  </w:style>
  <w:style w:type="paragraph" w:styleId="169">
    <w:name w:val="No Spacing"/>
    <w:qFormat/>
    <w:uiPriority w:val="0"/>
    <w:pPr>
      <w:widowControl w:val="0"/>
      <w:jc w:val="both"/>
    </w:pPr>
    <w:rPr>
      <w:rFonts w:ascii="Times New Roman" w:hAnsi="Times New Roman" w:eastAsia="宋体" w:cs="Droid Sans"/>
      <w:kern w:val="2"/>
      <w:sz w:val="21"/>
      <w:szCs w:val="22"/>
      <w:lang w:val="en-US" w:eastAsia="zh-CN" w:bidi="ar-SA"/>
    </w:rPr>
  </w:style>
  <w:style w:type="paragraph" w:customStyle="1" w:styleId="170">
    <w:name w:val="Char1 Char Char Char Char Char Char"/>
    <w:basedOn w:val="15"/>
    <w:next w:val="4"/>
    <w:qFormat/>
    <w:uiPriority w:val="0"/>
    <w:pPr>
      <w:adjustRightInd w:val="0"/>
      <w:spacing w:line="600" w:lineRule="exact"/>
      <w:jc w:val="center"/>
      <w:outlineLvl w:val="2"/>
    </w:pPr>
    <w:rPr>
      <w:szCs w:val="20"/>
    </w:rPr>
  </w:style>
  <w:style w:type="paragraph" w:customStyle="1" w:styleId="171">
    <w:name w:val="Char3"/>
    <w:basedOn w:val="1"/>
    <w:qFormat/>
    <w:uiPriority w:val="0"/>
  </w:style>
  <w:style w:type="paragraph" w:customStyle="1" w:styleId="172">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3">
    <w:name w:val="Char11"/>
    <w:basedOn w:val="1"/>
    <w:qFormat/>
    <w:uiPriority w:val="0"/>
    <w:rPr>
      <w:rFonts w:ascii="Tahoma" w:hAnsi="Tahoma"/>
      <w:b/>
      <w:sz w:val="28"/>
      <w:szCs w:val="28"/>
    </w:rPr>
  </w:style>
  <w:style w:type="paragraph" w:customStyle="1" w:styleId="174">
    <w:name w:val="Char Char Char Char"/>
    <w:basedOn w:val="1"/>
    <w:qFormat/>
    <w:uiPriority w:val="0"/>
  </w:style>
  <w:style w:type="paragraph" w:customStyle="1" w:styleId="175">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列出段落3"/>
    <w:basedOn w:val="1"/>
    <w:qFormat/>
    <w:uiPriority w:val="34"/>
    <w:pPr>
      <w:ind w:firstLine="420" w:firstLineChars="200"/>
    </w:pPr>
  </w:style>
  <w:style w:type="paragraph" w:customStyle="1" w:styleId="177">
    <w:name w:val="Body Text Indent1"/>
    <w:basedOn w:val="1"/>
    <w:qFormat/>
    <w:uiPriority w:val="0"/>
    <w:pPr>
      <w:ind w:left="525" w:leftChars="250"/>
    </w:pPr>
    <w:rPr>
      <w:rFonts w:cs="Droid Sans"/>
      <w:szCs w:val="21"/>
    </w:rPr>
  </w:style>
  <w:style w:type="paragraph" w:customStyle="1" w:styleId="178">
    <w:name w:val="列出段落1"/>
    <w:basedOn w:val="1"/>
    <w:qFormat/>
    <w:uiPriority w:val="34"/>
    <w:pPr>
      <w:ind w:firstLine="420" w:firstLineChars="200"/>
    </w:pPr>
  </w:style>
  <w:style w:type="paragraph" w:customStyle="1" w:styleId="1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0">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1">
    <w:name w:val="cde"/>
    <w:basedOn w:val="1"/>
    <w:qFormat/>
    <w:uiPriority w:val="0"/>
    <w:pPr>
      <w:spacing w:line="360" w:lineRule="auto"/>
      <w:jc w:val="center"/>
    </w:pPr>
    <w:rPr>
      <w:rFonts w:ascii="Arial" w:hAnsi="Arial"/>
      <w:b/>
      <w:sz w:val="28"/>
      <w:szCs w:val="20"/>
    </w:rPr>
  </w:style>
  <w:style w:type="paragraph" w:customStyle="1" w:styleId="182">
    <w:name w:val="Char"/>
    <w:basedOn w:val="1"/>
    <w:qFormat/>
    <w:uiPriority w:val="0"/>
  </w:style>
  <w:style w:type="paragraph" w:customStyle="1" w:styleId="183">
    <w:name w:val="修订2"/>
    <w:semiHidden/>
    <w:qFormat/>
    <w:uiPriority w:val="99"/>
    <w:rPr>
      <w:rFonts w:ascii="Times New Roman" w:hAnsi="Times New Roman" w:eastAsia="宋体" w:cs="Times New Roman"/>
      <w:kern w:val="2"/>
      <w:sz w:val="21"/>
      <w:szCs w:val="24"/>
      <w:lang w:val="en-US" w:eastAsia="zh-CN" w:bidi="ar-SA"/>
    </w:rPr>
  </w:style>
  <w:style w:type="paragraph" w:styleId="184">
    <w:name w:val="List Paragraph"/>
    <w:basedOn w:val="1"/>
    <w:qFormat/>
    <w:uiPriority w:val="34"/>
    <w:pPr>
      <w:ind w:firstLine="420" w:firstLineChars="200"/>
    </w:pPr>
    <w:rPr>
      <w:szCs w:val="22"/>
    </w:rPr>
  </w:style>
  <w:style w:type="paragraph" w:customStyle="1" w:styleId="185">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8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7">
    <w:name w:val="TOC 标题1"/>
    <w:basedOn w:val="2"/>
    <w:next w:val="1"/>
    <w:qFormat/>
    <w:uiPriority w:val="0"/>
    <w:pPr>
      <w:keepLines/>
      <w:numPr>
        <w:ilvl w:val="0"/>
        <w:numId w:val="0"/>
      </w:numPr>
      <w:spacing w:before="480" w:line="276" w:lineRule="auto"/>
      <w:jc w:val="left"/>
      <w:outlineLvl w:val="9"/>
    </w:pPr>
    <w:rPr>
      <w:rFonts w:ascii="Cambria" w:hAnsi="Cambria" w:eastAsia="宋体"/>
      <w:b/>
      <w:bCs/>
      <w:color w:val="365F91"/>
      <w:sz w:val="28"/>
      <w:szCs w:val="28"/>
    </w:rPr>
  </w:style>
  <w:style w:type="paragraph" w:customStyle="1" w:styleId="18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89">
    <w:name w:val="样式1"/>
    <w:basedOn w:val="1"/>
    <w:next w:val="5"/>
    <w:qFormat/>
    <w:uiPriority w:val="0"/>
    <w:pPr>
      <w:spacing w:line="360" w:lineRule="auto"/>
      <w:ind w:firstLine="420" w:firstLineChars="200"/>
    </w:pPr>
    <w:rPr>
      <w:rFonts w:ascii="宋体" w:hAnsi="宋体"/>
      <w:szCs w:val="21"/>
    </w:rPr>
  </w:style>
  <w:style w:type="paragraph" w:customStyle="1" w:styleId="190">
    <w:name w:val="修订1"/>
    <w:qFormat/>
    <w:uiPriority w:val="0"/>
    <w:rPr>
      <w:rFonts w:ascii="Times New Roman" w:hAnsi="Times New Roman" w:eastAsia="宋体" w:cs="Times New Roman"/>
      <w:kern w:val="2"/>
      <w:sz w:val="21"/>
      <w:szCs w:val="24"/>
      <w:lang w:val="en-US" w:eastAsia="zh-CN" w:bidi="ar-SA"/>
    </w:rPr>
  </w:style>
  <w:style w:type="paragraph" w:customStyle="1" w:styleId="191">
    <w:name w:val="Char Char Char"/>
    <w:basedOn w:val="15"/>
    <w:next w:val="4"/>
    <w:qFormat/>
    <w:uiPriority w:val="0"/>
    <w:pPr>
      <w:adjustRightInd w:val="0"/>
      <w:spacing w:line="600" w:lineRule="exact"/>
      <w:jc w:val="center"/>
      <w:outlineLvl w:val="2"/>
    </w:pPr>
    <w:rPr>
      <w:szCs w:val="20"/>
    </w:rPr>
  </w:style>
  <w:style w:type="paragraph" w:customStyle="1" w:styleId="192">
    <w:name w:val="Plain Text1"/>
    <w:basedOn w:val="1"/>
    <w:qFormat/>
    <w:uiPriority w:val="0"/>
    <w:rPr>
      <w:rFonts w:ascii="宋体" w:hAnsi="Courier New" w:cs="Courier New"/>
      <w:szCs w:val="21"/>
    </w:rPr>
  </w:style>
  <w:style w:type="table" w:customStyle="1" w:styleId="193">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94">
    <w:name w:val="网格型2"/>
    <w:basedOn w:val="4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6">
    <w:name w:val="Table Paragraph"/>
    <w:basedOn w:val="1"/>
    <w:qFormat/>
    <w:uiPriority w:val="1"/>
    <w:rPr>
      <w:rFonts w:ascii="宋体" w:hAnsi="宋体" w:cs="宋体"/>
      <w:lang w:val="zh-CN" w:bidi="zh-CN"/>
    </w:rPr>
  </w:style>
  <w:style w:type="paragraph" w:customStyle="1" w:styleId="197">
    <w:name w:val="样式 首行缩进: 2 字符"/>
    <w:basedOn w:val="1"/>
    <w:qFormat/>
    <w:uiPriority w:val="0"/>
    <w:pPr>
      <w:spacing w:after="160" w:line="400" w:lineRule="exact"/>
      <w:ind w:firstLine="200" w:firstLineChars="200"/>
    </w:pPr>
    <w:rPr>
      <w:sz w:val="24"/>
    </w:rPr>
  </w:style>
  <w:style w:type="character" w:customStyle="1" w:styleId="198">
    <w:name w:val="font1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52</Pages>
  <Words>16752</Words>
  <Characters>17561</Characters>
  <Lines>138</Lines>
  <Paragraphs>38</Paragraphs>
  <TotalTime>189</TotalTime>
  <ScaleCrop>false</ScaleCrop>
  <LinksUpToDate>false</LinksUpToDate>
  <CharactersWithSpaces>19162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2019-07-23T02:50:00Z</dcterms:created>
  <dc:creator>Legend User</dc:creator>
  <cp:lastModifiedBy>毛</cp:lastModifiedBy>
  <cp:lastPrinted>2025-06-11T08:13:00Z</cp:lastPrinted>
  <dcterms:modified xsi:type="dcterms:W3CDTF">2025-08-11T07:40:38Z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E03A586806B741CB9A2CFBC3E9070035_13</vt:lpwstr>
  </property>
  <property fmtid="{D5CDD505-2E9C-101B-9397-08002B2CF9AE}" pid="4" name="KSOTemplateDocerSaveRecord">
    <vt:lpwstr>eyJoZGlkIjoiZWQwNGUyYjE2ODg0NTAwOTY4YTIzM2FkZGY1NzAzOWUiLCJ1c2VySWQiOiI1MTA1MjE2MTMifQ==</vt:lpwstr>
  </property>
</Properties>
</file>