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0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金堂县第一人民医院2025年第二批拟引进药品公示表及新药厂家资料收取通知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tbl>
            <w:tblPr>
              <w:tblStyle w:val="4"/>
              <w:tblW w:w="716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0"/>
              <w:gridCol w:w="3420"/>
              <w:gridCol w:w="19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编号</w:t>
                  </w:r>
                </w:p>
              </w:tc>
              <w:tc>
                <w:tcPr>
                  <w:tcW w:w="3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14:ligatures w14:val="none"/>
                    </w:rPr>
                    <w:t>药品名称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14:ligatures w14:val="none"/>
                    </w:rPr>
                    <w:t>药品规格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注射用艾博韦泰（艾可宁）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160mg/1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比克恩丙诺片（必妥维）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拉米夫定多替拉韦片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Y20250504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多拉米替片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Y20250505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艾诺米替片（复邦德）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Y20250506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盐酸鲁拉西酮片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40mg/30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Y20250507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盐酸度洛西汀肠溶胶囊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60mg/14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粒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/1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Y20250508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马来酸氟伏沙明片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50mg/30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Y20250509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盐酸氟西汀胶囊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20mg/28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Y20250510</w:t>
                  </w:r>
                </w:p>
              </w:tc>
              <w:tc>
                <w:tcPr>
                  <w:tcW w:w="342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碳酸锂缓释片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0.3g/100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/1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Y20250511</w:t>
                  </w:r>
                </w:p>
              </w:tc>
              <w:tc>
                <w:tcPr>
                  <w:tcW w:w="3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14:ligatures w14:val="none"/>
                    </w:rPr>
                    <w:t>拉莫三嗪片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25mg/24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/2</w:t>
                  </w:r>
                  <w:r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2"/>
                      <w14:ligatures w14:val="none"/>
                    </w:rPr>
                    <w:t>板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2025年5月21日</w:t>
      </w:r>
      <w:r>
        <w:rPr>
          <w:rFonts w:hint="eastAsia" w:ascii="仿宋" w:hAnsi="仿宋" w:eastAsia="仿宋"/>
          <w:sz w:val="28"/>
          <w:szCs w:val="28"/>
        </w:rPr>
        <w:t>，我院</w:t>
      </w:r>
      <w:r>
        <w:rPr>
          <w:rFonts w:ascii="仿宋" w:hAnsi="仿宋" w:eastAsia="仿宋"/>
          <w:sz w:val="28"/>
          <w:szCs w:val="28"/>
        </w:rPr>
        <w:t>召开了2025年第三次药事管理与药物治疗学委员会，</w:t>
      </w:r>
      <w:r>
        <w:rPr>
          <w:rFonts w:hint="eastAsia" w:ascii="仿宋" w:hAnsi="仿宋" w:eastAsia="仿宋"/>
          <w:sz w:val="28"/>
          <w:szCs w:val="28"/>
        </w:rPr>
        <w:t>经过汇报、讨论、投票环节，拟引进专科药品11个品种。</w:t>
      </w:r>
      <w:r>
        <w:rPr>
          <w:rFonts w:ascii="仿宋" w:hAnsi="仿宋" w:eastAsia="仿宋"/>
          <w:sz w:val="28"/>
          <w:szCs w:val="28"/>
        </w:rPr>
        <w:t>请符合要求的生产厂家，于2025年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27日至</w:t>
      </w: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29日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个工作日内，递交相关资料。资料交至临床药学科10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办公室</w:t>
      </w:r>
      <w:r>
        <w:rPr>
          <w:rFonts w:hint="eastAsia" w:ascii="仿宋" w:hAnsi="仿宋" w:eastAsia="仿宋"/>
          <w:sz w:val="28"/>
          <w:szCs w:val="28"/>
        </w:rPr>
        <w:t>易</w:t>
      </w:r>
      <w:r>
        <w:rPr>
          <w:rFonts w:ascii="仿宋" w:hAnsi="仿宋" w:eastAsia="仿宋"/>
          <w:sz w:val="28"/>
          <w:szCs w:val="28"/>
        </w:rPr>
        <w:t>老师收。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具体递交资料如下：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一、药品厂家递交材料要求（所有资料须真实有效，</w:t>
      </w:r>
      <w:r>
        <w:rPr>
          <w:rFonts w:ascii="仿宋" w:hAnsi="仿宋" w:eastAsia="仿宋"/>
          <w:sz w:val="28"/>
          <w:szCs w:val="28"/>
        </w:rPr>
        <w:t>加盖单位鲜章，用资料袋装好，否则一律按照“无效资</w:t>
      </w:r>
      <w:r>
        <w:rPr>
          <w:rFonts w:hint="eastAsia" w:ascii="仿宋" w:hAnsi="仿宋" w:eastAsia="仿宋"/>
          <w:sz w:val="28"/>
          <w:szCs w:val="28"/>
        </w:rPr>
        <w:t>料”处理。请按下列顺序整理）。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1.质量标准（复印件），若为原研药或通过一致性评价的药物，需提供相关证明。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2.日均价格书面说明。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3.四川省药械集中采购及医药价格监测平台中价格联动/备案专区已确认配送关系的截图（省直）。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4.基本药物或集采药物证明。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5.企业规模：最新版工信部医药工业企业排名情况。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6.优质医院供货情况：大型三甲医院供货发票、清单等证明资料（建议5家以上）。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7.说明书（原件）。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8.药品包装（样品或彩打件）。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9.廉洁准入承诺书、药品质量保证承诺书、所有有权限的配送公司资料（产品配送委托书）、药品首营资料等。</w:t>
      </w:r>
      <w:r>
        <w:rPr>
          <w:rFonts w:ascii="仿宋" w:hAnsi="仿宋" w:eastAsia="仿宋"/>
          <w:sz w:val="28"/>
          <w:szCs w:val="28"/>
        </w:rPr>
        <w:t>(首营资料包括:药品注册证书、产品质量合格证明、供应商资质证明、药品检验报</w:t>
      </w:r>
      <w:r>
        <w:rPr>
          <w:rFonts w:hint="eastAsia" w:ascii="仿宋" w:hAnsi="仿宋" w:eastAsia="仿宋"/>
          <w:sz w:val="28"/>
          <w:szCs w:val="28"/>
        </w:rPr>
        <w:t>告等）。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二、接收时间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2025年5月27日——2025年5月29日。(上班期间全天接收资料)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联系人：易老师</w:t>
      </w:r>
    </w:p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药事管理与药物治疗学委员会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2025年5月2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230A0"/>
    <w:rsid w:val="0003778E"/>
    <w:rsid w:val="00044D94"/>
    <w:rsid w:val="00074C2F"/>
    <w:rsid w:val="000A06D1"/>
    <w:rsid w:val="00115FD1"/>
    <w:rsid w:val="001637BA"/>
    <w:rsid w:val="001F2B41"/>
    <w:rsid w:val="00253769"/>
    <w:rsid w:val="00266F87"/>
    <w:rsid w:val="002F5B91"/>
    <w:rsid w:val="00313C4A"/>
    <w:rsid w:val="003D7CFC"/>
    <w:rsid w:val="00485175"/>
    <w:rsid w:val="00545251"/>
    <w:rsid w:val="005506A3"/>
    <w:rsid w:val="005A4C2A"/>
    <w:rsid w:val="00600436"/>
    <w:rsid w:val="00601071"/>
    <w:rsid w:val="006158AB"/>
    <w:rsid w:val="007230A0"/>
    <w:rsid w:val="00735EF7"/>
    <w:rsid w:val="00786A8F"/>
    <w:rsid w:val="0084049A"/>
    <w:rsid w:val="008F1B99"/>
    <w:rsid w:val="009053C9"/>
    <w:rsid w:val="0098775D"/>
    <w:rsid w:val="009D101C"/>
    <w:rsid w:val="00A53934"/>
    <w:rsid w:val="00AA005B"/>
    <w:rsid w:val="00AA076C"/>
    <w:rsid w:val="00AB3F27"/>
    <w:rsid w:val="00BB39CE"/>
    <w:rsid w:val="00BF63D8"/>
    <w:rsid w:val="00C70448"/>
    <w:rsid w:val="00D62D99"/>
    <w:rsid w:val="00D75BE8"/>
    <w:rsid w:val="00D84026"/>
    <w:rsid w:val="00D85683"/>
    <w:rsid w:val="00DF3108"/>
    <w:rsid w:val="00E1381A"/>
    <w:rsid w:val="00E36F29"/>
    <w:rsid w:val="00E601D1"/>
    <w:rsid w:val="00E66FAF"/>
    <w:rsid w:val="00E74D8F"/>
    <w:rsid w:val="00EB77B4"/>
    <w:rsid w:val="00F84847"/>
    <w:rsid w:val="00F866DE"/>
    <w:rsid w:val="00FE3579"/>
    <w:rsid w:val="3D3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156</TotalTime>
  <ScaleCrop>false</ScaleCrop>
  <LinksUpToDate>false</LinksUpToDate>
  <CharactersWithSpaces>953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2025-02-07T00:53:00Z</dcterms:created>
  <dc:creator>荒诞行云半生</dc:creator>
  <cp:lastModifiedBy>asus</cp:lastModifiedBy>
  <cp:lastPrinted>2025-05-26T00:41:00Z</cp:lastPrinted>
  <dcterms:modified xsi:type="dcterms:W3CDTF">2025-05-27T00:22:49Z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