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</w:pPr>
      <w:r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名称</w:t>
            </w:r>
          </w:p>
        </w:tc>
        <w:tc>
          <w:tcPr>
            <w:tcW w:w="684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防火门及防火窗更换服务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应满足资质</w:t>
            </w:r>
          </w:p>
        </w:tc>
        <w:tc>
          <w:tcPr>
            <w:tcW w:w="684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1.具有独立承担民事责任的能力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2.具有良好的商业信誉和健全的财务会计制度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3.具有履行合同所必需的设备和专业技术能力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4.具有依法缴纳税收和社会保障资金的良好记录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5.参加本次采购活动前三年内，在经营活动中没有重大违法记录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具有消防施工资质和安全生产许可证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.法律、行政法规规定的其他条件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.不接受联合体参加本次调研活动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报价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（需附详细）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</w:rPr>
              <w:t>产品功能参数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以现场实际测量为准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联系人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联系电话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完成</w:t>
            </w: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时间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填报公司名称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（加盖公章）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仿宋" w:hAnsi="仿宋" w:eastAsia="仿宋" w:cs="仿宋"/>
          <w:color w:val="666666"/>
          <w:sz w:val="31"/>
          <w:szCs w:val="3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2025-03-25T06:11:52Z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