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651"/>
        <w:gridCol w:w="738"/>
        <w:gridCol w:w="149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金堂县第一人民医院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医用设备（耗材）询价通知单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设备（耗材）名称：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超声高频外科集成手术设备（超声刀手柄线）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超声高频外科集成手术设备（超声刀手柄线）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  <w:tc>
          <w:tcPr>
            <w:tcW w:w="73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19000</w:t>
            </w:r>
          </w:p>
        </w:tc>
        <w:tc>
          <w:tcPr>
            <w:tcW w:w="188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技术要求：</w:t>
            </w:r>
          </w:p>
        </w:tc>
        <w:tc>
          <w:tcPr>
            <w:tcW w:w="6771" w:type="dxa"/>
            <w:gridSpan w:val="5"/>
          </w:tcPr>
          <w:p>
            <w:pPr>
              <w:pStyle w:val="6"/>
              <w:widowControl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作为能量转换器，连接发生器和刀头后，适用于在需要控制出血和尽量减少热损伤的情况下切割软组织；可适配Harmonic多种型号刀头以及超声高频外科集成系统主机使用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pStyle w:val="6"/>
              <w:widowControl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2、组件由测试棒，扭力扳手，手柄，刀头固定面组成；</w:t>
            </w:r>
          </w:p>
          <w:p>
            <w:pPr>
              <w:pStyle w:val="6"/>
              <w:widowControl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、手柄已有编程，内含芯片，可实时记录：激发时长、剩余次数、故障代码、 自身性能参数；</w:t>
            </w:r>
          </w:p>
          <w:p>
            <w:pPr>
              <w:pStyle w:val="6"/>
              <w:widowControl w:val="0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、手柄可重复使用，使用寿命≥95次；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型号：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vertAlign w:val="baseline"/>
                <w:lang w:val="en-US" w:eastAsia="zh-CN"/>
              </w:rPr>
              <w:t>黄</w:t>
            </w:r>
            <w:r>
              <w:rPr>
                <w:rFonts w:hint="eastAsia"/>
                <w:vertAlign w:val="baseline"/>
                <w:lang w:eastAsia="zh-CN"/>
              </w:rPr>
              <w:t>老师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联系电话：18080128224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vertAlign w:val="baseline"/>
                <w:lang w:val="en-US" w:eastAsia="zh-CN"/>
              </w:rPr>
              <w:t>纸质盖鲜章交至设备库房或纸质盖鲜章扫描</w:t>
            </w:r>
            <w:r>
              <w:rPr>
                <w:rFonts w:hint="eastAsia"/>
                <w:vertAlign w:val="baseline"/>
                <w:lang w:eastAsia="zh-CN"/>
              </w:rPr>
              <w:t>回复至邮箱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3871936241</w:t>
            </w:r>
            <w:r>
              <w:rPr>
                <w:rFonts w:hint="eastAsia"/>
                <w:vertAlign w:val="baseline"/>
                <w:lang w:val="en-US" w:eastAsia="zh-CN"/>
              </w:rPr>
              <w:t>@qq.com。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960E1"/>
    <w:rsid w:val="033D6BEB"/>
    <w:rsid w:val="03985969"/>
    <w:rsid w:val="07D36F4C"/>
    <w:rsid w:val="098C5E8B"/>
    <w:rsid w:val="0BA7310A"/>
    <w:rsid w:val="0E56320C"/>
    <w:rsid w:val="0E5A66C2"/>
    <w:rsid w:val="117C53DB"/>
    <w:rsid w:val="15536FEE"/>
    <w:rsid w:val="1DA960E1"/>
    <w:rsid w:val="20CB10DE"/>
    <w:rsid w:val="24AE6EB4"/>
    <w:rsid w:val="254310CE"/>
    <w:rsid w:val="2B315F21"/>
    <w:rsid w:val="3179634E"/>
    <w:rsid w:val="32B8028D"/>
    <w:rsid w:val="33EF0F0E"/>
    <w:rsid w:val="34C167B9"/>
    <w:rsid w:val="3B783B3E"/>
    <w:rsid w:val="45E10879"/>
    <w:rsid w:val="47053BD9"/>
    <w:rsid w:val="4CB74FE5"/>
    <w:rsid w:val="56281539"/>
    <w:rsid w:val="59F51C50"/>
    <w:rsid w:val="5F291FF3"/>
    <w:rsid w:val="5F900CED"/>
    <w:rsid w:val="62601042"/>
    <w:rsid w:val="64B66DB2"/>
    <w:rsid w:val="668E4C86"/>
    <w:rsid w:val="67F71231"/>
    <w:rsid w:val="6E5319A6"/>
    <w:rsid w:val="6FF87013"/>
    <w:rsid w:val="72793443"/>
    <w:rsid w:val="7A6F3E9B"/>
    <w:rsid w:val="7B4104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Serein</cp:lastModifiedBy>
  <dcterms:modified xsi:type="dcterms:W3CDTF">2024-08-06T09:49:36Z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06925241A5234BB8BE112BD8ABAB5C72</vt:lpwstr>
  </property>
</Properties>
</file>