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金堂县第一人民医用设备（耗材）询价通知单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设备（耗材）名称：</w:t>
            </w:r>
            <w:r>
              <w:rPr>
                <w:rFonts w:hint="eastAsia"/>
                <w:vertAlign w:val="baseline"/>
                <w:lang w:val="en-US" w:eastAsia="zh-CN"/>
              </w:rPr>
              <w:t>细胞离心机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细胞离心机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细胞离心涂片机技术参数：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1.用于样本分析前人体样本的分离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制片简单，速度快，多标本操作一步完成，满足大量标本处理要求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spacing w:val="-2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变频电机，微机控制，低噪音，无碳粉污染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电子门锁、超速、系统自检等保护功能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运行中可随时更改参数，无需停机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自动计算及设置离心力RCF值，专用RCF键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2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采用金属专用制片转盘防止变型，细胞分布密度均匀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2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具有双排水通道，防止积水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color w:val="auto"/>
                <w:spacing w:val="-2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电器安全满足EN 61010-1:2010+A1:2019和EN 61010 2-020：2017标准，保障使用人员及设备的用电安全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color w:val="auto"/>
                <w:spacing w:val="-2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电磁兼容满足EN IEC 61326-1:2021和EN IEC 61326-2-6:2021标准，保证离心机使用过程中的抗干扰性，同时不会对实验室其他设备造成干扰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11.最高转速：≥4000rpm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12.最大离心力：≥2170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×g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13.转速精度：≤±20r/min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14.噪  声：≤60dB(A)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15.定时范围：1min-99min。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转速精度：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±20r/min，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17.水平转子规格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6x9m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l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18.功率：200W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质保期：一年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黄</w:t>
            </w:r>
            <w:r>
              <w:rPr>
                <w:rFonts w:hint="eastAsia"/>
                <w:vertAlign w:val="baseline"/>
                <w:lang w:eastAsia="zh-CN"/>
              </w:rPr>
              <w:t>老师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联系电话：18080128224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纸质盖鲜章交至设备库房或纸质盖鲜章扫描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3871936241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A7310A"/>
    <w:rsid w:val="0E5A66C2"/>
    <w:rsid w:val="117C53DB"/>
    <w:rsid w:val="15536FEE"/>
    <w:rsid w:val="1DA960E1"/>
    <w:rsid w:val="20CB10DE"/>
    <w:rsid w:val="24AE6EB4"/>
    <w:rsid w:val="254310CE"/>
    <w:rsid w:val="26B667A1"/>
    <w:rsid w:val="2B315F21"/>
    <w:rsid w:val="3179634E"/>
    <w:rsid w:val="32B8028D"/>
    <w:rsid w:val="33EF0F0E"/>
    <w:rsid w:val="34C167B9"/>
    <w:rsid w:val="3B783B3E"/>
    <w:rsid w:val="45E10879"/>
    <w:rsid w:val="47053BD9"/>
    <w:rsid w:val="4CB74FE5"/>
    <w:rsid w:val="56281539"/>
    <w:rsid w:val="59F51C50"/>
    <w:rsid w:val="5F291FF3"/>
    <w:rsid w:val="62601042"/>
    <w:rsid w:val="64B66DB2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晖</cp:lastModifiedBy>
  <dcterms:modified xsi:type="dcterms:W3CDTF">2024-07-30T08:02:53Z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59C885A3F7824AF9AF7899C242CEEE25</vt:lpwstr>
  </property>
</Properties>
</file>