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7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52"/>
          <w:szCs w:val="52"/>
          <w:lang w:val="en-US" w:eastAsia="zh-CN"/>
        </w:rPr>
        <w:t xml:space="preserve">多源治疗仪询价文件 </w:t>
      </w: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项目编号：HXJTYY-YL-20240014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金堂县第一人民医院多源治疗仪采购项目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金堂县第一人民医院多源治疗仪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/>
        </w:rPr>
        <w:t>采购项目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014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预算：1.6万元，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1.6万元，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249" w:leftChars="114"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</w:rPr>
        <w:t>日（工作日）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</w:rPr>
        <w:t>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5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p>
      <w:pPr>
        <w:pStyle w:val="5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包括但不限于名称、规格型号、单价、总价、数量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HXJTYY-YL-20240014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eastAsia="zh-CN"/>
        </w:rPr>
        <w:t>多源治疗仪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32"/>
          <w:u w:val="single"/>
          <w:lang w:val="en-US" w:eastAsia="zh-CN"/>
        </w:rPr>
        <w:t>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1.6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1.6万元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8456" w:type="dxa"/>
        <w:jc w:val="center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329"/>
        <w:gridCol w:w="17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5" w:hRule="atLeast"/>
          <w:jc w:val="center"/>
        </w:trPr>
        <w:tc>
          <w:tcPr>
            <w:tcW w:w="113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2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27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3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32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多源治疗仪</w:t>
            </w:r>
          </w:p>
        </w:tc>
        <w:tc>
          <w:tcPr>
            <w:tcW w:w="1770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2227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autoSpaceDE w:val="0"/>
        <w:snapToGrid w:val="0"/>
        <w:ind w:firstLine="498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1、功效包括：改善血液循环、增强免疫功能、平衡神经—内分泌调节功能、促进组织修复再生、消炎止痛等。</w:t>
      </w:r>
    </w:p>
    <w:p>
      <w:pPr>
        <w:autoSpaceDE w:val="0"/>
        <w:snapToGrid w:val="0"/>
        <w:ind w:firstLine="498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2、产品由辐射头、活动支臂、升降杆、底座、控制盒等部件组成。</w:t>
      </w:r>
    </w:p>
    <w:p>
      <w:pPr>
        <w:autoSpaceDE w:val="0"/>
        <w:snapToGrid w:val="0"/>
        <w:ind w:firstLine="498" w:firstLineChars="200"/>
        <w:rPr>
          <w:rFonts w:ascii="宋体" w:hAnsi="宋体"/>
          <w:kern w:val="0"/>
          <w:sz w:val="24"/>
          <w:szCs w:val="24"/>
        </w:rPr>
      </w:pPr>
      <w:r>
        <w:rPr>
          <w:kern w:val="0"/>
          <w:sz w:val="24"/>
          <w:szCs w:val="24"/>
        </w:rPr>
        <w:t>3、辐射头采用的辐射片不少于5片，单位表面积上的功率强度应不大于10m</w:t>
      </w:r>
      <w:r>
        <w:rPr>
          <w:rFonts w:ascii="宋体" w:hAnsi="宋体"/>
          <w:kern w:val="0"/>
          <w:sz w:val="24"/>
          <w:szCs w:val="24"/>
        </w:rPr>
        <w:t>W∕m㎡</w:t>
      </w:r>
    </w:p>
    <w:p>
      <w:pPr>
        <w:autoSpaceDE w:val="0"/>
        <w:snapToGrid w:val="0"/>
        <w:ind w:firstLine="498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4、辐射片不含放射性物质，不发出对人体有害的射线。</w:t>
      </w:r>
    </w:p>
    <w:p>
      <w:pPr>
        <w:autoSpaceDE w:val="0"/>
        <w:snapToGrid w:val="0"/>
        <w:ind w:firstLine="498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5、辐射片可使用10000小时至12000小时（若保修期外，也应保证此时间规定）。</w:t>
      </w:r>
    </w:p>
    <w:p>
      <w:pPr>
        <w:autoSpaceDE w:val="0"/>
        <w:snapToGrid w:val="0"/>
        <w:ind w:firstLine="498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6、辐射片发出的波长为＞90%：2μm~25μm、，峰值波长为7μm~10μm，产生人体可匹配吸收的治疗能量，利用生物热效应和非热效应起到治疗康复的作用</w:t>
      </w:r>
    </w:p>
    <w:p>
      <w:pPr>
        <w:autoSpaceDE w:val="0"/>
        <w:snapToGrid w:val="0"/>
        <w:ind w:firstLine="498" w:firstLineChars="200"/>
        <w:rPr>
          <w:rFonts w:ascii="宋体" w:hAnsi="宋体"/>
          <w:kern w:val="0"/>
          <w:sz w:val="24"/>
          <w:szCs w:val="24"/>
        </w:rPr>
      </w:pPr>
      <w:r>
        <w:rPr>
          <w:kern w:val="0"/>
          <w:sz w:val="24"/>
          <w:szCs w:val="24"/>
        </w:rPr>
        <w:t>7、辐射片组件表面平均温度为12</w:t>
      </w:r>
      <w:r>
        <w:rPr>
          <w:rFonts w:ascii="宋体" w:hAnsi="宋体"/>
          <w:kern w:val="0"/>
          <w:sz w:val="24"/>
          <w:szCs w:val="24"/>
        </w:rPr>
        <w:t>0℃~250℃。</w:t>
      </w:r>
    </w:p>
    <w:p>
      <w:pPr>
        <w:autoSpaceDE w:val="0"/>
        <w:snapToGrid w:val="0"/>
        <w:ind w:firstLine="498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8、机器配有气动升降部份，使辐射头能上下灵活升降。只需向上扳动升降手柄，升降杆即可自动上升，松开升降手柄，即能自动停止，操作方便。升降杆行程范围：≦200mm。</w:t>
      </w:r>
    </w:p>
    <w:p>
      <w:pPr>
        <w:autoSpaceDE w:val="0"/>
        <w:snapToGrid w:val="0"/>
        <w:ind w:firstLine="498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9、水平方向固定不动；垂直方向为：≧70°</w:t>
      </w:r>
    </w:p>
    <w:p>
      <w:pPr>
        <w:autoSpaceDE w:val="0"/>
        <w:snapToGrid w:val="0"/>
        <w:ind w:firstLine="498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10、工作时间控制分20、40、60分钟三档；</w:t>
      </w:r>
      <w:r>
        <w:rPr>
          <w:rFonts w:hint="eastAsia"/>
          <w:kern w:val="0"/>
          <w:sz w:val="24"/>
          <w:szCs w:val="24"/>
          <w:lang w:val="en-US" w:eastAsia="zh-CN"/>
        </w:rPr>
        <w:t>可设置“长通”，</w:t>
      </w:r>
      <w:r>
        <w:rPr>
          <w:kern w:val="0"/>
          <w:sz w:val="24"/>
          <w:szCs w:val="24"/>
        </w:rPr>
        <w:t>功率控制分高、中、低三档；有声音提示；有电源提示；有累计计时功能。</w:t>
      </w:r>
    </w:p>
    <w:p>
      <w:pPr>
        <w:autoSpaceDE w:val="0"/>
        <w:snapToGrid w:val="0"/>
        <w:ind w:firstLine="498" w:firstLineChars="200"/>
        <w:rPr>
          <w:rFonts w:ascii="宋体" w:hAnsi="宋体"/>
          <w:kern w:val="0"/>
          <w:sz w:val="24"/>
          <w:szCs w:val="24"/>
        </w:rPr>
      </w:pPr>
      <w:r>
        <w:rPr>
          <w:kern w:val="0"/>
          <w:sz w:val="24"/>
          <w:szCs w:val="24"/>
        </w:rPr>
        <w:t>11、电子定时装置定时</w:t>
      </w:r>
      <w:r>
        <w:rPr>
          <w:rFonts w:hint="eastAsia"/>
          <w:kern w:val="0"/>
          <w:sz w:val="24"/>
          <w:szCs w:val="24"/>
          <w:lang w:eastAsia="zh-CN"/>
        </w:rPr>
        <w:t>，</w:t>
      </w:r>
      <w:r>
        <w:rPr>
          <w:kern w:val="0"/>
          <w:sz w:val="24"/>
          <w:szCs w:val="24"/>
        </w:rPr>
        <w:t>相对误差为－</w:t>
      </w:r>
      <w:r>
        <w:rPr>
          <w:rFonts w:ascii="宋体" w:hAnsi="宋体"/>
          <w:kern w:val="0"/>
          <w:sz w:val="24"/>
          <w:szCs w:val="24"/>
        </w:rPr>
        <w:t>1﹪~1﹪。</w:t>
      </w:r>
    </w:p>
    <w:p>
      <w:pPr>
        <w:autoSpaceDE w:val="0"/>
        <w:snapToGrid w:val="0"/>
        <w:ind w:firstLine="498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12、底座尺寸（￠720</w:t>
      </w:r>
      <w:r>
        <w:rPr>
          <w:kern w:val="0"/>
          <w:sz w:val="24"/>
          <w:szCs w:val="24"/>
          <w:u w:val="single"/>
        </w:rPr>
        <w:t>+</w:t>
      </w:r>
      <w:r>
        <w:rPr>
          <w:kern w:val="0"/>
          <w:sz w:val="24"/>
          <w:szCs w:val="24"/>
        </w:rPr>
        <w:t>2）×（160</w:t>
      </w:r>
      <w:r>
        <w:rPr>
          <w:kern w:val="0"/>
          <w:sz w:val="24"/>
          <w:szCs w:val="24"/>
          <w:u w:val="single"/>
        </w:rPr>
        <w:t>+</w:t>
      </w:r>
      <w:r>
        <w:rPr>
          <w:kern w:val="0"/>
          <w:sz w:val="24"/>
          <w:szCs w:val="24"/>
        </w:rPr>
        <w:t>3）mm</w:t>
      </w:r>
    </w:p>
    <w:p>
      <w:pPr>
        <w:autoSpaceDE w:val="0"/>
        <w:snapToGrid w:val="0"/>
        <w:ind w:firstLine="498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13、治疗仪表面棱角应无锐边、毛刺，喷涂色泽应光滑均匀，不得有划痕损伤和锈蚀。</w:t>
      </w:r>
    </w:p>
    <w:p>
      <w:pPr>
        <w:ind w:firstLine="498" w:firstLineChars="200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14、工作条件较广，低温、高温、湿热、振动和碰撞、安全性能检测均合格</w:t>
      </w:r>
    </w:p>
    <w:p>
      <w:pPr>
        <w:ind w:firstLine="498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15、电源要求：AC220V＋22V、 50Hz＋1Hz；输入功率：≦200VA</w:t>
      </w:r>
    </w:p>
    <w:p>
      <w:pPr>
        <w:ind w:firstLine="498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16、经防疫部门检验，本产品不含对人体有害的放射线。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5"/>
        <w:spacing w:line="240" w:lineRule="auto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7"/>
        <w:pageBreakBefore w:val="0"/>
        <w:wordWrap/>
        <w:overflowPunct/>
        <w:topLinePunct w:val="0"/>
        <w:bidi w:val="0"/>
        <w:spacing w:line="240" w:lineRule="auto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240" w:lineRule="auto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240" w:lineRule="auto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240" w:lineRule="auto"/>
        <w:ind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2"/>
        <w:spacing w:line="240" w:lineRule="auto"/>
        <w:ind w:firstLine="658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  <w:bookmarkEnd w:id="4"/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</w:t>
      </w: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171C14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9274A9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6A249A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A70BB"/>
    <w:rsid w:val="13DF42AA"/>
    <w:rsid w:val="14026793"/>
    <w:rsid w:val="1410784E"/>
    <w:rsid w:val="143137F0"/>
    <w:rsid w:val="144B195D"/>
    <w:rsid w:val="149E6015"/>
    <w:rsid w:val="14A541CE"/>
    <w:rsid w:val="14F579D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567E5C"/>
    <w:rsid w:val="1A70077A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310F75"/>
    <w:rsid w:val="1D666F4A"/>
    <w:rsid w:val="1D942673"/>
    <w:rsid w:val="1D9D04C0"/>
    <w:rsid w:val="1DA027ED"/>
    <w:rsid w:val="1DFF7AD1"/>
    <w:rsid w:val="1E1F26F2"/>
    <w:rsid w:val="1E3842EE"/>
    <w:rsid w:val="1E3A5D46"/>
    <w:rsid w:val="1E754A07"/>
    <w:rsid w:val="1E8F136C"/>
    <w:rsid w:val="1EAD60B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B93885"/>
    <w:rsid w:val="21CD7332"/>
    <w:rsid w:val="22200580"/>
    <w:rsid w:val="22371D35"/>
    <w:rsid w:val="22C41360"/>
    <w:rsid w:val="22CC58EC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71547C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934D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700F45"/>
    <w:rsid w:val="358D3E62"/>
    <w:rsid w:val="35B42820"/>
    <w:rsid w:val="35FF362D"/>
    <w:rsid w:val="360B479A"/>
    <w:rsid w:val="361074C7"/>
    <w:rsid w:val="366C3FE9"/>
    <w:rsid w:val="367B2862"/>
    <w:rsid w:val="36B3241D"/>
    <w:rsid w:val="36D62376"/>
    <w:rsid w:val="36DA4F5C"/>
    <w:rsid w:val="36E765A4"/>
    <w:rsid w:val="370E3A86"/>
    <w:rsid w:val="37557B22"/>
    <w:rsid w:val="37AB5FB7"/>
    <w:rsid w:val="37AC65A1"/>
    <w:rsid w:val="37AF1A87"/>
    <w:rsid w:val="37AF20E4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90554B"/>
    <w:rsid w:val="39B9610D"/>
    <w:rsid w:val="39F033E2"/>
    <w:rsid w:val="3A0151AE"/>
    <w:rsid w:val="3A436532"/>
    <w:rsid w:val="3A5D4BED"/>
    <w:rsid w:val="3A686D0B"/>
    <w:rsid w:val="3A6E296A"/>
    <w:rsid w:val="3A9659CC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063695"/>
    <w:rsid w:val="3C175529"/>
    <w:rsid w:val="3C287B1E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AEC7ACE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3A46E0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E96D6C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C1021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DF4633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445A64"/>
    <w:rsid w:val="6DA20E9A"/>
    <w:rsid w:val="6DD221B7"/>
    <w:rsid w:val="6DD720CC"/>
    <w:rsid w:val="6DDB284C"/>
    <w:rsid w:val="6E1818AD"/>
    <w:rsid w:val="6E3840CF"/>
    <w:rsid w:val="6E885995"/>
    <w:rsid w:val="6EA64F6B"/>
    <w:rsid w:val="6EAD60BD"/>
    <w:rsid w:val="6EFA6CEF"/>
    <w:rsid w:val="6F2B32CA"/>
    <w:rsid w:val="6F9A2538"/>
    <w:rsid w:val="6FA95689"/>
    <w:rsid w:val="6FA97C14"/>
    <w:rsid w:val="6FFA6A97"/>
    <w:rsid w:val="700C0C62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BE1897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362100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DC41BA"/>
    <w:rsid w:val="7EF116C9"/>
    <w:rsid w:val="7F2600CE"/>
    <w:rsid w:val="7F900D48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5"/>
    <w:next w:val="15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7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qFormat/>
    <w:uiPriority w:val="99"/>
    <w:rPr>
      <w:sz w:val="24"/>
    </w:rPr>
  </w:style>
  <w:style w:type="character" w:customStyle="1" w:styleId="112">
    <w:name w:val="标题 1 Char"/>
    <w:link w:val="2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4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2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4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5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   </cp:lastModifiedBy>
  <cp:lastPrinted>2023-09-22T00:54:00Z</cp:lastPrinted>
  <dcterms:modified xsi:type="dcterms:W3CDTF">2024-06-14T09:13:04Z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