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PDA采购项目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项目编号：HXJTYY-CG-2023020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11月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5" w:name="_GoBack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PDA采购项目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金堂县第一人民医院PDA采购项目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HXJTYY-CG-2023020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预算：2.7万元，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2.7万元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bookmarkEnd w:id="5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HXJTYY-CG-2023020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PDA采购项目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2.7万元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PDA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9</w:t>
            </w:r>
          </w:p>
        </w:tc>
        <w:tc>
          <w:tcPr>
            <w:tcW w:w="2715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2.7</w:t>
            </w:r>
          </w:p>
        </w:tc>
      </w:tr>
    </w:tbl>
    <w:p>
      <w:pPr>
        <w:pStyle w:val="53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1、CPU：八核处理器，主频≥2.0 GHz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2、内存：≥4GB RAM ，≥64GB ROM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3、存储卡：TF卡，最高支持128G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4、操作系统：定制版Android 9.0或以上（需提供PDA同品牌厂家的系统软件著作权证书或生产厂商技术说明文件）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5、屏幕：≥5.7英寸多点触控电容屏，分辨率≥1440*720，康宁大猩猩玻璃面板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6、电池：≥ 4800 mAh（提供UN38.3测试报告），支持1A及以上充电电流的快充功能，可支持海运及空运（提供第三方测试报告或生产厂商技术说明文件）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7、适配器：原厂标配12V及以上快充功能的充电适配器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8、接口：USB Type-c 2.0 OTG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9、无线局域网：IEEE 802.11a/b/g/n/ac，2.4G及5G 双频段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10、广域网：全系列标配联通、电信，移动4G/3G/2G全网通，双卡双待（提供工信部入网许可证）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11、NFC：标配NFC功能，通讯频率：13.56Mhz RFID，通讯协议：ISO14443A/B，ISO15693，ISO18000-3，Mifare，FeliCa RF，Kovio，NFC Forum Type1 4 Tag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12、蓝牙：Bluetooth 5.0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13、提醒模式：提示音，多颜色LED，振动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14、键盘：音量键，开关机键，左右扫描键, 屏幕3个触摸按键，为便于消毒，正面不得使用物理按键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15、扫描引擎：与PDA同品牌，自有扫描引擎，支持一维、二维码扫描；为提高防护性能，扫描引擎需完全内置于机身，不得采用突出机身的设计；设备有识读引擎条码配置功能（提供PDA识读引擎配置软件著作权证书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16、对焦补光灯：为减少对患者眼部刺激采用白色补光灯，不得使用十字激光对焦点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17、跌落高度：6 个面不超过 1.2 米的水泥地面跌落（六个面各一次），提供第三方检测机构测试报告或生产厂商技术说明文件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 xml:space="preserve">18、防护等级：IP67（提供第三方检测机构测试报告或生产厂商技术说明文件） 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19、卫星定位功能：同时具备GPS，北斗，以及GLONASS定位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20、摄像头：前置摄像头≥200万像素；后置摄像头≥ 1300 万像素，支持自动对焦和闪光灯，主摄像头位于机身背部方便取景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21、科室信息系统显示功能（可在任意界面下浮动显示科室，设备所有者信息）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22、指纹识别：背部货侧面指纹识别功能，为确保显示面积不得采用正面指纹识别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23、重量：≤240g克（配备最高容量电池状态下）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24、工作温度：-20℃～50℃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25、储存温度：-30℃～60℃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26、湿度 5%～95%（无冷凝）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27、医用可消毒外壳：外壳可耐受医用酒精，次录酸钠溶液，卡瓦液溶液，伽玛消毒湿巾，Sani-Cloth AF3一次性杀菌湿巾，Metrex 卡瓦布消毒湿巾，过氧化氢溶液，异丙醇溶液，即时手部消毒湿巾擦拭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28、医用抗菌外壳：具备抗菌外壳，抗菌种类大肠杆菌，金黄色葡萄糖球菌（需提供CNAS抗菌检测报告或生产厂商技术说明文件）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29、外壳防腐蚀：提供CNAS整机盐雾测试报告或生产厂商技术说明文件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30、设备远程管理：设备支持配套原厂的远程终端管理软件，可实现设备的远程管理，应用下发，监测设备使用状态，下发配置策略实现远程配置的管理平台。（提供终端管理相关的软件著作权证书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31、PDA安全管理：设备配套有安全桌面应用与功能管理，能确保设备安全使用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（提供PDA管理相关软件著作权证书或生产厂商技术说明文件）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32、PDA升级管理：支持在线升级，离线包升级内核，提供升级管理功能（提供PDA设备升级管理系统软件著作权证书或生产厂商技术说明文件）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33、PDA应用安装管理：能对PDA应用程序安装，卸载管理(提供PDA设备应用安装管理系统软件著作权证书或生产厂商技术说明文件)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34、软件白名单：不借助第三方软件即可实现软件黑白名单设置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35、座充：支持原厂充电底座，单充和四联充可选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Arial"/>
          <w:lang w:eastAsia="zh-CN"/>
        </w:rPr>
      </w:pPr>
      <w:r>
        <w:rPr>
          <w:rFonts w:hint="eastAsia" w:ascii="Arial"/>
          <w:lang w:eastAsia="zh-CN"/>
        </w:rPr>
        <w:t>36、设备稳定性：MTBF ≥10000小时（提供CNAS检测报告或生产厂商技术说明文件）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firstLine="438" w:firstLineChars="200"/>
        <w:jc w:val="both"/>
        <w:rPr>
          <w:rFonts w:hint="eastAsia" w:ascii="Arial" w:hAnsi="Calibri" w:eastAsia="宋体" w:cs="Times New Roman"/>
          <w:b w:val="0"/>
          <w:snapToGrid/>
          <w:sz w:val="21"/>
          <w:szCs w:val="24"/>
          <w:lang w:val="en-US" w:eastAsia="zh-CN" w:bidi="ar-SA"/>
        </w:rPr>
      </w:pPr>
      <w:r>
        <w:rPr>
          <w:rFonts w:hint="eastAsia" w:ascii="Arial" w:hAnsi="Calibri" w:eastAsia="宋体" w:cs="Times New Roman"/>
          <w:b w:val="0"/>
          <w:snapToGrid/>
          <w:sz w:val="21"/>
          <w:szCs w:val="24"/>
          <w:lang w:val="en-US" w:eastAsia="zh-CN" w:bidi="ar-SA"/>
        </w:rPr>
        <w:t>37、与医院已有移动医护系统兼容和安装调试。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不低于三年。</w:t>
      </w:r>
    </w:p>
    <w:p>
      <w:pPr>
        <w:snapToGrid w:val="0"/>
        <w:spacing w:line="440" w:lineRule="exact"/>
        <w:ind w:firstLine="438" w:firstLineChars="200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Arial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2、售后服务：</w:t>
      </w:r>
      <w:r>
        <w:rPr>
          <w:rFonts w:hint="eastAsia" w:eastAsia="Arial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服务响应7*24小时电话服务，产品出现故障，半小时内到达现场，1小时修复故障，若1小时内不能修复故障须提供备用机；</w:t>
      </w:r>
      <w:r>
        <w:rPr>
          <w:rFonts w:hint="eastAsia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质保期内同一硬件设备、同一质量问题连续两次维修仍无法正常使用的，须更换同品牌、同型号新设备（如果型号已经停产则更换不低于原来配置型号的</w:t>
      </w:r>
      <w:r>
        <w:rPr>
          <w:rFonts w:hint="eastAsia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提供现场安装调试培训服务，质保期內提供更换操作系统，每半年一次除尘服务。</w:t>
      </w:r>
    </w:p>
    <w:p>
      <w:pPr>
        <w:numPr>
          <w:ilvl w:val="0"/>
          <w:numId w:val="3"/>
        </w:numPr>
        <w:snapToGrid w:val="0"/>
        <w:spacing w:line="440" w:lineRule="exact"/>
        <w:ind w:firstLine="438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各需求临床科室</w:t>
      </w:r>
      <w:r>
        <w:rPr>
          <w:rFonts w:hint="eastAsia" w:ascii="宋体" w:hAnsi="宋体" w:eastAsia="宋体" w:cs="Times New Roman"/>
          <w:sz w:val="21"/>
          <w:lang w:val="en-US" w:eastAsia="zh-CN"/>
        </w:rPr>
        <w:t>。</w:t>
      </w:r>
    </w:p>
    <w:p>
      <w:pPr>
        <w:snapToGrid w:val="0"/>
        <w:spacing w:line="440" w:lineRule="exact"/>
        <w:ind w:firstLine="438" w:firstLineChars="200"/>
        <w:rPr>
          <w:rFonts w:hint="eastAsia" w:eastAsia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Arial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4、交货时间：合同签订后20个工作日内。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货物安装调试完毕后（经过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验收合格），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成交人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发票之次日起 20 个工作日内付款。</w:t>
      </w:r>
    </w:p>
    <w:p>
      <w:pPr>
        <w:pStyle w:val="53"/>
        <w:ind w:firstLine="438" w:firstLineChars="200"/>
        <w:jc w:val="left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6、</w:t>
      </w:r>
      <w:r>
        <w:rPr>
          <w:rFonts w:hint="eastAsia" w:ascii="宋体" w:hAnsi="宋体" w:eastAsia="宋体" w:cs="Times New Roman"/>
          <w:sz w:val="21"/>
        </w:rPr>
        <w:t>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7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17"/>
        <w:ind w:firstLine="498" w:firstLineChars="200"/>
        <w:rPr>
          <w:rFonts w:hint="eastAsia"/>
          <w:lang w:val="en-US" w:eastAsia="zh-CN"/>
        </w:rPr>
      </w:pPr>
    </w:p>
    <w:p>
      <w:pPr>
        <w:pStyle w:val="17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3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7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18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</w:rPr>
      </w:pPr>
    </w:p>
    <w:p>
      <w:pPr>
        <w:pStyle w:val="18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4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D60C9"/>
    <w:multiLevelType w:val="singleLevel"/>
    <w:tmpl w:val="19AD60C9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7CB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466F8A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5041C"/>
    <w:rsid w:val="036B5CE3"/>
    <w:rsid w:val="03C2759E"/>
    <w:rsid w:val="03E577A1"/>
    <w:rsid w:val="03EA590E"/>
    <w:rsid w:val="03F61052"/>
    <w:rsid w:val="03FB08A7"/>
    <w:rsid w:val="044E5FEB"/>
    <w:rsid w:val="04605466"/>
    <w:rsid w:val="048143AE"/>
    <w:rsid w:val="04BB742F"/>
    <w:rsid w:val="04BD261A"/>
    <w:rsid w:val="04D56E5D"/>
    <w:rsid w:val="04F07417"/>
    <w:rsid w:val="051231EE"/>
    <w:rsid w:val="052D2332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8B7DB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AF3D73"/>
    <w:rsid w:val="09C22C4C"/>
    <w:rsid w:val="09CF4B8F"/>
    <w:rsid w:val="09D76F5D"/>
    <w:rsid w:val="0A136F41"/>
    <w:rsid w:val="0A3839F6"/>
    <w:rsid w:val="0A4175CB"/>
    <w:rsid w:val="0A6D5835"/>
    <w:rsid w:val="0A7640B3"/>
    <w:rsid w:val="0A792E2C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BDF5060"/>
    <w:rsid w:val="0BEA3E39"/>
    <w:rsid w:val="0BFE3DD1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83335"/>
    <w:rsid w:val="131D12F0"/>
    <w:rsid w:val="1348190B"/>
    <w:rsid w:val="134E603B"/>
    <w:rsid w:val="13552414"/>
    <w:rsid w:val="13677324"/>
    <w:rsid w:val="137D64A0"/>
    <w:rsid w:val="13977400"/>
    <w:rsid w:val="139B7A64"/>
    <w:rsid w:val="13AB3ACC"/>
    <w:rsid w:val="13C015AC"/>
    <w:rsid w:val="13D35F7E"/>
    <w:rsid w:val="13DF42AA"/>
    <w:rsid w:val="14026793"/>
    <w:rsid w:val="1410784E"/>
    <w:rsid w:val="143137F0"/>
    <w:rsid w:val="144813FA"/>
    <w:rsid w:val="144B195D"/>
    <w:rsid w:val="149E6015"/>
    <w:rsid w:val="14A541CE"/>
    <w:rsid w:val="14C00051"/>
    <w:rsid w:val="14F800A0"/>
    <w:rsid w:val="151B2A92"/>
    <w:rsid w:val="15253159"/>
    <w:rsid w:val="15313960"/>
    <w:rsid w:val="154923C7"/>
    <w:rsid w:val="15726424"/>
    <w:rsid w:val="15B42ABF"/>
    <w:rsid w:val="15C72A1A"/>
    <w:rsid w:val="15C93CCD"/>
    <w:rsid w:val="15E86F38"/>
    <w:rsid w:val="15EA5F16"/>
    <w:rsid w:val="1619689B"/>
    <w:rsid w:val="161F10CF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C346AE"/>
    <w:rsid w:val="18D73BB1"/>
    <w:rsid w:val="19215EAE"/>
    <w:rsid w:val="192778DE"/>
    <w:rsid w:val="193248A7"/>
    <w:rsid w:val="19362E08"/>
    <w:rsid w:val="195A6555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ED753C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4C11C0"/>
    <w:rsid w:val="29516A7E"/>
    <w:rsid w:val="2970008F"/>
    <w:rsid w:val="29A1662F"/>
    <w:rsid w:val="29A50901"/>
    <w:rsid w:val="29D50E6C"/>
    <w:rsid w:val="29D71506"/>
    <w:rsid w:val="2A2B65E3"/>
    <w:rsid w:val="2A3B2DC7"/>
    <w:rsid w:val="2A877CF0"/>
    <w:rsid w:val="2AA70A0B"/>
    <w:rsid w:val="2AB27175"/>
    <w:rsid w:val="2AC00D74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73EFD"/>
    <w:rsid w:val="2D981997"/>
    <w:rsid w:val="2D9C02BE"/>
    <w:rsid w:val="2DC67C3E"/>
    <w:rsid w:val="2E0F0752"/>
    <w:rsid w:val="2E1549FF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410AD"/>
    <w:rsid w:val="2EB63EF5"/>
    <w:rsid w:val="2EC71405"/>
    <w:rsid w:val="2F284C0D"/>
    <w:rsid w:val="2F6D2902"/>
    <w:rsid w:val="2F7F7156"/>
    <w:rsid w:val="2F8E42C6"/>
    <w:rsid w:val="2F990012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194A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3EB300E"/>
    <w:rsid w:val="34082E36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F03248"/>
    <w:rsid w:val="360B479A"/>
    <w:rsid w:val="361074C7"/>
    <w:rsid w:val="366C3FE9"/>
    <w:rsid w:val="367B2862"/>
    <w:rsid w:val="36AA33F6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7251FE"/>
    <w:rsid w:val="38790E53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4C6D3E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41CC2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97E1A"/>
    <w:rsid w:val="3C3573BE"/>
    <w:rsid w:val="3C4437B5"/>
    <w:rsid w:val="3C567962"/>
    <w:rsid w:val="3C744298"/>
    <w:rsid w:val="3C9B5B2C"/>
    <w:rsid w:val="3C9E1C4F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3D4375"/>
    <w:rsid w:val="3F6D012F"/>
    <w:rsid w:val="3F7766BA"/>
    <w:rsid w:val="3F8A2D8F"/>
    <w:rsid w:val="3F8F680D"/>
    <w:rsid w:val="3FA02D2E"/>
    <w:rsid w:val="403B693A"/>
    <w:rsid w:val="40421FA0"/>
    <w:rsid w:val="404338F1"/>
    <w:rsid w:val="405D2BB1"/>
    <w:rsid w:val="40885639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B4FB0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1979A3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40DD2"/>
    <w:rsid w:val="482C2355"/>
    <w:rsid w:val="483267A2"/>
    <w:rsid w:val="48A40C42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86633C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C0473D2"/>
    <w:rsid w:val="4C1051FD"/>
    <w:rsid w:val="4C2C75F4"/>
    <w:rsid w:val="4C2E7678"/>
    <w:rsid w:val="4C5C4733"/>
    <w:rsid w:val="4C5D7AEC"/>
    <w:rsid w:val="4C820668"/>
    <w:rsid w:val="4C9F67C1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0A5464"/>
    <w:rsid w:val="4E227BD8"/>
    <w:rsid w:val="4E311EF8"/>
    <w:rsid w:val="4E5F3E25"/>
    <w:rsid w:val="4E7E6F2C"/>
    <w:rsid w:val="4E8C7B5A"/>
    <w:rsid w:val="4E940962"/>
    <w:rsid w:val="4EC31A30"/>
    <w:rsid w:val="4ECB3837"/>
    <w:rsid w:val="4EDE3C63"/>
    <w:rsid w:val="4EFD0A5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877950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6A3DA3"/>
    <w:rsid w:val="53737217"/>
    <w:rsid w:val="53752B9A"/>
    <w:rsid w:val="53793D6F"/>
    <w:rsid w:val="5393278F"/>
    <w:rsid w:val="53A92F5C"/>
    <w:rsid w:val="53AB0A82"/>
    <w:rsid w:val="53DD76A4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5C7787"/>
    <w:rsid w:val="58842049"/>
    <w:rsid w:val="58A43E7F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7F30FF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2031F3"/>
    <w:rsid w:val="5D434387"/>
    <w:rsid w:val="5D4A5CBE"/>
    <w:rsid w:val="5D690647"/>
    <w:rsid w:val="5D6E558B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B74915"/>
    <w:rsid w:val="5FE02473"/>
    <w:rsid w:val="5FE0502D"/>
    <w:rsid w:val="5FEA5C50"/>
    <w:rsid w:val="5FF01AB4"/>
    <w:rsid w:val="5FF14642"/>
    <w:rsid w:val="600F1ECE"/>
    <w:rsid w:val="600F3D5C"/>
    <w:rsid w:val="6037476B"/>
    <w:rsid w:val="60716BAF"/>
    <w:rsid w:val="608603EE"/>
    <w:rsid w:val="60CD04AD"/>
    <w:rsid w:val="60D40765"/>
    <w:rsid w:val="60FF70A2"/>
    <w:rsid w:val="610712C2"/>
    <w:rsid w:val="6112565B"/>
    <w:rsid w:val="61232320"/>
    <w:rsid w:val="61356363"/>
    <w:rsid w:val="61406D4D"/>
    <w:rsid w:val="61654E96"/>
    <w:rsid w:val="618346E7"/>
    <w:rsid w:val="61B32BA1"/>
    <w:rsid w:val="61BA27D8"/>
    <w:rsid w:val="61CE09A9"/>
    <w:rsid w:val="62250EDF"/>
    <w:rsid w:val="6234787A"/>
    <w:rsid w:val="625251B7"/>
    <w:rsid w:val="62527CE5"/>
    <w:rsid w:val="62643754"/>
    <w:rsid w:val="626C7A29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402170F"/>
    <w:rsid w:val="64083E3C"/>
    <w:rsid w:val="641514F4"/>
    <w:rsid w:val="641615F9"/>
    <w:rsid w:val="64194270"/>
    <w:rsid w:val="648647DC"/>
    <w:rsid w:val="64EE6515"/>
    <w:rsid w:val="64EF626F"/>
    <w:rsid w:val="65050871"/>
    <w:rsid w:val="65160340"/>
    <w:rsid w:val="65180FE6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6FC7BEE"/>
    <w:rsid w:val="67554F61"/>
    <w:rsid w:val="675C60E3"/>
    <w:rsid w:val="67A444BE"/>
    <w:rsid w:val="67C779FD"/>
    <w:rsid w:val="68085627"/>
    <w:rsid w:val="680A6D93"/>
    <w:rsid w:val="681C3411"/>
    <w:rsid w:val="684E2495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F13051"/>
    <w:rsid w:val="6A185149"/>
    <w:rsid w:val="6A784FFD"/>
    <w:rsid w:val="6A8A5BD8"/>
    <w:rsid w:val="6AAE131F"/>
    <w:rsid w:val="6AB22151"/>
    <w:rsid w:val="6AB51E7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64AC4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BE5A12"/>
    <w:rsid w:val="6ED137C3"/>
    <w:rsid w:val="6ED435FA"/>
    <w:rsid w:val="6EFA6CEF"/>
    <w:rsid w:val="6F2B32CA"/>
    <w:rsid w:val="6F2D44F3"/>
    <w:rsid w:val="6F6A47E4"/>
    <w:rsid w:val="6F78551D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1678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5450B5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6F06BC"/>
    <w:rsid w:val="7578085D"/>
    <w:rsid w:val="758E0A84"/>
    <w:rsid w:val="75C7560C"/>
    <w:rsid w:val="75D407A7"/>
    <w:rsid w:val="761A6B59"/>
    <w:rsid w:val="76635346"/>
    <w:rsid w:val="766D2E1F"/>
    <w:rsid w:val="76C07AF1"/>
    <w:rsid w:val="76DA2FF1"/>
    <w:rsid w:val="76DA5170"/>
    <w:rsid w:val="76DD1D2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B1B1598"/>
    <w:rsid w:val="7B2A0F1E"/>
    <w:rsid w:val="7B2E5971"/>
    <w:rsid w:val="7B463201"/>
    <w:rsid w:val="7B4902F6"/>
    <w:rsid w:val="7B621CED"/>
    <w:rsid w:val="7B6A61D3"/>
    <w:rsid w:val="7B7415A1"/>
    <w:rsid w:val="7B7E7288"/>
    <w:rsid w:val="7B901CDF"/>
    <w:rsid w:val="7BA9370B"/>
    <w:rsid w:val="7BAA2314"/>
    <w:rsid w:val="7BB4713E"/>
    <w:rsid w:val="7BBC0C96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A707A3"/>
    <w:rsid w:val="7EB4624D"/>
    <w:rsid w:val="7EF116C9"/>
    <w:rsid w:val="7F2600CE"/>
    <w:rsid w:val="7F90270A"/>
    <w:rsid w:val="7F913875"/>
    <w:rsid w:val="7FA02BB5"/>
    <w:rsid w:val="7FA206BA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新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8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basedOn w:val="40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8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4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2023-11-30T01:32:19Z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