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便携式肩关节牵引架采购项目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项目编号：HXJTYY-YL-20230010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便携式肩关节牵引架采购项目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便携式肩关节牵引架采购项目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010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161" w:name="_GoBack"/>
      <w:bookmarkEnd w:id="161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项目编号：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HXJTYY-YL-20230010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便携式肩关节牵引架采购项目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项目预算：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1.6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最高限价：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参加本次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活动前三年内，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 w:val="22"/>
          <w:szCs w:val="22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58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8007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便携式肩关节牵引架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578" w:firstLineChars="200"/>
        <w:jc w:val="both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78" w:firstLineChars="200"/>
        <w:textAlignment w:val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hAnsi="宋体" w:cs="Times New Roman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结构组成</w:t>
      </w:r>
    </w:p>
    <w:p>
      <w:pPr>
        <w:pStyle w:val="19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Chars="0" w:firstLine="578" w:firstLineChars="200"/>
        <w:textAlignment w:val="auto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产品由立杆、横杆、伸缩杆、连接卡箍、折叠手柄、鱼尾手柄、梅花手柄、吊轮组成</w:t>
      </w:r>
      <w:r>
        <w:rPr>
          <w:rFonts w:hint="eastAsia" w:hAnsi="宋体" w:eastAsia="宋体" w:cs="Times New Roman"/>
          <w:bCs/>
          <w:sz w:val="28"/>
          <w:szCs w:val="28"/>
          <w:lang w:eastAsia="zh-CN"/>
        </w:rPr>
        <w:t>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78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5" w:name="_Toc57102160"/>
      <w:bookmarkStart w:id="6" w:name="_Toc56933072"/>
      <w:bookmarkStart w:id="7" w:name="_Toc57038718"/>
      <w:bookmarkStart w:id="8" w:name="_Toc57102200"/>
      <w:bookmarkStart w:id="9" w:name="_Toc57189215"/>
      <w:r>
        <w:rPr>
          <w:rFonts w:hint="eastAsia" w:hAnsi="宋体" w:cs="宋体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性能指标</w:t>
      </w:r>
      <w:bookmarkEnd w:id="5"/>
      <w:bookmarkEnd w:id="6"/>
      <w:bookmarkEnd w:id="7"/>
      <w:bookmarkEnd w:id="8"/>
      <w:bookmarkEnd w:id="9"/>
      <w:bookmarkStart w:id="10" w:name="_Toc57189217"/>
      <w:bookmarkStart w:id="11" w:name="_Toc57102202"/>
      <w:bookmarkStart w:id="12" w:name="_Toc56933074"/>
      <w:bookmarkStart w:id="13" w:name="_Toc57102162"/>
      <w:bookmarkStart w:id="14" w:name="_Toc57038720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（2.1）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外观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（2.2）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eastAsia="zh-CN"/>
        </w:rPr>
        <w:t>便携式肩关节牵引架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的各焊接部位不应有漏焊、虚焊，整体无曲翘现象、不得有锋棱、毛刺、破损和变形；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（2.3）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寸</w:t>
      </w:r>
      <w:bookmarkEnd w:id="10"/>
      <w:bookmarkEnd w:id="11"/>
      <w:bookmarkEnd w:id="12"/>
      <w:bookmarkEnd w:id="13"/>
      <w:bookmarkEnd w:id="14"/>
      <w:bookmarkStart w:id="15" w:name="_Toc80784402"/>
      <w:bookmarkStart w:id="16" w:name="_Toc86894266"/>
      <w:bookmarkStart w:id="17" w:name="_Toc43793792"/>
      <w:bookmarkStart w:id="18" w:name="_Toc43792729"/>
      <w:bookmarkStart w:id="19" w:name="_Toc43180684"/>
      <w:bookmarkStart w:id="20" w:name="_Toc43793261"/>
      <w:bookmarkStart w:id="21" w:name="_Toc445541770"/>
      <w:bookmarkStart w:id="22" w:name="_Toc43027167"/>
      <w:bookmarkStart w:id="23" w:name="_Toc45343871"/>
      <w:bookmarkStart w:id="24" w:name="_Toc43776534"/>
      <w:bookmarkStart w:id="25" w:name="_Toc43108363"/>
      <w:bookmarkStart w:id="26" w:name="_Toc42491558"/>
      <w:bookmarkStart w:id="27" w:name="_Toc86892997"/>
      <w:bookmarkStart w:id="28" w:name="_Toc43179349"/>
      <w:bookmarkStart w:id="29" w:name="_Toc43112102"/>
      <w:bookmarkStart w:id="30" w:name="_Toc414012141"/>
      <w:bookmarkStart w:id="31" w:name="_Toc121029168"/>
      <w:bookmarkStart w:id="32" w:name="_Toc75407251"/>
      <w:bookmarkStart w:id="33" w:name="_Toc45612513"/>
      <w:bookmarkStart w:id="34" w:name="_Toc43108168"/>
      <w:bookmarkStart w:id="35" w:name="_Toc42490066"/>
      <w:bookmarkStart w:id="36" w:name="_Toc43795282"/>
      <w:bookmarkStart w:id="37" w:name="_Toc44485101"/>
      <w:bookmarkStart w:id="38" w:name="_Toc75403035"/>
      <w:bookmarkStart w:id="39" w:name="_Toc45523527"/>
      <w:bookmarkStart w:id="40" w:name="_Toc80849949"/>
      <w:bookmarkStart w:id="41" w:name="_Toc45605055"/>
      <w:bookmarkStart w:id="42" w:name="_Toc42490381"/>
      <w:bookmarkStart w:id="43" w:name="_Toc43111187"/>
      <w:r>
        <w:rPr>
          <w:rFonts w:hint="eastAsia"/>
          <w:sz w:val="22"/>
          <w:szCs w:val="21"/>
          <w:lang w:eastAsia="zh-CN"/>
        </w:rPr>
        <w:t>：</w:t>
      </w:r>
      <w:r>
        <w:rPr>
          <w:rFonts w:hint="eastAsia" w:ascii="黑体"/>
          <w:sz w:val="28"/>
          <w:szCs w:val="28"/>
        </w:rPr>
        <w:t>尺寸及允差</w:t>
      </w:r>
      <w:r>
        <w:rPr>
          <w:rFonts w:hint="eastAsia"/>
          <w:sz w:val="28"/>
          <w:szCs w:val="28"/>
        </w:rPr>
        <w:t>应符合表1规定。</w:t>
      </w: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41275</wp:posOffset>
            </wp:positionV>
            <wp:extent cx="2686685" cy="2767965"/>
            <wp:effectExtent l="0" t="0" r="18415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pStyle w:val="19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jc w:val="center"/>
        <w:textAlignment w:val="auto"/>
        <w:rPr>
          <w:rFonts w:hint="eastAsia" w:ascii="黑体"/>
        </w:rPr>
      </w:pPr>
    </w:p>
    <w:p>
      <w:pPr>
        <w:pStyle w:val="19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jc w:val="center"/>
        <w:textAlignment w:val="auto"/>
        <w:rPr>
          <w:rFonts w:hint="eastAsia" w:ascii="黑体"/>
        </w:rPr>
      </w:pPr>
    </w:p>
    <w:p>
      <w:pPr>
        <w:pStyle w:val="19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jc w:val="center"/>
        <w:textAlignment w:val="auto"/>
        <w:rPr>
          <w:rFonts w:hint="eastAsia" w:hAnsi="宋体"/>
          <w:szCs w:val="21"/>
        </w:rPr>
      </w:pPr>
      <w:r>
        <w:rPr>
          <w:rFonts w:hint="eastAsia" w:ascii="黑体"/>
        </w:rPr>
        <w:t>表1  尺寸及允差</w:t>
      </w:r>
      <w:r>
        <w:rPr>
          <w:rFonts w:hAnsi="宋体"/>
          <w:szCs w:val="21"/>
        </w:rPr>
        <w:t xml:space="preserve"> </w:t>
      </w:r>
    </w:p>
    <w:tbl>
      <w:tblPr>
        <w:tblStyle w:val="43"/>
        <w:tblW w:w="83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222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hint="eastAsia" w:hAnsi="宋体" w:eastAsia="宋体" w:cs="Times New Roman"/>
                <w:color w:val="1F497D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代号</w:t>
            </w:r>
          </w:p>
        </w:tc>
        <w:tc>
          <w:tcPr>
            <w:tcW w:w="3222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420"/>
              <w:jc w:val="center"/>
              <w:textAlignment w:val="auto"/>
              <w:rPr>
                <w:rFonts w:hint="eastAsia" w:hAnsi="宋体" w:eastAsia="宋体" w:cs="Times New Roman"/>
                <w:color w:val="1F497D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长度（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）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420"/>
              <w:jc w:val="center"/>
              <w:textAlignment w:val="auto"/>
              <w:rPr>
                <w:rFonts w:hint="eastAsia" w:hAnsi="宋体" w:eastAsia="宋体" w:cs="Times New Roman"/>
                <w:color w:val="1F497D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eastAsia="zh-CN"/>
              </w:rPr>
              <w:t>高度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（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hint="eastAsia" w:hAnsi="宋体" w:eastAsia="宋体" w:cs="Times New Roman"/>
                <w:color w:val="1F497D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尺寸</w:t>
            </w:r>
          </w:p>
        </w:tc>
        <w:tc>
          <w:tcPr>
            <w:tcW w:w="3222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hAnsi="宋体" w:eastAsia="宋体" w:cs="Times New Roman"/>
                <w:color w:val="1F497D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920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±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100mm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pStyle w:val="19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420"/>
              <w:jc w:val="center"/>
              <w:textAlignment w:val="auto"/>
              <w:rPr>
                <w:rFonts w:hint="default" w:hAnsi="宋体" w:eastAsia="宋体" w:cs="Times New Roman"/>
                <w:color w:val="1F497D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1390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</w:rPr>
              <w:t>±</w:t>
            </w:r>
            <w:r>
              <w:rPr>
                <w:rFonts w:hint="eastAsia" w:hAnsi="宋体" w:eastAsia="宋体" w:cs="Times New Roman"/>
                <w:color w:val="1F497D"/>
                <w:sz w:val="24"/>
                <w:szCs w:val="24"/>
                <w:lang w:val="en-US" w:eastAsia="zh-CN"/>
              </w:rPr>
              <w:t>100mm</w:t>
            </w:r>
          </w:p>
        </w:tc>
      </w:t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tbl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（2.4）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使用性能</w:t>
      </w:r>
      <w:bookmarkStart w:id="44" w:name="_Toc25131695"/>
      <w:bookmarkStart w:id="45" w:name="_Toc25133628"/>
      <w:bookmarkStart w:id="46" w:name="_Toc25133698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/>
          <w:color w:val="1F497D"/>
          <w:sz w:val="28"/>
          <w:szCs w:val="21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（2.5）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伸缩杆端面应在距横杆端面（50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~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200）±20mm范围自由伸缩。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/>
          <w:sz w:val="28"/>
          <w:szCs w:val="21"/>
        </w:rPr>
      </w:pPr>
      <w:r>
        <w:rPr>
          <w:rFonts w:hint="eastAsia" w:hAnsi="宋体"/>
          <w:color w:val="1F497D"/>
          <w:sz w:val="28"/>
          <w:szCs w:val="21"/>
          <w:lang w:val="en-US" w:eastAsia="zh-CN"/>
        </w:rPr>
        <w:t>（2.6）</w:t>
      </w:r>
      <w:r>
        <w:rPr>
          <w:rFonts w:hint="eastAsia" w:hAnsi="宋体"/>
          <w:color w:val="1F497D"/>
          <w:sz w:val="28"/>
          <w:szCs w:val="21"/>
          <w:lang w:eastAsia="zh-CN"/>
        </w:rPr>
        <w:t>横杆中心应能在立杆</w:t>
      </w:r>
      <w:r>
        <w:rPr>
          <w:rFonts w:hint="eastAsia" w:hAnsi="宋体" w:eastAsia="宋体" w:cs="Times New Roman"/>
          <w:color w:val="1F497D"/>
          <w:sz w:val="28"/>
          <w:szCs w:val="21"/>
          <w:lang w:eastAsia="zh-CN"/>
        </w:rPr>
        <w:t>（</w:t>
      </w:r>
      <w:r>
        <w:rPr>
          <w:rFonts w:hint="eastAsia" w:hAnsi="宋体" w:eastAsia="宋体" w:cs="Times New Roman"/>
          <w:color w:val="1F497D"/>
          <w:sz w:val="28"/>
          <w:szCs w:val="21"/>
          <w:lang w:val="en-US" w:eastAsia="zh-CN"/>
        </w:rPr>
        <w:t>205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~</w:t>
      </w:r>
      <w:r>
        <w:rPr>
          <w:rFonts w:hint="eastAsia" w:hAnsi="宋体" w:eastAsia="宋体" w:cs="Times New Roman"/>
          <w:color w:val="1F497D"/>
          <w:sz w:val="28"/>
          <w:szCs w:val="21"/>
          <w:lang w:val="en-US" w:eastAsia="zh-CN"/>
        </w:rPr>
        <w:t>1270</w:t>
      </w:r>
      <w:r>
        <w:rPr>
          <w:rFonts w:hint="eastAsia" w:hAnsi="宋体" w:eastAsia="宋体" w:cs="Times New Roman"/>
          <w:color w:val="1F497D"/>
          <w:sz w:val="28"/>
          <w:szCs w:val="21"/>
          <w:lang w:eastAsia="zh-CN"/>
        </w:rPr>
        <w:t>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±50mm范围自由调整高度。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/>
          <w:sz w:val="28"/>
          <w:szCs w:val="21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（2.7）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横杆与立杆之间可在0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~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360°间旋转调节角度，调整步长为20±2°。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/>
          <w:sz w:val="28"/>
          <w:szCs w:val="21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（2.8）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各手柄使用</w:t>
      </w:r>
      <w:r>
        <w:rPr>
          <w:rFonts w:hint="eastAsia" w:ascii="宋体" w:hAnsi="宋体"/>
          <w:sz w:val="28"/>
          <w:szCs w:val="21"/>
        </w:rPr>
        <w:t>应灵活，无卡阻现象；</w:t>
      </w:r>
      <w:r>
        <w:rPr>
          <w:rFonts w:hint="eastAsia" w:hAnsi="宋体"/>
          <w:sz w:val="28"/>
          <w:szCs w:val="21"/>
          <w:lang w:eastAsia="zh-CN"/>
        </w:rPr>
        <w:t>锁定后稳固无松动；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/>
          <w:sz w:val="28"/>
          <w:szCs w:val="21"/>
        </w:rPr>
      </w:pPr>
      <w:r>
        <w:rPr>
          <w:rFonts w:hint="eastAsia" w:hAnsi="宋体"/>
          <w:sz w:val="28"/>
          <w:szCs w:val="21"/>
          <w:lang w:val="en-US" w:eastAsia="zh-CN"/>
        </w:rPr>
        <w:t>（2.9）</w:t>
      </w:r>
      <w:r>
        <w:rPr>
          <w:rFonts w:hint="eastAsia" w:hAnsi="宋体"/>
          <w:sz w:val="28"/>
          <w:szCs w:val="21"/>
          <w:lang w:eastAsia="zh-CN"/>
        </w:rPr>
        <w:t>吊轮应转动灵活，无卡阻现象。</w:t>
      </w:r>
    </w:p>
    <w:bookmarkEnd w:id="44"/>
    <w:bookmarkEnd w:id="45"/>
    <w:bookmarkEnd w:id="46"/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47" w:name="_Toc44124442"/>
      <w:bookmarkStart w:id="48" w:name="_Toc80784518"/>
      <w:bookmarkStart w:id="49" w:name="_Toc42493081"/>
      <w:bookmarkStart w:id="50" w:name="_Toc45524130"/>
      <w:bookmarkStart w:id="51" w:name="_Toc44214118"/>
      <w:bookmarkStart w:id="52" w:name="_Toc86115414"/>
      <w:bookmarkStart w:id="53" w:name="_Toc86889508"/>
      <w:bookmarkStart w:id="54" w:name="_Toc43194793"/>
      <w:bookmarkStart w:id="55" w:name="_Toc43102371"/>
      <w:bookmarkStart w:id="56" w:name="_Toc44473402"/>
      <w:bookmarkStart w:id="57" w:name="_Toc44124230"/>
      <w:bookmarkStart w:id="58" w:name="_Toc44125563"/>
      <w:bookmarkStart w:id="59" w:name="_Toc43102058"/>
      <w:bookmarkStart w:id="60" w:name="_Toc43020144"/>
      <w:bookmarkStart w:id="61" w:name="_Toc43197130"/>
      <w:bookmarkStart w:id="62" w:name="_Toc43095689"/>
      <w:bookmarkStart w:id="63" w:name="_Toc43006220"/>
      <w:bookmarkStart w:id="64" w:name="_Toc45610620"/>
      <w:bookmarkStart w:id="65" w:name="_Toc42940863"/>
      <w:bookmarkStart w:id="66" w:name="_Toc45524174"/>
      <w:bookmarkStart w:id="67" w:name="_Toc44213447"/>
      <w:bookmarkStart w:id="68" w:name="_Toc45345740"/>
      <w:bookmarkStart w:id="69" w:name="_Toc80845351"/>
      <w:bookmarkStart w:id="70" w:name="_Toc80784480"/>
      <w:bookmarkStart w:id="71" w:name="_Toc43535930"/>
      <w:bookmarkStart w:id="72" w:name="_Toc44218436"/>
      <w:bookmarkStart w:id="73" w:name="_Toc445543022"/>
      <w:bookmarkStart w:id="74" w:name="_Toc80845456"/>
      <w:bookmarkStart w:id="75" w:name="_Toc445542899"/>
      <w:bookmarkStart w:id="76" w:name="_Toc25600456"/>
      <w:bookmarkStart w:id="77" w:name="_Toc25133640"/>
      <w:bookmarkStart w:id="78" w:name="_Toc25131707"/>
      <w:bookmarkStart w:id="79" w:name="_Toc25133710"/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（2.10）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安全性能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bookmarkEnd w:id="77"/>
    <w:bookmarkEnd w:id="78"/>
    <w:bookmarkEnd w:id="79"/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（2.11）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牵引架承载30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kg负荷时不得垮塌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脱落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80" w:name="_Toc71961405"/>
      <w:bookmarkStart w:id="81" w:name="_Toc73930317"/>
      <w:bookmarkStart w:id="82" w:name="_Toc73179714"/>
      <w:bookmarkStart w:id="83" w:name="_Toc71681526"/>
      <w:bookmarkStart w:id="84" w:name="_Toc71963529"/>
      <w:bookmarkStart w:id="85" w:name="_Toc72121023"/>
      <w:bookmarkStart w:id="86" w:name="_Toc71773994"/>
      <w:bookmarkStart w:id="87" w:name="_Toc74044393"/>
      <w:bookmarkStart w:id="88" w:name="_Toc72120051"/>
      <w:bookmarkStart w:id="89" w:name="_Toc74102803"/>
      <w:bookmarkStart w:id="90" w:name="_Toc180232540"/>
      <w:bookmarkStart w:id="91" w:name="_Toc74043068"/>
      <w:bookmarkStart w:id="92" w:name="_Toc71961440"/>
      <w:bookmarkStart w:id="93" w:name="_Toc74108388"/>
      <w:r>
        <w:rPr>
          <w:rFonts w:hint="eastAsia" w:hAnsi="宋体" w:cs="宋体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检验方法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94" w:name="_Toc534086570"/>
      <w:bookmarkStart w:id="95" w:name="_Toc16665172"/>
      <w:bookmarkStart w:id="96" w:name="_Toc28674050"/>
      <w:bookmarkStart w:id="97" w:name="_Toc534079899"/>
      <w:bookmarkStart w:id="98" w:name="_Toc10877690"/>
      <w:bookmarkStart w:id="99" w:name="_Toc532871371"/>
      <w:bookmarkStart w:id="100" w:name="_Toc28673536"/>
      <w:bookmarkStart w:id="101" w:name="_Toc11486060"/>
      <w:bookmarkStart w:id="102" w:name="_Toc10620818"/>
      <w:bookmarkStart w:id="103" w:name="_Toc16664831"/>
      <w:bookmarkStart w:id="104" w:name="_Toc28674007"/>
      <w:bookmarkStart w:id="105" w:name="_Toc534253311"/>
      <w:bookmarkStart w:id="106" w:name="_Toc534253029"/>
      <w:bookmarkStart w:id="107" w:name="_Toc11230306"/>
      <w:bookmarkStart w:id="108" w:name="_Toc11485378"/>
      <w:bookmarkStart w:id="109" w:name="_Toc11485262"/>
      <w:bookmarkStart w:id="110" w:name="_Toc28673445"/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（3.1）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外观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用手触摸感觉、目测进行检验，应符合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（3.2）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尺寸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检验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hAnsi="宋体"/>
          <w:color w:val="000000"/>
          <w:sz w:val="28"/>
          <w:szCs w:val="28"/>
        </w:rPr>
        <w:t>用</w:t>
      </w:r>
      <w:r>
        <w:rPr>
          <w:rFonts w:hint="eastAsia"/>
          <w:color w:val="000000"/>
          <w:sz w:val="28"/>
          <w:szCs w:val="28"/>
        </w:rPr>
        <w:t>以通用及专用量具测量</w:t>
      </w:r>
      <w:r>
        <w:rPr>
          <w:rFonts w:hint="eastAsia" w:hAnsi="宋体"/>
          <w:color w:val="000000"/>
          <w:sz w:val="28"/>
          <w:szCs w:val="28"/>
        </w:rPr>
        <w:t>，应符合按</w:t>
      </w:r>
      <w:r>
        <w:rPr>
          <w:rFonts w:hint="eastAsia" w:hAnsi="宋体"/>
          <w:color w:val="000000"/>
          <w:sz w:val="28"/>
          <w:szCs w:val="28"/>
          <w:lang w:eastAsia="zh-CN"/>
        </w:rPr>
        <w:t>（</w:t>
      </w:r>
      <w:r>
        <w:rPr>
          <w:rFonts w:hint="eastAsia" w:hAnsi="宋体"/>
          <w:color w:val="000000"/>
          <w:sz w:val="28"/>
          <w:szCs w:val="28"/>
        </w:rPr>
        <w:t>2.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hAnsi="宋体"/>
          <w:color w:val="000000"/>
          <w:sz w:val="28"/>
          <w:szCs w:val="28"/>
        </w:rPr>
        <w:t>条表1规定</w:t>
      </w:r>
      <w:r>
        <w:rPr>
          <w:rFonts w:hint="eastAsia" w:hAnsi="宋体"/>
          <w:sz w:val="28"/>
          <w:szCs w:val="28"/>
        </w:rPr>
        <w:t>。</w:t>
      </w:r>
      <w:bookmarkStart w:id="111" w:name="_Toc10620819"/>
      <w:bookmarkStart w:id="112" w:name="_Toc11486061"/>
      <w:bookmarkStart w:id="113" w:name="_Toc11485263"/>
      <w:bookmarkStart w:id="114" w:name="_Toc11230307"/>
      <w:bookmarkStart w:id="115" w:name="_Toc10877691"/>
      <w:bookmarkStart w:id="116" w:name="_Toc534086571"/>
      <w:bookmarkStart w:id="117" w:name="_Toc534079900"/>
      <w:bookmarkStart w:id="118" w:name="_Toc532871372"/>
      <w:bookmarkStart w:id="119" w:name="_Toc534253312"/>
      <w:bookmarkStart w:id="120" w:name="_Toc11485379"/>
      <w:bookmarkStart w:id="121" w:name="_Toc534253030"/>
      <w:bookmarkStart w:id="122" w:name="_Toc28673537"/>
      <w:bookmarkStart w:id="123" w:name="_Toc16664832"/>
      <w:bookmarkStart w:id="124" w:name="_Toc16665173"/>
      <w:bookmarkStart w:id="125" w:name="_Toc28674051"/>
      <w:bookmarkStart w:id="126" w:name="_Toc28674008"/>
      <w:bookmarkStart w:id="127" w:name="_Toc28673446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使用性能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试验</w:t>
      </w:r>
      <w:bookmarkEnd w:id="122"/>
      <w:bookmarkEnd w:id="123"/>
      <w:bookmarkEnd w:id="124"/>
      <w:bookmarkEnd w:id="125"/>
      <w:bookmarkEnd w:id="126"/>
      <w:bookmarkEnd w:id="127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（3.3.1）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用卷尺测量并调整伸缩杆端面与横杆端面的距离，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2.3.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（3.3.2）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用卷尺测量并调整横杆与立杆的高度距离，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2.3.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（3.3.3）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松动鱼尾手柄调节横杆与立杆之间的角度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，应符合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2.3.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（3.3.4）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试用锁紧各个手柄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，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拉拽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观察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各手柄使用及锁紧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（3.3.5）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转动各吊轮，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2.3.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128" w:name="_Toc445542906"/>
      <w:bookmarkStart w:id="129" w:name="_Toc44124449"/>
      <w:bookmarkStart w:id="130" w:name="_Toc43020151"/>
      <w:bookmarkStart w:id="131" w:name="_Toc44473409"/>
      <w:bookmarkStart w:id="132" w:name="_Toc42493088"/>
      <w:bookmarkStart w:id="133" w:name="_Toc86115421"/>
      <w:bookmarkStart w:id="134" w:name="_Toc80784487"/>
      <w:bookmarkStart w:id="135" w:name="_Toc44124237"/>
      <w:bookmarkStart w:id="136" w:name="_Toc43194800"/>
      <w:bookmarkStart w:id="137" w:name="_Toc45524137"/>
      <w:bookmarkStart w:id="138" w:name="_Toc44213454"/>
      <w:bookmarkStart w:id="139" w:name="_Toc44125570"/>
      <w:bookmarkStart w:id="140" w:name="_Toc43535937"/>
      <w:bookmarkStart w:id="141" w:name="_Toc43197137"/>
      <w:bookmarkStart w:id="142" w:name="_Toc25600463"/>
      <w:bookmarkStart w:id="143" w:name="_Toc80845358"/>
      <w:bookmarkStart w:id="144" w:name="_Toc44218443"/>
      <w:bookmarkStart w:id="145" w:name="_Toc42940870"/>
      <w:bookmarkStart w:id="146" w:name="_Toc45524181"/>
      <w:bookmarkStart w:id="147" w:name="_Toc45610627"/>
      <w:bookmarkStart w:id="148" w:name="_Toc43006227"/>
      <w:bookmarkStart w:id="149" w:name="_Toc80784525"/>
      <w:bookmarkStart w:id="150" w:name="_Toc43102378"/>
      <w:bookmarkStart w:id="151" w:name="_Toc86889515"/>
      <w:bookmarkStart w:id="152" w:name="_Toc45345747"/>
      <w:bookmarkStart w:id="153" w:name="_Toc43102065"/>
      <w:bookmarkStart w:id="154" w:name="_Toc43095696"/>
      <w:bookmarkStart w:id="155" w:name="_Toc445543029"/>
      <w:bookmarkStart w:id="156" w:name="_Toc80845463"/>
      <w:bookmarkStart w:id="157" w:name="_Toc44214125"/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（3.4）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安全性能检验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pStyle w:val="197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289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158" w:name="_Toc25133653"/>
      <w:bookmarkStart w:id="159" w:name="_Toc25131720"/>
      <w:bookmarkStart w:id="160" w:name="_Toc25133723"/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（3.4.1）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在</w:t>
      </w:r>
      <w:r>
        <w:rPr>
          <w:rFonts w:hint="eastAsia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便携式肩关节牵引架牵引架一段吊轮处悬挂30kg载荷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，应符合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2.4.1</w:t>
      </w:r>
      <w:r>
        <w:rPr>
          <w:rFonts w:hint="eastAsia" w:hAnsi="宋体" w:cs="宋体"/>
          <w:b w:val="0"/>
          <w:bCs w:val="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条要求。</w:t>
      </w:r>
    </w:p>
    <w:bookmarkEnd w:id="158"/>
    <w:bookmarkEnd w:id="159"/>
    <w:bookmarkEnd w:id="160"/>
    <w:p>
      <w:pPr>
        <w:pStyle w:val="136"/>
        <w:widowControl/>
        <w:numPr>
          <w:ilvl w:val="0"/>
          <w:numId w:val="0"/>
        </w:numPr>
        <w:kinsoku w:val="0"/>
        <w:snapToGrid w:val="0"/>
        <w:spacing w:line="240" w:lineRule="auto"/>
        <w:ind w:left="363" w:hanging="363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Arial" w:cs="Arial"/>
          <w:b/>
          <w:bCs/>
          <w:i w:val="0"/>
          <w:caps w:val="0"/>
          <w:snapToGrid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ind w:firstLine="0" w:firstLineChars="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0" w:firstLineChars="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(6)</w:t>
      </w:r>
      <w:r>
        <w:rPr>
          <w:color w:val="auto"/>
          <w:sz w:val="24"/>
          <w:szCs w:val="24"/>
          <w:lang w:eastAsia="zh-CN"/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492AB6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7683C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8E0A90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645016"/>
    <w:rsid w:val="1F755477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25266E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D9499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4C57A3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190427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5F37A2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一级条标题"/>
    <w:next w:val="197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3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2023-12-01T02:10:01Z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