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74" w:rsidRDefault="00254774" w:rsidP="00254774">
      <w:pPr>
        <w:spacing w:line="400" w:lineRule="exact"/>
        <w:ind w:firstLineChars="200" w:firstLine="482"/>
        <w:rPr>
          <w:rFonts w:ascii="仿宋" w:eastAsia="仿宋" w:hAnsi="仿宋"/>
          <w:b/>
          <w:sz w:val="24"/>
        </w:rPr>
      </w:pPr>
      <w:bookmarkStart w:id="0" w:name="PO_默认文件内容_27"/>
      <w:r>
        <w:rPr>
          <w:rFonts w:ascii="仿宋" w:eastAsia="仿宋" w:hAnsi="仿宋" w:hint="eastAsia"/>
          <w:b/>
          <w:sz w:val="24"/>
        </w:rPr>
        <w:t>前提：</w:t>
      </w:r>
      <w:r>
        <w:rPr>
          <w:rFonts w:ascii="仿宋" w:eastAsia="仿宋" w:hAnsi="仿宋"/>
          <w:b/>
          <w:sz w:val="24"/>
        </w:rPr>
        <w:t>本章采购需求中标注“</w:t>
      </w:r>
      <w:r>
        <w:rPr>
          <w:rFonts w:ascii="仿宋" w:eastAsia="仿宋" w:hAnsi="仿宋" w:hint="eastAsia"/>
          <w:b/>
          <w:sz w:val="24"/>
        </w:rPr>
        <w:t>★</w:t>
      </w:r>
      <w:r>
        <w:rPr>
          <w:rFonts w:ascii="仿宋" w:eastAsia="仿宋" w:hAnsi="仿宋"/>
          <w:b/>
          <w:sz w:val="24"/>
        </w:rPr>
        <w:t>”号的条款为本次磋商采购项目的实质性要求，供应商应全部满足。</w:t>
      </w:r>
    </w:p>
    <w:p w:rsidR="00254774" w:rsidRDefault="00254774" w:rsidP="00254774">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p>
    <w:tbl>
      <w:tblPr>
        <w:tblStyle w:val="a6"/>
        <w:tblW w:w="9918" w:type="dxa"/>
        <w:tblLayout w:type="fixed"/>
        <w:tblLook w:val="04A0" w:firstRow="1" w:lastRow="0" w:firstColumn="1" w:lastColumn="0" w:noHBand="0" w:noVBand="1"/>
      </w:tblPr>
      <w:tblGrid>
        <w:gridCol w:w="846"/>
        <w:gridCol w:w="992"/>
        <w:gridCol w:w="6237"/>
        <w:gridCol w:w="1843"/>
      </w:tblGrid>
      <w:tr w:rsidR="00254774" w:rsidTr="00FE4E92">
        <w:tc>
          <w:tcPr>
            <w:tcW w:w="846"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包号</w:t>
            </w:r>
          </w:p>
        </w:tc>
        <w:tc>
          <w:tcPr>
            <w:tcW w:w="992"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品目号</w:t>
            </w:r>
          </w:p>
        </w:tc>
        <w:tc>
          <w:tcPr>
            <w:tcW w:w="6237"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名称</w:t>
            </w:r>
          </w:p>
        </w:tc>
        <w:tc>
          <w:tcPr>
            <w:tcW w:w="1843"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最高限价（万元）</w:t>
            </w:r>
          </w:p>
        </w:tc>
      </w:tr>
      <w:tr w:rsidR="00254774" w:rsidTr="00FE4E92">
        <w:tc>
          <w:tcPr>
            <w:tcW w:w="846" w:type="dxa"/>
            <w:vMerge w:val="restart"/>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p>
        </w:tc>
        <w:tc>
          <w:tcPr>
            <w:tcW w:w="992"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1-</w:t>
            </w:r>
            <w:r>
              <w:rPr>
                <w:rFonts w:ascii="仿宋" w:eastAsia="仿宋" w:hAnsi="仿宋"/>
                <w:spacing w:val="-4"/>
                <w:sz w:val="24"/>
              </w:rPr>
              <w:t>1</w:t>
            </w:r>
          </w:p>
        </w:tc>
        <w:tc>
          <w:tcPr>
            <w:tcW w:w="6237"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64排CT</w:t>
            </w:r>
            <w:r>
              <w:rPr>
                <w:rFonts w:ascii="仿宋" w:eastAsia="仿宋" w:hAnsi="仿宋"/>
                <w:spacing w:val="-4"/>
                <w:sz w:val="24"/>
              </w:rPr>
              <w:t xml:space="preserve"> </w:t>
            </w:r>
            <w:r>
              <w:rPr>
                <w:rFonts w:ascii="仿宋" w:eastAsia="仿宋" w:hAnsi="仿宋" w:hint="eastAsia"/>
                <w:spacing w:val="-4"/>
                <w:sz w:val="24"/>
              </w:rPr>
              <w:t>维保</w:t>
            </w:r>
            <w:r w:rsidRPr="0055160B">
              <w:rPr>
                <w:rFonts w:ascii="仿宋" w:eastAsia="仿宋" w:hAnsi="仿宋" w:hint="eastAsia"/>
                <w:spacing w:val="-4"/>
                <w:sz w:val="24"/>
              </w:rPr>
              <w:t>（GE OPTIMA660）</w:t>
            </w:r>
          </w:p>
        </w:tc>
        <w:tc>
          <w:tcPr>
            <w:tcW w:w="1843"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105</w:t>
            </w:r>
          </w:p>
        </w:tc>
      </w:tr>
      <w:tr w:rsidR="00254774" w:rsidTr="00FE4E92">
        <w:tc>
          <w:tcPr>
            <w:tcW w:w="846" w:type="dxa"/>
            <w:vMerge/>
          </w:tcPr>
          <w:p w:rsidR="00254774" w:rsidRDefault="00254774" w:rsidP="00FE4E92">
            <w:pPr>
              <w:spacing w:after="120" w:line="440" w:lineRule="exact"/>
              <w:rPr>
                <w:rFonts w:ascii="仿宋" w:eastAsia="仿宋" w:hAnsi="仿宋"/>
                <w:spacing w:val="-4"/>
                <w:sz w:val="24"/>
              </w:rPr>
            </w:pPr>
          </w:p>
        </w:tc>
        <w:tc>
          <w:tcPr>
            <w:tcW w:w="992"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1-</w:t>
            </w:r>
            <w:r>
              <w:rPr>
                <w:rFonts w:ascii="仿宋" w:eastAsia="仿宋" w:hAnsi="仿宋"/>
                <w:spacing w:val="-4"/>
                <w:sz w:val="24"/>
              </w:rPr>
              <w:t>2</w:t>
            </w:r>
          </w:p>
        </w:tc>
        <w:tc>
          <w:tcPr>
            <w:tcW w:w="6237"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16排CT维保</w:t>
            </w:r>
            <w:r w:rsidRPr="0055160B">
              <w:rPr>
                <w:rFonts w:ascii="仿宋" w:eastAsia="仿宋" w:hAnsi="仿宋" w:hint="eastAsia"/>
                <w:spacing w:val="-4"/>
                <w:sz w:val="24"/>
              </w:rPr>
              <w:t>（东软）</w:t>
            </w:r>
          </w:p>
        </w:tc>
        <w:tc>
          <w:tcPr>
            <w:tcW w:w="1843"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55</w:t>
            </w:r>
          </w:p>
        </w:tc>
      </w:tr>
      <w:tr w:rsidR="00254774" w:rsidTr="00FE4E92">
        <w:tc>
          <w:tcPr>
            <w:tcW w:w="846" w:type="dxa"/>
            <w:vMerge/>
          </w:tcPr>
          <w:p w:rsidR="00254774" w:rsidRDefault="00254774" w:rsidP="00FE4E92">
            <w:pPr>
              <w:spacing w:after="120" w:line="440" w:lineRule="exact"/>
              <w:rPr>
                <w:rFonts w:ascii="仿宋" w:eastAsia="仿宋" w:hAnsi="仿宋"/>
                <w:spacing w:val="-4"/>
                <w:sz w:val="24"/>
              </w:rPr>
            </w:pPr>
          </w:p>
        </w:tc>
        <w:tc>
          <w:tcPr>
            <w:tcW w:w="992"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1-</w:t>
            </w:r>
            <w:r>
              <w:rPr>
                <w:rFonts w:ascii="仿宋" w:eastAsia="仿宋" w:hAnsi="仿宋"/>
                <w:spacing w:val="-4"/>
                <w:sz w:val="24"/>
              </w:rPr>
              <w:t>3</w:t>
            </w:r>
          </w:p>
        </w:tc>
        <w:tc>
          <w:tcPr>
            <w:tcW w:w="6237"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方舱16排CT维保</w:t>
            </w:r>
            <w:r w:rsidRPr="0055160B">
              <w:rPr>
                <w:rFonts w:ascii="仿宋" w:eastAsia="仿宋" w:hAnsi="仿宋" w:hint="eastAsia"/>
                <w:spacing w:val="-4"/>
                <w:sz w:val="24"/>
              </w:rPr>
              <w:t>（东软）</w:t>
            </w:r>
          </w:p>
        </w:tc>
        <w:tc>
          <w:tcPr>
            <w:tcW w:w="1843" w:type="dxa"/>
          </w:tcPr>
          <w:p w:rsidR="00254774" w:rsidRDefault="00254774" w:rsidP="00FE4E92">
            <w:pPr>
              <w:spacing w:after="120" w:line="440" w:lineRule="exact"/>
              <w:rPr>
                <w:rFonts w:ascii="仿宋" w:eastAsia="仿宋" w:hAnsi="仿宋"/>
                <w:spacing w:val="-4"/>
                <w:sz w:val="24"/>
              </w:rPr>
            </w:pPr>
            <w:r>
              <w:rPr>
                <w:rFonts w:ascii="仿宋" w:eastAsia="仿宋" w:hAnsi="仿宋" w:hint="eastAsia"/>
                <w:spacing w:val="-4"/>
                <w:sz w:val="24"/>
              </w:rPr>
              <w:t>40</w:t>
            </w:r>
          </w:p>
        </w:tc>
      </w:tr>
    </w:tbl>
    <w:p w:rsidR="00254774" w:rsidRDefault="00254774" w:rsidP="00254774">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 xml:space="preserve"> </w:t>
      </w:r>
      <w:r>
        <w:rPr>
          <w:rFonts w:ascii="仿宋" w:eastAsia="仿宋" w:hAnsi="仿宋" w:hint="eastAsia"/>
          <w:sz w:val="24"/>
          <w:szCs w:val="24"/>
        </w:rPr>
        <w:t>项目清单</w:t>
      </w:r>
    </w:p>
    <w:tbl>
      <w:tblPr>
        <w:tblStyle w:val="a6"/>
        <w:tblW w:w="9870" w:type="dxa"/>
        <w:tblLayout w:type="fixed"/>
        <w:tblLook w:val="04A0" w:firstRow="1" w:lastRow="0" w:firstColumn="1" w:lastColumn="0" w:noHBand="0" w:noVBand="1"/>
      </w:tblPr>
      <w:tblGrid>
        <w:gridCol w:w="715"/>
        <w:gridCol w:w="740"/>
        <w:gridCol w:w="1236"/>
        <w:gridCol w:w="1187"/>
        <w:gridCol w:w="1191"/>
        <w:gridCol w:w="1191"/>
        <w:gridCol w:w="1191"/>
        <w:gridCol w:w="1191"/>
        <w:gridCol w:w="1228"/>
      </w:tblGrid>
      <w:tr w:rsidR="00254774" w:rsidTr="00FE4E92">
        <w:tc>
          <w:tcPr>
            <w:tcW w:w="715"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包号</w:t>
            </w:r>
          </w:p>
        </w:tc>
        <w:tc>
          <w:tcPr>
            <w:tcW w:w="740"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品目号</w:t>
            </w:r>
          </w:p>
        </w:tc>
        <w:tc>
          <w:tcPr>
            <w:tcW w:w="1236"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1187"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所属行业</w:t>
            </w:r>
          </w:p>
        </w:tc>
        <w:tc>
          <w:tcPr>
            <w:tcW w:w="1191"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数量</w:t>
            </w:r>
          </w:p>
        </w:tc>
        <w:tc>
          <w:tcPr>
            <w:tcW w:w="1191"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是否允许进口产品</w:t>
            </w:r>
          </w:p>
        </w:tc>
        <w:tc>
          <w:tcPr>
            <w:tcW w:w="1191"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bCs/>
                <w:sz w:val="24"/>
              </w:rPr>
              <w:t>是否属于优先采购节能产品</w:t>
            </w:r>
          </w:p>
        </w:tc>
        <w:tc>
          <w:tcPr>
            <w:tcW w:w="1191"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是否属于强制采购节能产品</w:t>
            </w:r>
          </w:p>
        </w:tc>
        <w:tc>
          <w:tcPr>
            <w:tcW w:w="1228"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是否属于优先采购环境标志产品</w:t>
            </w:r>
          </w:p>
        </w:tc>
      </w:tr>
      <w:tr w:rsidR="00254774" w:rsidTr="00FE4E92">
        <w:tc>
          <w:tcPr>
            <w:tcW w:w="715"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bCs/>
                <w:sz w:val="24"/>
              </w:rPr>
              <w:t>01包</w:t>
            </w:r>
          </w:p>
        </w:tc>
        <w:tc>
          <w:tcPr>
            <w:tcW w:w="740"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1-1</w:t>
            </w:r>
          </w:p>
        </w:tc>
        <w:tc>
          <w:tcPr>
            <w:tcW w:w="1236" w:type="dxa"/>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spacing w:val="-4"/>
                <w:sz w:val="24"/>
              </w:rPr>
              <w:t>64排CT</w:t>
            </w:r>
            <w:r>
              <w:rPr>
                <w:rFonts w:ascii="仿宋" w:eastAsia="仿宋" w:hAnsi="仿宋"/>
                <w:spacing w:val="-4"/>
                <w:sz w:val="24"/>
              </w:rPr>
              <w:t xml:space="preserve"> </w:t>
            </w:r>
            <w:r>
              <w:rPr>
                <w:rFonts w:ascii="仿宋" w:eastAsia="仿宋" w:hAnsi="仿宋" w:hint="eastAsia"/>
                <w:spacing w:val="-4"/>
                <w:sz w:val="24"/>
              </w:rPr>
              <w:t>维保、</w:t>
            </w:r>
            <w:r w:rsidRPr="0055160B">
              <w:rPr>
                <w:rFonts w:ascii="仿宋" w:eastAsia="仿宋" w:hAnsi="仿宋" w:hint="eastAsia"/>
                <w:spacing w:val="-4"/>
                <w:sz w:val="24"/>
              </w:rPr>
              <w:t>16排CT维保</w:t>
            </w:r>
            <w:r>
              <w:rPr>
                <w:rFonts w:ascii="仿宋" w:eastAsia="仿宋" w:hAnsi="仿宋" w:hint="eastAsia"/>
                <w:spacing w:val="-4"/>
                <w:sz w:val="24"/>
              </w:rPr>
              <w:t>、</w:t>
            </w:r>
            <w:r w:rsidRPr="0055160B">
              <w:rPr>
                <w:rFonts w:ascii="仿宋" w:eastAsia="仿宋" w:hAnsi="仿宋" w:hint="eastAsia"/>
                <w:spacing w:val="-4"/>
                <w:sz w:val="24"/>
              </w:rPr>
              <w:t>方舱16排CT维保</w:t>
            </w:r>
          </w:p>
        </w:tc>
        <w:tc>
          <w:tcPr>
            <w:tcW w:w="1187" w:type="dxa"/>
            <w:vAlign w:val="center"/>
          </w:tcPr>
          <w:p w:rsidR="00254774" w:rsidRDefault="00254774" w:rsidP="00FE4E92">
            <w:pPr>
              <w:pStyle w:val="a5"/>
              <w:spacing w:line="400" w:lineRule="exact"/>
              <w:ind w:firstLineChars="0" w:firstLine="0"/>
              <w:rPr>
                <w:rFonts w:ascii="仿宋" w:eastAsia="仿宋" w:hAnsi="仿宋"/>
                <w:bCs/>
                <w:sz w:val="24"/>
              </w:rPr>
            </w:pPr>
            <w:r>
              <w:rPr>
                <w:rFonts w:ascii="仿宋" w:eastAsia="仿宋" w:hAnsi="仿宋" w:hint="eastAsia"/>
                <w:bCs/>
                <w:sz w:val="24"/>
              </w:rPr>
              <w:t>其他未列明行业</w:t>
            </w:r>
          </w:p>
        </w:tc>
        <w:tc>
          <w:tcPr>
            <w:tcW w:w="1191"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各1台</w:t>
            </w:r>
          </w:p>
        </w:tc>
        <w:tc>
          <w:tcPr>
            <w:tcW w:w="1191"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否</w:t>
            </w:r>
          </w:p>
        </w:tc>
        <w:tc>
          <w:tcPr>
            <w:tcW w:w="1191"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否</w:t>
            </w:r>
          </w:p>
        </w:tc>
        <w:tc>
          <w:tcPr>
            <w:tcW w:w="1191"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否</w:t>
            </w:r>
          </w:p>
        </w:tc>
        <w:tc>
          <w:tcPr>
            <w:tcW w:w="1228" w:type="dxa"/>
            <w:vAlign w:val="center"/>
          </w:tcPr>
          <w:p w:rsidR="00254774" w:rsidRDefault="00254774" w:rsidP="00FE4E92">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否</w:t>
            </w:r>
          </w:p>
        </w:tc>
      </w:tr>
    </w:tbl>
    <w:p w:rsidR="00254774" w:rsidRDefault="00254774" w:rsidP="00254774"/>
    <w:p w:rsidR="00254774" w:rsidRDefault="00254774" w:rsidP="00254774">
      <w:pPr>
        <w:pStyle w:val="2"/>
        <w:spacing w:line="400" w:lineRule="exact"/>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 xml:space="preserve"> </w:t>
      </w:r>
      <w:r>
        <w:rPr>
          <w:rFonts w:ascii="仿宋" w:eastAsia="仿宋" w:hAnsi="仿宋" w:hint="eastAsia"/>
          <w:sz w:val="24"/>
          <w:szCs w:val="24"/>
        </w:rPr>
        <w:t>商务要求</w:t>
      </w:r>
    </w:p>
    <w:bookmarkEnd w:id="0"/>
    <w:p w:rsidR="00254774" w:rsidRDefault="00254774" w:rsidP="00254774">
      <w:pPr>
        <w:spacing w:line="360" w:lineRule="auto"/>
        <w:jc w:val="left"/>
        <w:rPr>
          <w:rFonts w:ascii="仿宋" w:eastAsia="仿宋" w:hAnsi="仿宋"/>
          <w:sz w:val="24"/>
        </w:rPr>
      </w:pPr>
      <w:r>
        <w:rPr>
          <w:rFonts w:ascii="仿宋" w:eastAsia="仿宋" w:hAnsi="仿宋"/>
          <w:sz w:val="24"/>
        </w:rPr>
        <w:t>1</w:t>
      </w:r>
      <w:r>
        <w:rPr>
          <w:rFonts w:ascii="仿宋" w:eastAsia="仿宋" w:hAnsi="仿宋" w:hint="eastAsia"/>
          <w:sz w:val="24"/>
        </w:rPr>
        <w:t>、服务期三年，合同一年一签</w:t>
      </w:r>
    </w:p>
    <w:p w:rsidR="00254774" w:rsidRDefault="00254774" w:rsidP="00254774">
      <w:pPr>
        <w:spacing w:line="360" w:lineRule="auto"/>
        <w:jc w:val="left"/>
        <w:rPr>
          <w:rFonts w:ascii="仿宋" w:eastAsia="仿宋" w:hAnsi="仿宋"/>
          <w:sz w:val="24"/>
        </w:rPr>
      </w:pPr>
      <w:r>
        <w:rPr>
          <w:rFonts w:ascii="仿宋" w:eastAsia="仿宋" w:hAnsi="仿宋"/>
          <w:sz w:val="24"/>
        </w:rPr>
        <w:t>2</w:t>
      </w:r>
      <w:r>
        <w:rPr>
          <w:rFonts w:ascii="仿宋" w:eastAsia="仿宋" w:hAnsi="仿宋" w:hint="eastAsia"/>
          <w:sz w:val="24"/>
        </w:rPr>
        <w:t>、服务期内由设备管理部门和使用科室进行每季度一次考核，满分100分；每季度考核≥90分为考核合格，80-90分成交供应商需限期整改，&lt;80分为不合格，如一年内有两个季度整改或考核不合格，采购人有权终止合同。（考核表如下）</w:t>
      </w:r>
    </w:p>
    <w:tbl>
      <w:tblPr>
        <w:tblW w:w="8364" w:type="dxa"/>
        <w:tblInd w:w="-147" w:type="dxa"/>
        <w:tblLayout w:type="fixed"/>
        <w:tblLook w:val="04A0" w:firstRow="1" w:lastRow="0" w:firstColumn="1" w:lastColumn="0" w:noHBand="0" w:noVBand="1"/>
      </w:tblPr>
      <w:tblGrid>
        <w:gridCol w:w="1747"/>
        <w:gridCol w:w="1230"/>
        <w:gridCol w:w="4640"/>
        <w:gridCol w:w="747"/>
      </w:tblGrid>
      <w:tr w:rsidR="00254774" w:rsidTr="00FE4E92">
        <w:trPr>
          <w:trHeight w:val="462"/>
        </w:trPr>
        <w:tc>
          <w:tcPr>
            <w:tcW w:w="1747" w:type="dxa"/>
            <w:tcBorders>
              <w:top w:val="single" w:sz="4" w:space="0" w:color="auto"/>
              <w:left w:val="single" w:sz="4" w:space="0" w:color="auto"/>
              <w:bottom w:val="single" w:sz="4" w:space="0" w:color="auto"/>
              <w:right w:val="nil"/>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考核项目</w:t>
            </w:r>
          </w:p>
        </w:tc>
        <w:tc>
          <w:tcPr>
            <w:tcW w:w="1230" w:type="dxa"/>
            <w:tcBorders>
              <w:top w:val="single" w:sz="4" w:space="0" w:color="auto"/>
              <w:left w:val="single" w:sz="4" w:space="0" w:color="auto"/>
              <w:bottom w:val="single" w:sz="4" w:space="0" w:color="auto"/>
              <w:right w:val="single" w:sz="4" w:space="0" w:color="000000"/>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考核标准</w:t>
            </w:r>
          </w:p>
        </w:tc>
        <w:tc>
          <w:tcPr>
            <w:tcW w:w="4640" w:type="dxa"/>
            <w:tcBorders>
              <w:top w:val="single" w:sz="4" w:space="0" w:color="auto"/>
              <w:left w:val="nil"/>
              <w:bottom w:val="single" w:sz="4" w:space="0" w:color="auto"/>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考核内容</w:t>
            </w:r>
          </w:p>
        </w:tc>
        <w:tc>
          <w:tcPr>
            <w:tcW w:w="747" w:type="dxa"/>
            <w:tcBorders>
              <w:top w:val="single" w:sz="4" w:space="0" w:color="auto"/>
              <w:left w:val="nil"/>
              <w:bottom w:val="single" w:sz="4" w:space="0" w:color="auto"/>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得分</w:t>
            </w:r>
          </w:p>
        </w:tc>
      </w:tr>
      <w:tr w:rsidR="00254774" w:rsidTr="00FE4E92">
        <w:trPr>
          <w:trHeight w:val="739"/>
        </w:trPr>
        <w:tc>
          <w:tcPr>
            <w:tcW w:w="1747" w:type="dxa"/>
            <w:vMerge w:val="restart"/>
            <w:tcBorders>
              <w:top w:val="nil"/>
              <w:left w:val="single" w:sz="4" w:space="0" w:color="auto"/>
              <w:bottom w:val="nil"/>
              <w:right w:val="nil"/>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基 础 项 目(10分）</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774" w:rsidRDefault="00254774" w:rsidP="00FE4E92">
            <w:pPr>
              <w:widowControl/>
              <w:jc w:val="center"/>
              <w:rPr>
                <w:rFonts w:ascii="仿宋" w:eastAsia="仿宋" w:hAnsi="仿宋" w:cs="宋体"/>
                <w:kern w:val="0"/>
                <w:sz w:val="24"/>
              </w:rPr>
            </w:pPr>
            <w:r>
              <w:rPr>
                <w:rFonts w:ascii="仿宋" w:eastAsia="仿宋" w:hAnsi="仿宋" w:cs="宋体" w:hint="eastAsia"/>
                <w:kern w:val="0"/>
                <w:sz w:val="24"/>
              </w:rPr>
              <w:t>安全管理制度、法律法规</w:t>
            </w: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按照医院管理部门要求进行维修保养服务（5分）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642"/>
        </w:trPr>
        <w:tc>
          <w:tcPr>
            <w:tcW w:w="1747" w:type="dxa"/>
            <w:vMerge/>
            <w:tcBorders>
              <w:top w:val="nil"/>
              <w:left w:val="single" w:sz="4" w:space="0" w:color="auto"/>
              <w:bottom w:val="nil"/>
              <w:right w:val="nil"/>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设置专业技术人员负责本项目维保服务工作（5分）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480"/>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lastRenderedPageBreak/>
              <w:t>工 作 内 容  （55分）</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4774" w:rsidRDefault="00254774" w:rsidP="00FE4E92">
            <w:pPr>
              <w:widowControl/>
              <w:jc w:val="center"/>
              <w:rPr>
                <w:rFonts w:ascii="仿宋" w:eastAsia="仿宋" w:hAnsi="仿宋" w:cs="宋体"/>
                <w:kern w:val="0"/>
                <w:sz w:val="24"/>
              </w:rPr>
            </w:pPr>
            <w:r>
              <w:rPr>
                <w:rFonts w:ascii="仿宋" w:eastAsia="仿宋" w:hAnsi="仿宋" w:cs="宋体" w:hint="eastAsia"/>
                <w:kern w:val="0"/>
                <w:sz w:val="24"/>
              </w:rPr>
              <w:t>认真、仔细完成各项工内容、履行双方协议</w:t>
            </w: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专业工程师现场进行技术培训（5分）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480"/>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记录设备使用状态（5分）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540"/>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建立设备突发情况应急方案（5分）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780"/>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提供常规保养和不定期巡检，并提供详细的记录报告（10分）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739"/>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提供无限次维修并详细记录（10分）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799"/>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定期更换相应耗材，如滤网、碳刷、润滑脂等（6分）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1182"/>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定期对设备数据进行备份，确保系统按照制造商产品规格运行的标准来维修（4分）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1302"/>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定期进行设备清洁、必要的机械或电气的检查、性能测试及校准（提供质控检查报告）以及非紧急性质的补救性维修（10分）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1440"/>
        </w:trPr>
        <w:tc>
          <w:tcPr>
            <w:tcW w:w="1747" w:type="dxa"/>
            <w:vMerge w:val="restart"/>
            <w:tcBorders>
              <w:top w:val="nil"/>
              <w:left w:val="single" w:sz="4" w:space="0" w:color="auto"/>
              <w:bottom w:val="nil"/>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工 作 效 率  （20分）</w:t>
            </w:r>
          </w:p>
        </w:tc>
        <w:tc>
          <w:tcPr>
            <w:tcW w:w="1230" w:type="dxa"/>
            <w:vMerge w:val="restart"/>
            <w:tcBorders>
              <w:top w:val="single" w:sz="4" w:space="0" w:color="auto"/>
              <w:left w:val="single" w:sz="4" w:space="0" w:color="auto"/>
              <w:bottom w:val="nil"/>
              <w:right w:val="single" w:sz="4" w:space="0" w:color="000000"/>
            </w:tcBorders>
            <w:shd w:val="clear" w:color="auto" w:fill="auto"/>
            <w:vAlign w:val="center"/>
          </w:tcPr>
          <w:p w:rsidR="00254774" w:rsidRDefault="00254774" w:rsidP="00FE4E92">
            <w:pPr>
              <w:widowControl/>
              <w:jc w:val="center"/>
              <w:rPr>
                <w:rFonts w:ascii="仿宋" w:eastAsia="仿宋" w:hAnsi="仿宋" w:cs="宋体"/>
                <w:kern w:val="0"/>
                <w:sz w:val="24"/>
              </w:rPr>
            </w:pPr>
            <w:r>
              <w:rPr>
                <w:rFonts w:ascii="仿宋" w:eastAsia="仿宋" w:hAnsi="仿宋" w:cs="宋体" w:hint="eastAsia"/>
                <w:kern w:val="0"/>
                <w:sz w:val="24"/>
              </w:rPr>
              <w:t>及时、高效</w:t>
            </w: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响应时间：接到报修电话，电话实时响应，可远程处理故障立即远程处理；远程处理不可解决的故障，由使用科室通知工程师立即到现场处理的，4小时内工程师到达现场。提供24小时×365天在线技术服务支持。（10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979"/>
        </w:trPr>
        <w:tc>
          <w:tcPr>
            <w:tcW w:w="1747" w:type="dxa"/>
            <w:vMerge/>
            <w:tcBorders>
              <w:top w:val="nil"/>
              <w:left w:val="single" w:sz="4" w:space="0" w:color="auto"/>
              <w:bottom w:val="nil"/>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nil"/>
              <w:right w:val="single" w:sz="4" w:space="0" w:color="000000"/>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维修不涉及零配件更换，工程师到场后在24小时内修复完毕；涉及到零配件更换，在72小时内修复完毕，不可抗力因素除外。（10分）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462"/>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工 作 质 量  （10分）</w:t>
            </w:r>
          </w:p>
        </w:tc>
        <w:tc>
          <w:tcPr>
            <w:tcW w:w="12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54774" w:rsidRDefault="00254774" w:rsidP="00FE4E92">
            <w:pPr>
              <w:widowControl/>
              <w:jc w:val="center"/>
              <w:rPr>
                <w:rFonts w:ascii="仿宋" w:eastAsia="仿宋" w:hAnsi="仿宋" w:cs="宋体"/>
                <w:kern w:val="0"/>
                <w:sz w:val="24"/>
              </w:rPr>
            </w:pPr>
            <w:r>
              <w:rPr>
                <w:rFonts w:ascii="仿宋" w:eastAsia="仿宋" w:hAnsi="仿宋" w:cs="宋体" w:hint="eastAsia"/>
                <w:kern w:val="0"/>
                <w:sz w:val="24"/>
              </w:rPr>
              <w:t>合格、达标</w:t>
            </w:r>
          </w:p>
        </w:tc>
        <w:tc>
          <w:tcPr>
            <w:tcW w:w="4640" w:type="dxa"/>
            <w:tcBorders>
              <w:top w:val="nil"/>
              <w:left w:val="nil"/>
              <w:bottom w:val="nil"/>
              <w:right w:val="nil"/>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保障设备原有功能正常（5分）</w:t>
            </w:r>
          </w:p>
        </w:tc>
        <w:tc>
          <w:tcPr>
            <w:tcW w:w="747" w:type="dxa"/>
            <w:tcBorders>
              <w:top w:val="nil"/>
              <w:left w:val="single" w:sz="4" w:space="0" w:color="auto"/>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462"/>
        </w:trPr>
        <w:tc>
          <w:tcPr>
            <w:tcW w:w="1747" w:type="dxa"/>
            <w:vMerge/>
            <w:tcBorders>
              <w:top w:val="single" w:sz="4" w:space="0" w:color="auto"/>
              <w:left w:val="single" w:sz="4" w:space="0" w:color="auto"/>
              <w:bottom w:val="single" w:sz="4" w:space="0" w:color="000000"/>
              <w:right w:val="single" w:sz="4" w:space="0" w:color="auto"/>
            </w:tcBorders>
            <w:vAlign w:val="center"/>
          </w:tcPr>
          <w:p w:rsidR="00254774" w:rsidRDefault="00254774" w:rsidP="00FE4E92">
            <w:pPr>
              <w:widowControl/>
              <w:jc w:val="left"/>
              <w:rPr>
                <w:rFonts w:ascii="仿宋" w:eastAsia="仿宋" w:hAnsi="仿宋" w:cs="宋体"/>
                <w:b/>
                <w:bCs/>
                <w:kern w:val="0"/>
                <w:sz w:val="24"/>
              </w:rPr>
            </w:pPr>
          </w:p>
        </w:tc>
        <w:tc>
          <w:tcPr>
            <w:tcW w:w="1230" w:type="dxa"/>
            <w:vMerge/>
            <w:tcBorders>
              <w:top w:val="single" w:sz="4" w:space="0" w:color="auto"/>
              <w:left w:val="single" w:sz="4" w:space="0" w:color="auto"/>
              <w:bottom w:val="single" w:sz="4" w:space="0" w:color="000000"/>
              <w:right w:val="single" w:sz="4" w:space="0" w:color="000000"/>
            </w:tcBorders>
            <w:vAlign w:val="center"/>
          </w:tcPr>
          <w:p w:rsidR="00254774" w:rsidRDefault="00254774" w:rsidP="00FE4E92">
            <w:pPr>
              <w:widowControl/>
              <w:jc w:val="left"/>
              <w:rPr>
                <w:rFonts w:ascii="仿宋" w:eastAsia="仿宋" w:hAnsi="仿宋" w:cs="宋体"/>
                <w:kern w:val="0"/>
                <w:sz w:val="24"/>
              </w:rPr>
            </w:pPr>
          </w:p>
        </w:tc>
        <w:tc>
          <w:tcPr>
            <w:tcW w:w="4640" w:type="dxa"/>
            <w:tcBorders>
              <w:top w:val="single" w:sz="4" w:space="0" w:color="auto"/>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保障开机率≥98%（5分）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540"/>
        </w:trPr>
        <w:tc>
          <w:tcPr>
            <w:tcW w:w="1747" w:type="dxa"/>
            <w:tcBorders>
              <w:top w:val="nil"/>
              <w:left w:val="single" w:sz="4" w:space="0" w:color="auto"/>
              <w:bottom w:val="single" w:sz="4" w:space="0" w:color="auto"/>
              <w:right w:val="single" w:sz="4" w:space="0" w:color="auto"/>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其  他    （5分）</w:t>
            </w:r>
          </w:p>
        </w:tc>
        <w:tc>
          <w:tcPr>
            <w:tcW w:w="1230" w:type="dxa"/>
            <w:tcBorders>
              <w:top w:val="single" w:sz="4" w:space="0" w:color="auto"/>
              <w:left w:val="nil"/>
              <w:bottom w:val="single" w:sz="4" w:space="0" w:color="auto"/>
              <w:right w:val="single" w:sz="4" w:space="0" w:color="000000"/>
            </w:tcBorders>
            <w:shd w:val="clear" w:color="auto" w:fill="auto"/>
            <w:vAlign w:val="center"/>
          </w:tcPr>
          <w:p w:rsidR="00254774" w:rsidRDefault="00254774" w:rsidP="00FE4E92">
            <w:pPr>
              <w:widowControl/>
              <w:jc w:val="center"/>
              <w:rPr>
                <w:rFonts w:ascii="仿宋" w:eastAsia="仿宋" w:hAnsi="仿宋" w:cs="宋体"/>
                <w:kern w:val="0"/>
                <w:sz w:val="24"/>
              </w:rPr>
            </w:pPr>
            <w:r>
              <w:rPr>
                <w:rFonts w:ascii="仿宋" w:eastAsia="仿宋" w:hAnsi="仿宋" w:cs="宋体" w:hint="eastAsia"/>
                <w:kern w:val="0"/>
                <w:sz w:val="24"/>
              </w:rPr>
              <w:t>配合、协调能力</w:t>
            </w:r>
          </w:p>
        </w:tc>
        <w:tc>
          <w:tcPr>
            <w:tcW w:w="4640" w:type="dxa"/>
            <w:tcBorders>
              <w:top w:val="nil"/>
              <w:left w:val="nil"/>
              <w:bottom w:val="single" w:sz="4" w:space="0" w:color="auto"/>
              <w:right w:val="single" w:sz="4" w:space="0" w:color="auto"/>
            </w:tcBorders>
            <w:shd w:val="clear" w:color="auto" w:fill="auto"/>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配合医院相关管理（5分）</w:t>
            </w:r>
          </w:p>
        </w:tc>
        <w:tc>
          <w:tcPr>
            <w:tcW w:w="747" w:type="dxa"/>
            <w:tcBorders>
              <w:top w:val="nil"/>
              <w:left w:val="nil"/>
              <w:bottom w:val="single" w:sz="4" w:space="0" w:color="auto"/>
              <w:right w:val="single" w:sz="4" w:space="0" w:color="auto"/>
            </w:tcBorders>
            <w:shd w:val="clear" w:color="auto" w:fill="auto"/>
            <w:noWrap/>
            <w:vAlign w:val="center"/>
          </w:tcPr>
          <w:p w:rsidR="00254774" w:rsidRDefault="00254774" w:rsidP="00FE4E92">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r w:rsidR="00254774" w:rsidTr="00FE4E92">
        <w:trPr>
          <w:trHeight w:val="540"/>
        </w:trPr>
        <w:tc>
          <w:tcPr>
            <w:tcW w:w="1747" w:type="dxa"/>
            <w:tcBorders>
              <w:top w:val="nil"/>
              <w:left w:val="single" w:sz="4" w:space="0" w:color="auto"/>
              <w:bottom w:val="single" w:sz="4" w:space="0" w:color="auto"/>
              <w:right w:val="nil"/>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合计得分</w:t>
            </w:r>
          </w:p>
        </w:tc>
        <w:tc>
          <w:tcPr>
            <w:tcW w:w="66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54774" w:rsidRDefault="00254774" w:rsidP="00FE4E92">
            <w:pPr>
              <w:widowControl/>
              <w:jc w:val="center"/>
              <w:rPr>
                <w:rFonts w:ascii="仿宋" w:eastAsia="仿宋" w:hAnsi="仿宋" w:cs="宋体"/>
                <w:b/>
                <w:bCs/>
                <w:kern w:val="0"/>
                <w:sz w:val="24"/>
              </w:rPr>
            </w:pPr>
            <w:r>
              <w:rPr>
                <w:rFonts w:ascii="仿宋" w:eastAsia="仿宋" w:hAnsi="仿宋" w:cs="宋体" w:hint="eastAsia"/>
                <w:b/>
                <w:bCs/>
                <w:kern w:val="0"/>
                <w:sz w:val="24"/>
              </w:rPr>
              <w:t xml:space="preserve">　</w:t>
            </w:r>
          </w:p>
        </w:tc>
      </w:tr>
      <w:tr w:rsidR="00254774" w:rsidTr="00FE4E92">
        <w:trPr>
          <w:trHeight w:val="559"/>
        </w:trPr>
        <w:tc>
          <w:tcPr>
            <w:tcW w:w="2977" w:type="dxa"/>
            <w:gridSpan w:val="2"/>
            <w:tcBorders>
              <w:top w:val="single" w:sz="4" w:space="0" w:color="auto"/>
              <w:left w:val="single" w:sz="4" w:space="0" w:color="auto"/>
              <w:bottom w:val="single" w:sz="4" w:space="0" w:color="auto"/>
              <w:right w:val="nil"/>
            </w:tcBorders>
            <w:shd w:val="clear" w:color="auto" w:fill="auto"/>
            <w:vAlign w:val="center"/>
          </w:tcPr>
          <w:p w:rsidR="00254774" w:rsidRDefault="00254774" w:rsidP="00FE4E92">
            <w:pPr>
              <w:widowControl/>
              <w:jc w:val="left"/>
              <w:rPr>
                <w:rFonts w:ascii="仿宋" w:eastAsia="仿宋" w:hAnsi="仿宋" w:cs="宋体"/>
                <w:b/>
                <w:bCs/>
                <w:kern w:val="0"/>
                <w:sz w:val="24"/>
              </w:rPr>
            </w:pPr>
            <w:r>
              <w:rPr>
                <w:rFonts w:ascii="仿宋" w:eastAsia="仿宋" w:hAnsi="仿宋" w:cs="宋体" w:hint="eastAsia"/>
                <w:b/>
                <w:bCs/>
                <w:kern w:val="0"/>
                <w:sz w:val="24"/>
              </w:rPr>
              <w:t>考核人：</w:t>
            </w:r>
          </w:p>
        </w:tc>
        <w:tc>
          <w:tcPr>
            <w:tcW w:w="5387" w:type="dxa"/>
            <w:gridSpan w:val="2"/>
            <w:tcBorders>
              <w:top w:val="single" w:sz="4" w:space="0" w:color="auto"/>
              <w:left w:val="nil"/>
              <w:bottom w:val="single" w:sz="4" w:space="0" w:color="auto"/>
              <w:right w:val="single" w:sz="4" w:space="0" w:color="000000"/>
            </w:tcBorders>
            <w:shd w:val="clear" w:color="auto" w:fill="auto"/>
            <w:vAlign w:val="center"/>
          </w:tcPr>
          <w:p w:rsidR="00254774" w:rsidRDefault="00254774" w:rsidP="00FE4E92">
            <w:pPr>
              <w:widowControl/>
              <w:jc w:val="left"/>
              <w:rPr>
                <w:rFonts w:ascii="仿宋" w:eastAsia="仿宋" w:hAnsi="仿宋" w:cs="宋体"/>
                <w:b/>
                <w:bCs/>
                <w:kern w:val="0"/>
                <w:sz w:val="24"/>
              </w:rPr>
            </w:pPr>
            <w:r>
              <w:rPr>
                <w:rFonts w:ascii="仿宋" w:eastAsia="仿宋" w:hAnsi="仿宋" w:cs="宋体" w:hint="eastAsia"/>
                <w:b/>
                <w:bCs/>
                <w:kern w:val="0"/>
                <w:sz w:val="24"/>
              </w:rPr>
              <w:t>考核日期：</w:t>
            </w:r>
          </w:p>
        </w:tc>
      </w:tr>
      <w:tr w:rsidR="00254774" w:rsidTr="00FE4E92">
        <w:trPr>
          <w:trHeight w:val="522"/>
        </w:trPr>
        <w:tc>
          <w:tcPr>
            <w:tcW w:w="8364" w:type="dxa"/>
            <w:gridSpan w:val="4"/>
            <w:tcBorders>
              <w:top w:val="nil"/>
              <w:left w:val="single" w:sz="4" w:space="0" w:color="auto"/>
              <w:bottom w:val="single" w:sz="4" w:space="0" w:color="auto"/>
              <w:right w:val="single" w:sz="4" w:space="0" w:color="000000"/>
            </w:tcBorders>
            <w:shd w:val="clear" w:color="auto" w:fill="auto"/>
            <w:vAlign w:val="center"/>
          </w:tcPr>
          <w:p w:rsidR="00254774" w:rsidRDefault="00254774" w:rsidP="00FE4E92">
            <w:pPr>
              <w:widowControl/>
              <w:jc w:val="left"/>
              <w:rPr>
                <w:rFonts w:ascii="仿宋" w:eastAsia="仿宋" w:hAnsi="仿宋" w:cs="宋体"/>
                <w:b/>
                <w:bCs/>
                <w:kern w:val="0"/>
                <w:sz w:val="24"/>
              </w:rPr>
            </w:pPr>
            <w:r>
              <w:rPr>
                <w:rFonts w:ascii="仿宋" w:eastAsia="仿宋" w:hAnsi="仿宋" w:cs="宋体" w:hint="eastAsia"/>
                <w:b/>
                <w:bCs/>
                <w:kern w:val="0"/>
                <w:sz w:val="24"/>
              </w:rPr>
              <w:t>主管部门负责人签字：</w:t>
            </w:r>
          </w:p>
        </w:tc>
      </w:tr>
    </w:tbl>
    <w:p w:rsidR="00254774" w:rsidRDefault="00254774" w:rsidP="00254774">
      <w:pPr>
        <w:spacing w:line="360" w:lineRule="auto"/>
        <w:jc w:val="left"/>
        <w:rPr>
          <w:rFonts w:ascii="仿宋" w:eastAsia="仿宋" w:hAnsi="仿宋" w:cs="宋体"/>
          <w:sz w:val="24"/>
          <w:szCs w:val="22"/>
        </w:rPr>
      </w:pPr>
      <w:r>
        <w:rPr>
          <w:rFonts w:ascii="仿宋" w:eastAsia="仿宋" w:hAnsi="仿宋" w:cs="宋体"/>
          <w:sz w:val="24"/>
          <w:szCs w:val="22"/>
        </w:rPr>
        <w:lastRenderedPageBreak/>
        <w:t>3</w:t>
      </w:r>
      <w:r>
        <w:rPr>
          <w:rFonts w:ascii="仿宋" w:eastAsia="仿宋" w:hAnsi="仿宋" w:cs="宋体" w:hint="eastAsia"/>
          <w:sz w:val="24"/>
          <w:szCs w:val="22"/>
        </w:rPr>
        <w:t>、支付方式：按季度支付，每季度支付合同总金额的25%。每季度维保服务完成并考核合格后，达到付款条件起30日内，支付本季度维保费用</w:t>
      </w:r>
    </w:p>
    <w:p w:rsidR="00254774" w:rsidRDefault="00254774" w:rsidP="00254774">
      <w:pPr>
        <w:spacing w:line="360" w:lineRule="auto"/>
        <w:jc w:val="left"/>
        <w:rPr>
          <w:rFonts w:ascii="仿宋" w:eastAsia="仿宋" w:hAnsi="仿宋" w:cs="宋体"/>
          <w:sz w:val="24"/>
          <w:szCs w:val="22"/>
        </w:rPr>
      </w:pPr>
      <w:r>
        <w:rPr>
          <w:rFonts w:ascii="仿宋" w:eastAsia="仿宋" w:hAnsi="仿宋" w:cs="宋体" w:hint="eastAsia"/>
          <w:sz w:val="24"/>
          <w:szCs w:val="22"/>
        </w:rPr>
        <w:t>4、1-1，1-2CT球管现均出现故障，现租赁第三方维修公司球管使用。需成交人成交后在30日内对球管进行更换。</w:t>
      </w:r>
    </w:p>
    <w:p w:rsidR="00254774" w:rsidRDefault="00254774" w:rsidP="00254774">
      <w:pPr>
        <w:keepNext/>
        <w:keepLines/>
        <w:spacing w:before="260" w:after="260" w:line="400" w:lineRule="exact"/>
        <w:outlineLvl w:val="1"/>
        <w:rPr>
          <w:rFonts w:ascii="仿宋" w:eastAsia="仿宋" w:hAnsi="仿宋"/>
          <w:b/>
          <w:bCs/>
          <w:sz w:val="24"/>
        </w:rPr>
      </w:pPr>
      <w:r>
        <w:rPr>
          <w:rFonts w:ascii="仿宋" w:eastAsia="仿宋" w:hAnsi="仿宋" w:hint="eastAsia"/>
          <w:b/>
          <w:bCs/>
          <w:sz w:val="24"/>
        </w:rPr>
        <w:t>四.</w:t>
      </w:r>
      <w:r>
        <w:rPr>
          <w:rFonts w:ascii="仿宋" w:eastAsia="仿宋" w:hAnsi="仿宋"/>
          <w:b/>
          <w:bCs/>
          <w:sz w:val="24"/>
        </w:rPr>
        <w:t xml:space="preserve"> </w:t>
      </w:r>
      <w:r>
        <w:rPr>
          <w:rFonts w:ascii="仿宋" w:eastAsia="仿宋" w:hAnsi="仿宋" w:hint="eastAsia"/>
          <w:b/>
          <w:bCs/>
          <w:sz w:val="24"/>
        </w:rPr>
        <w:t>技术、服务要求</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（1）维保机型：1台GE OPTIMA660 64排CT、2台东软16排CT(16PT)。</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★（2）维保内容及范围：整机保修，含设备电气设施（含球管、探测器、高压发生器、稳压器、AW工作站等）所有硬件、软件。不包括第三方外围设备。</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（3）维保服务质量要求</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① 接到报修电话，电话实时响应，可远程处理故障立即远程处理；远程处理不可解决的故障，由使用科室通知工程师立即到现场处理的，4小时内工程师到达现场。提供24小时×365天在线技术服务支持。</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 xml:space="preserve">② 制定安全检查计划：含机械安全检查，电气安全检查，记录检查结果。制定设备性能检查计划：含图象质量（效果）检查，评判参数结果，调整/校准至出厂标准，记录系统质量报告。 </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 xml:space="preserve">③ 专业预防性保养：每年四次，按照原厂保养要求进行保养, 以保证设备处于最佳运行状态，需包括：记录并安排保养时间，根据保养计划更换损耗部件，检测调整/校准至出厂标准，确认各项技术指标及性能，记录设备状况等。 </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④ 开机率保证：保证每台设备1年开机率达到98%以上，按1年365天计算，每年每台设备停机时间不超过8天，超过1天延长7天保修。一年内如出现连续5天以上设备故障导致科室认为图像质量影响诊断的情况，第一次发生扣除当季维保服务费5%，出现第二次医院有权解除合同。</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⑤ 更换的备件为同一设备型号一致的原厂备件，安装完毕后达到设备运行标准与使用标准。</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（4）维修时效：维修不涉及零配件更换，工程师到场后在24小时内修复完毕；涉及到零配件更换，在72小时内修复完毕，不可抗力因素除外。</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（5）维修保养记录单：工程师完成设备维修或保养之后，必须提供维修保养记录单，并由使用科室对设备运行状况进行验收在维修保养记录单上签字确认后，工程师方能离开医院。</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（6）此项目在维保期内产生的所有费用均由成交人承担。保证CT机通过国家质检部门每年的状态检测验收。</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（7）供应商安排工程师提供放射科操作人员的培训，内容包括设备日常保养以</w:t>
      </w:r>
      <w:r>
        <w:rPr>
          <w:rFonts w:ascii="仿宋" w:eastAsia="仿宋" w:hAnsi="仿宋" w:hint="eastAsia"/>
          <w:sz w:val="24"/>
        </w:rPr>
        <w:lastRenderedPageBreak/>
        <w:t>及简单故障排除。</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（8）▲供应商应具有医疗设备维修安装能力，并提供CT维修培训专业机构（包括厂家或第三方CT维修专业培训机构）的培训合格证书，培训时长≥7天。</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（9）▲供应商在国内设有专门的零备件仓库，为保证零备件供应及时，供应商需要提供自有产权证明复印件或库房租赁合同复印件。</w:t>
      </w:r>
    </w:p>
    <w:p w:rsidR="00254774" w:rsidRDefault="00254774" w:rsidP="00254774">
      <w:pPr>
        <w:pStyle w:val="a5"/>
        <w:spacing w:line="400" w:lineRule="exact"/>
        <w:ind w:firstLineChars="0" w:firstLine="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）▲供应商具有</w:t>
      </w:r>
      <w:r>
        <w:rPr>
          <w:rFonts w:ascii="仿宋" w:eastAsia="仿宋" w:hAnsi="仿宋" w:cs="宋体" w:hint="eastAsia"/>
          <w:kern w:val="0"/>
          <w:sz w:val="24"/>
        </w:rPr>
        <w:t>≥3名</w:t>
      </w:r>
      <w:r>
        <w:rPr>
          <w:rFonts w:ascii="仿宋" w:eastAsia="仿宋" w:hAnsi="仿宋" w:hint="eastAsia"/>
          <w:sz w:val="24"/>
        </w:rPr>
        <w:t>具有由国家认可的国内相关部门颁发证书的与本项目相关的工程师，并提供该证书复印件加盖公章.</w:t>
      </w:r>
    </w:p>
    <w:p w:rsidR="00DF1FE2" w:rsidRDefault="00254774" w:rsidP="00254774">
      <w:r>
        <w:rPr>
          <w:rFonts w:ascii="仿宋" w:eastAsia="仿宋" w:hAnsi="仿宋"/>
          <w:sz w:val="24"/>
        </w:rPr>
        <w:br w:type="page"/>
      </w:r>
      <w:bookmarkStart w:id="1" w:name="_GoBack"/>
      <w:bookmarkEnd w:id="1"/>
    </w:p>
    <w:sectPr w:rsidR="00DF1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74" w:rsidRDefault="00254774" w:rsidP="00254774">
      <w:r>
        <w:separator/>
      </w:r>
    </w:p>
  </w:endnote>
  <w:endnote w:type="continuationSeparator" w:id="0">
    <w:p w:rsidR="00254774" w:rsidRDefault="00254774" w:rsidP="0025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74" w:rsidRDefault="00254774" w:rsidP="00254774">
      <w:r>
        <w:separator/>
      </w:r>
    </w:p>
  </w:footnote>
  <w:footnote w:type="continuationSeparator" w:id="0">
    <w:p w:rsidR="00254774" w:rsidRDefault="00254774" w:rsidP="00254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A1"/>
    <w:rsid w:val="001F1C25"/>
    <w:rsid w:val="00254774"/>
    <w:rsid w:val="004E21A1"/>
    <w:rsid w:val="00C0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CD0D38-B4C3-4B0D-86EA-6F6C5A45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774"/>
    <w:pPr>
      <w:widowControl w:val="0"/>
      <w:jc w:val="both"/>
    </w:pPr>
    <w:rPr>
      <w:rFonts w:ascii="Times New Roman" w:eastAsia="宋体" w:hAnsi="Times New Roman" w:cs="Times New Roman"/>
      <w:szCs w:val="24"/>
    </w:rPr>
  </w:style>
  <w:style w:type="paragraph" w:styleId="2">
    <w:name w:val="heading 2"/>
    <w:basedOn w:val="a"/>
    <w:next w:val="a"/>
    <w:link w:val="2Char"/>
    <w:qFormat/>
    <w:rsid w:val="0025477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7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4774"/>
    <w:rPr>
      <w:sz w:val="18"/>
      <w:szCs w:val="18"/>
    </w:rPr>
  </w:style>
  <w:style w:type="paragraph" w:styleId="a4">
    <w:name w:val="footer"/>
    <w:basedOn w:val="a"/>
    <w:link w:val="Char0"/>
    <w:uiPriority w:val="99"/>
    <w:unhideWhenUsed/>
    <w:rsid w:val="002547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4774"/>
    <w:rPr>
      <w:sz w:val="18"/>
      <w:szCs w:val="18"/>
    </w:rPr>
  </w:style>
  <w:style w:type="character" w:customStyle="1" w:styleId="2Char">
    <w:name w:val="标题 2 Char"/>
    <w:basedOn w:val="a0"/>
    <w:link w:val="2"/>
    <w:qFormat/>
    <w:rsid w:val="00254774"/>
    <w:rPr>
      <w:rFonts w:ascii="Arial" w:eastAsia="黑体" w:hAnsi="Arial" w:cs="Times New Roman"/>
      <w:b/>
      <w:bCs/>
      <w:sz w:val="32"/>
      <w:szCs w:val="32"/>
    </w:rPr>
  </w:style>
  <w:style w:type="paragraph" w:styleId="a5">
    <w:name w:val="Normal Indent"/>
    <w:basedOn w:val="a"/>
    <w:link w:val="Char1"/>
    <w:qFormat/>
    <w:rsid w:val="00254774"/>
    <w:pPr>
      <w:ind w:firstLineChars="200" w:firstLine="420"/>
    </w:pPr>
  </w:style>
  <w:style w:type="table" w:styleId="a6">
    <w:name w:val="Table Grid"/>
    <w:basedOn w:val="a1"/>
    <w:qFormat/>
    <w:rsid w:val="002547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qFormat/>
    <w:rsid w:val="0025477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1941</Characters>
  <Application>Microsoft Office Word</Application>
  <DocSecurity>0</DocSecurity>
  <Lines>16</Lines>
  <Paragraphs>4</Paragraphs>
  <ScaleCrop>false</ScaleCrop>
  <Company>微软中国</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2023-02-28T07:08:00Z</dcterms:created>
  <dcterms:modified xsi:type="dcterms:W3CDTF">2023-02-28T07:09:00Z</dcterms:modified>
</cp:coreProperties>
</file>