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0"/>
          <w:szCs w:val="30"/>
        </w:rPr>
      </w:pPr>
      <w:r>
        <w:rPr>
          <w:rFonts w:hint="eastAsia" w:ascii="华文中宋" w:hAnsi="华文中宋" w:eastAsia="华文中宋"/>
          <w:b/>
          <w:sz w:val="30"/>
          <w:szCs w:val="30"/>
        </w:rPr>
        <w:t>招标编号：</w:t>
      </w:r>
      <w:bookmarkStart w:id="0" w:name="PO_项目编号_1"/>
      <w:bookmarkEnd w:id="0"/>
    </w:p>
    <w:p>
      <w:pPr>
        <w:rPr>
          <w:rFonts w:ascii="华文中宋" w:hAnsi="华文中宋" w:eastAsia="华文中宋"/>
          <w:b/>
          <w:sz w:val="52"/>
          <w:szCs w:val="52"/>
        </w:rPr>
      </w:pPr>
    </w:p>
    <w:p>
      <w:pPr>
        <w:jc w:val="center"/>
        <w:rPr>
          <w:rFonts w:ascii="华文中宋" w:hAnsi="华文中宋" w:eastAsia="华文中宋"/>
          <w:b/>
          <w:sz w:val="48"/>
          <w:szCs w:val="48"/>
        </w:rPr>
      </w:pPr>
      <w:r>
        <w:rPr>
          <w:rFonts w:hint="eastAsia" w:ascii="华文中宋" w:hAnsi="华文中宋" w:eastAsia="华文中宋"/>
          <w:b/>
          <w:bCs/>
          <w:sz w:val="48"/>
          <w:szCs w:val="48"/>
        </w:rPr>
        <w:t>金堂县第一人民医院日用百货配送服务采购项目</w:t>
      </w:r>
    </w:p>
    <w:p>
      <w:pPr>
        <w:rPr>
          <w:rFonts w:ascii="华文中宋" w:hAnsi="华文中宋" w:eastAsia="华文中宋"/>
          <w:b/>
          <w:sz w:val="52"/>
          <w:szCs w:val="52"/>
        </w:rPr>
      </w:pPr>
    </w:p>
    <w:p>
      <w:pPr>
        <w:tabs>
          <w:tab w:val="left" w:pos="2505"/>
          <w:tab w:val="center" w:pos="4204"/>
        </w:tabs>
        <w:jc w:val="center"/>
        <w:rPr>
          <w:rFonts w:ascii="华文中宋" w:hAnsi="华文中宋" w:eastAsia="华文中宋"/>
          <w:b/>
          <w:sz w:val="52"/>
          <w:szCs w:val="52"/>
        </w:rPr>
      </w:pPr>
      <w:r>
        <w:rPr>
          <w:rFonts w:hint="eastAsia" w:ascii="华文中宋" w:hAnsi="华文中宋" w:eastAsia="华文中宋"/>
          <w:b/>
          <w:sz w:val="52"/>
          <w:szCs w:val="52"/>
        </w:rPr>
        <w:t>招</w:t>
      </w:r>
    </w:p>
    <w:p>
      <w:pPr>
        <w:jc w:val="center"/>
        <w:rPr>
          <w:rFonts w:ascii="华文中宋" w:hAnsi="华文中宋" w:eastAsia="华文中宋"/>
          <w:b/>
          <w:sz w:val="52"/>
          <w:szCs w:val="52"/>
        </w:rPr>
      </w:pPr>
      <w:r>
        <w:rPr>
          <w:rFonts w:hint="eastAsia" w:ascii="华文中宋" w:hAnsi="华文中宋" w:eastAsia="华文中宋"/>
          <w:b/>
          <w:sz w:val="52"/>
          <w:szCs w:val="52"/>
        </w:rPr>
        <w:t>标</w:t>
      </w:r>
    </w:p>
    <w:p>
      <w:pPr>
        <w:jc w:val="center"/>
        <w:rPr>
          <w:rFonts w:ascii="华文中宋" w:hAnsi="华文中宋" w:eastAsia="华文中宋"/>
          <w:b/>
          <w:sz w:val="52"/>
          <w:szCs w:val="52"/>
        </w:rPr>
      </w:pPr>
      <w:r>
        <w:rPr>
          <w:rFonts w:hint="eastAsia" w:ascii="华文中宋" w:hAnsi="华文中宋" w:eastAsia="华文中宋"/>
          <w:b/>
          <w:sz w:val="52"/>
          <w:szCs w:val="52"/>
        </w:rPr>
        <w:t>文</w:t>
      </w:r>
    </w:p>
    <w:p>
      <w:pPr>
        <w:jc w:val="center"/>
        <w:rPr>
          <w:rFonts w:ascii="华文中宋" w:hAnsi="华文中宋" w:eastAsia="华文中宋"/>
          <w:b/>
          <w:sz w:val="52"/>
          <w:szCs w:val="52"/>
        </w:rPr>
      </w:pPr>
      <w:r>
        <w:rPr>
          <w:rFonts w:hint="eastAsia" w:ascii="华文中宋" w:hAnsi="华文中宋" w:eastAsia="华文中宋"/>
          <w:b/>
          <w:sz w:val="52"/>
          <w:szCs w:val="52"/>
        </w:rPr>
        <w:t>件</w:t>
      </w:r>
    </w:p>
    <w:p>
      <w:pPr>
        <w:spacing w:line="360" w:lineRule="auto"/>
        <w:rPr>
          <w:rFonts w:ascii="华文中宋" w:hAnsi="华文中宋" w:eastAsia="华文中宋"/>
          <w:b/>
          <w:sz w:val="32"/>
          <w:szCs w:val="32"/>
        </w:rPr>
      </w:pPr>
    </w:p>
    <w:p>
      <w:pPr>
        <w:spacing w:line="360" w:lineRule="auto"/>
        <w:rPr>
          <w:rFonts w:ascii="华文中宋" w:hAnsi="华文中宋" w:eastAsia="华文中宋"/>
          <w:b/>
          <w:sz w:val="32"/>
          <w:szCs w:val="32"/>
        </w:rPr>
      </w:pPr>
    </w:p>
    <w:p>
      <w:pPr>
        <w:spacing w:line="360" w:lineRule="auto"/>
        <w:rPr>
          <w:rFonts w:ascii="华文中宋" w:hAnsi="华文中宋" w:eastAsia="华文中宋"/>
          <w:b/>
          <w:sz w:val="32"/>
          <w:szCs w:val="32"/>
        </w:rPr>
      </w:pPr>
    </w:p>
    <w:p>
      <w:pPr>
        <w:spacing w:line="240" w:lineRule="auto"/>
        <w:jc w:val="center"/>
        <w:rPr>
          <w:rFonts w:ascii="华文中宋" w:hAnsi="华文中宋" w:eastAsia="华文中宋" w:cs="宋体"/>
          <w:b/>
          <w:sz w:val="32"/>
          <w:szCs w:val="32"/>
        </w:rPr>
      </w:pPr>
      <w:bookmarkStart w:id="1" w:name="PO_代理公司_1"/>
      <w:r>
        <w:rPr>
          <w:rFonts w:hint="eastAsia" w:ascii="华文中宋" w:hAnsi="华文中宋" w:eastAsia="华文中宋" w:cs="宋体"/>
          <w:b/>
          <w:sz w:val="32"/>
          <w:szCs w:val="32"/>
        </w:rPr>
        <w:t>金堂县第一人民医院</w:t>
      </w:r>
    </w:p>
    <w:p>
      <w:pPr>
        <w:spacing w:line="240" w:lineRule="auto"/>
        <w:jc w:val="center"/>
        <w:rPr>
          <w:rFonts w:ascii="华文中宋" w:hAnsi="华文中宋" w:eastAsia="华文中宋" w:cs="宋体"/>
          <w:b/>
          <w:sz w:val="32"/>
          <w:szCs w:val="32"/>
        </w:rPr>
      </w:pPr>
      <w:r>
        <w:rPr>
          <w:rFonts w:hint="eastAsia" w:ascii="华文中宋" w:hAnsi="华文中宋" w:eastAsia="华文中宋" w:cs="宋体"/>
          <w:b/>
          <w:sz w:val="32"/>
          <w:szCs w:val="32"/>
        </w:rPr>
        <w:t>四川国际招标有限责任公司</w:t>
      </w:r>
      <w:bookmarkEnd w:id="1"/>
    </w:p>
    <w:p>
      <w:pPr>
        <w:spacing w:line="240" w:lineRule="auto"/>
        <w:jc w:val="center"/>
        <w:rPr>
          <w:rFonts w:ascii="华文中宋" w:hAnsi="华文中宋" w:eastAsia="华文中宋" w:cs="宋体"/>
          <w:b/>
          <w:sz w:val="32"/>
          <w:szCs w:val="32"/>
        </w:rPr>
      </w:pPr>
      <w:r>
        <w:rPr>
          <w:rFonts w:hint="eastAsia" w:ascii="华文中宋" w:hAnsi="华文中宋" w:eastAsia="华文中宋" w:cs="宋体"/>
          <w:b/>
          <w:sz w:val="32"/>
          <w:szCs w:val="32"/>
        </w:rPr>
        <w:t>共同编制</w:t>
      </w:r>
    </w:p>
    <w:p>
      <w:pPr>
        <w:spacing w:line="240" w:lineRule="auto"/>
        <w:jc w:val="center"/>
        <w:rPr>
          <w:rFonts w:ascii="华文中宋" w:hAnsi="华文中宋" w:eastAsia="华文中宋"/>
          <w:sz w:val="24"/>
        </w:rPr>
        <w:sectPr>
          <w:footerReference r:id="rId5" w:type="default"/>
          <w:footerReference r:id="rId6" w:type="even"/>
          <w:pgSz w:w="11907" w:h="16840"/>
          <w:pgMar w:top="1418" w:right="1514" w:bottom="1418" w:left="1985" w:header="851" w:footer="992" w:gutter="0"/>
          <w:pgNumType w:start="1"/>
          <w:cols w:space="720" w:num="1"/>
          <w:docGrid w:linePitch="312" w:charSpace="0"/>
        </w:sectPr>
      </w:pPr>
      <w:r>
        <w:rPr>
          <w:rFonts w:hint="eastAsia" w:ascii="华文中宋" w:hAnsi="华文中宋" w:eastAsia="华文中宋" w:cs="宋体"/>
          <w:b/>
          <w:sz w:val="32"/>
          <w:szCs w:val="32"/>
          <w:lang w:val="zh-CN"/>
        </w:rPr>
        <w:t>二O二O年十一月</w:t>
      </w:r>
    </w:p>
    <w:p>
      <w:pPr>
        <w:jc w:val="center"/>
        <w:rPr>
          <w:rFonts w:ascii="华文中宋" w:hAnsi="华文中宋" w:eastAsia="华文中宋"/>
          <w:b/>
          <w:bCs/>
          <w:sz w:val="36"/>
          <w:szCs w:val="36"/>
        </w:rPr>
      </w:pPr>
      <w:bookmarkStart w:id="2" w:name="_Hlt101233737"/>
      <w:bookmarkEnd w:id="2"/>
      <w:bookmarkStart w:id="3" w:name="_Hlt101843627"/>
      <w:bookmarkEnd w:id="3"/>
      <w:r>
        <w:rPr>
          <w:rFonts w:hint="eastAsia" w:ascii="华文中宋" w:hAnsi="华文中宋" w:eastAsia="华文中宋"/>
          <w:b/>
          <w:bCs/>
          <w:sz w:val="36"/>
          <w:szCs w:val="36"/>
        </w:rPr>
        <w:t>目    录</w:t>
      </w:r>
    </w:p>
    <w:p>
      <w:pPr>
        <w:jc w:val="center"/>
        <w:rPr>
          <w:b/>
          <w:bCs/>
          <w:sz w:val="36"/>
          <w:szCs w:val="36"/>
        </w:rPr>
      </w:pPr>
    </w:p>
    <w:p>
      <w:pPr>
        <w:pStyle w:val="27"/>
        <w:tabs>
          <w:tab w:val="right" w:leader="middleDot" w:pos="8949"/>
        </w:tabs>
        <w:spacing w:line="480" w:lineRule="auto"/>
        <w:rPr>
          <w:rFonts w:asciiTheme="minorHAnsi" w:hAnsiTheme="minorHAnsi" w:eastAsiaTheme="minorEastAsia" w:cstheme="minorBidi"/>
          <w:b/>
          <w:sz w:val="24"/>
        </w:rPr>
      </w:pPr>
      <w:r>
        <w:rPr>
          <w:rFonts w:hint="eastAsia" w:ascii="宋体" w:hAnsi="宋体" w:cs="宋体"/>
          <w:b/>
          <w:sz w:val="24"/>
        </w:rPr>
        <w:fldChar w:fldCharType="begin"/>
      </w:r>
      <w:r>
        <w:rPr>
          <w:rFonts w:hint="eastAsia" w:ascii="宋体" w:hAnsi="宋体" w:cs="宋体"/>
          <w:b/>
          <w:sz w:val="24"/>
        </w:rPr>
        <w:instrText xml:space="preserve">TOC \o "1-1" \h \u </w:instrText>
      </w:r>
      <w:r>
        <w:rPr>
          <w:rFonts w:hint="eastAsia" w:ascii="宋体" w:hAnsi="宋体" w:cs="宋体"/>
          <w:b/>
          <w:sz w:val="24"/>
        </w:rPr>
        <w:fldChar w:fldCharType="separate"/>
      </w:r>
      <w:r>
        <w:fldChar w:fldCharType="begin"/>
      </w:r>
      <w:r>
        <w:instrText xml:space="preserve"> HYPERLINK \l "_Toc513065346" </w:instrText>
      </w:r>
      <w:r>
        <w:fldChar w:fldCharType="separate"/>
      </w:r>
      <w:r>
        <w:rPr>
          <w:rStyle w:val="44"/>
          <w:rFonts w:hint="eastAsia" w:ascii="华文中宋" w:hAnsi="华文中宋" w:eastAsia="华文中宋"/>
          <w:b/>
          <w:color w:val="auto"/>
          <w:sz w:val="24"/>
        </w:rPr>
        <w:t>第一章 投标邀请</w:t>
      </w:r>
      <w:r>
        <w:rPr>
          <w:b/>
          <w:sz w:val="24"/>
        </w:rPr>
        <w:tab/>
      </w:r>
      <w:r>
        <w:rPr>
          <w:b/>
          <w:sz w:val="24"/>
        </w:rPr>
        <w:fldChar w:fldCharType="begin"/>
      </w:r>
      <w:r>
        <w:rPr>
          <w:b/>
          <w:sz w:val="24"/>
        </w:rPr>
        <w:instrText xml:space="preserve"> PAGEREF _Toc513065346 \h </w:instrText>
      </w:r>
      <w:r>
        <w:rPr>
          <w:b/>
          <w:sz w:val="24"/>
        </w:rPr>
        <w:fldChar w:fldCharType="separate"/>
      </w:r>
      <w:r>
        <w:rPr>
          <w:b/>
          <w:sz w:val="24"/>
        </w:rPr>
        <w:t>3</w:t>
      </w:r>
      <w:r>
        <w:rPr>
          <w:b/>
          <w:sz w:val="24"/>
        </w:rPr>
        <w:fldChar w:fldCharType="end"/>
      </w:r>
      <w:r>
        <w:rPr>
          <w:b/>
          <w:sz w:val="24"/>
        </w:rPr>
        <w:fldChar w:fldCharType="end"/>
      </w:r>
    </w:p>
    <w:p>
      <w:pPr>
        <w:pStyle w:val="27"/>
        <w:tabs>
          <w:tab w:val="right" w:leader="middleDot" w:pos="8949"/>
        </w:tabs>
        <w:spacing w:line="480" w:lineRule="auto"/>
        <w:rPr>
          <w:rFonts w:asciiTheme="minorHAnsi" w:hAnsiTheme="minorHAnsi" w:eastAsiaTheme="minorEastAsia" w:cstheme="minorBidi"/>
          <w:b/>
          <w:sz w:val="24"/>
        </w:rPr>
      </w:pPr>
      <w:r>
        <w:fldChar w:fldCharType="begin"/>
      </w:r>
      <w:r>
        <w:instrText xml:space="preserve"> HYPERLINK \l "_Toc513065347" </w:instrText>
      </w:r>
      <w:r>
        <w:fldChar w:fldCharType="separate"/>
      </w:r>
      <w:r>
        <w:rPr>
          <w:rStyle w:val="44"/>
          <w:rFonts w:hint="eastAsia" w:ascii="华文中宋" w:hAnsi="华文中宋" w:eastAsia="华文中宋"/>
          <w:b/>
          <w:color w:val="auto"/>
          <w:sz w:val="24"/>
        </w:rPr>
        <w:t>第二章 投标人须知</w:t>
      </w:r>
      <w:r>
        <w:rPr>
          <w:b/>
          <w:sz w:val="24"/>
        </w:rPr>
        <w:tab/>
      </w:r>
      <w:r>
        <w:rPr>
          <w:b/>
          <w:sz w:val="24"/>
        </w:rPr>
        <w:fldChar w:fldCharType="begin"/>
      </w:r>
      <w:r>
        <w:rPr>
          <w:b/>
          <w:sz w:val="24"/>
        </w:rPr>
        <w:instrText xml:space="preserve"> PAGEREF _Toc513065347 \h </w:instrText>
      </w:r>
      <w:r>
        <w:rPr>
          <w:b/>
          <w:sz w:val="24"/>
        </w:rPr>
        <w:fldChar w:fldCharType="separate"/>
      </w:r>
      <w:r>
        <w:rPr>
          <w:b/>
          <w:sz w:val="24"/>
        </w:rPr>
        <w:t>6</w:t>
      </w:r>
      <w:r>
        <w:rPr>
          <w:b/>
          <w:sz w:val="24"/>
        </w:rPr>
        <w:fldChar w:fldCharType="end"/>
      </w:r>
      <w:r>
        <w:rPr>
          <w:b/>
          <w:sz w:val="24"/>
        </w:rPr>
        <w:fldChar w:fldCharType="end"/>
      </w:r>
    </w:p>
    <w:p>
      <w:pPr>
        <w:pStyle w:val="27"/>
        <w:tabs>
          <w:tab w:val="right" w:leader="middleDot" w:pos="8949"/>
        </w:tabs>
        <w:spacing w:line="480" w:lineRule="auto"/>
        <w:rPr>
          <w:rFonts w:asciiTheme="minorHAnsi" w:hAnsiTheme="minorHAnsi" w:eastAsiaTheme="minorEastAsia" w:cstheme="minorBidi"/>
          <w:b/>
          <w:sz w:val="24"/>
        </w:rPr>
      </w:pPr>
      <w:r>
        <w:fldChar w:fldCharType="begin"/>
      </w:r>
      <w:r>
        <w:instrText xml:space="preserve"> HYPERLINK \l "_Toc513065348" </w:instrText>
      </w:r>
      <w:r>
        <w:fldChar w:fldCharType="separate"/>
      </w:r>
      <w:r>
        <w:rPr>
          <w:rStyle w:val="44"/>
          <w:rFonts w:hint="eastAsia" w:ascii="华文中宋" w:hAnsi="华文中宋" w:eastAsia="华文中宋"/>
          <w:b/>
          <w:color w:val="auto"/>
          <w:sz w:val="24"/>
        </w:rPr>
        <w:t>第三章 投标文件格式</w:t>
      </w:r>
      <w:r>
        <w:rPr>
          <w:b/>
          <w:sz w:val="24"/>
        </w:rPr>
        <w:tab/>
      </w:r>
      <w:r>
        <w:rPr>
          <w:b/>
          <w:sz w:val="24"/>
        </w:rPr>
        <w:fldChar w:fldCharType="begin"/>
      </w:r>
      <w:r>
        <w:rPr>
          <w:b/>
          <w:sz w:val="24"/>
        </w:rPr>
        <w:instrText xml:space="preserve"> PAGEREF _Toc513065348 \h </w:instrText>
      </w:r>
      <w:r>
        <w:rPr>
          <w:b/>
          <w:sz w:val="24"/>
        </w:rPr>
        <w:fldChar w:fldCharType="separate"/>
      </w:r>
      <w:r>
        <w:rPr>
          <w:b/>
          <w:sz w:val="24"/>
        </w:rPr>
        <w:t>22</w:t>
      </w:r>
      <w:r>
        <w:rPr>
          <w:b/>
          <w:sz w:val="24"/>
        </w:rPr>
        <w:fldChar w:fldCharType="end"/>
      </w:r>
      <w:r>
        <w:rPr>
          <w:b/>
          <w:sz w:val="24"/>
        </w:rPr>
        <w:fldChar w:fldCharType="end"/>
      </w:r>
    </w:p>
    <w:p>
      <w:pPr>
        <w:pStyle w:val="27"/>
        <w:tabs>
          <w:tab w:val="right" w:leader="middleDot" w:pos="8949"/>
        </w:tabs>
        <w:spacing w:line="480" w:lineRule="auto"/>
        <w:rPr>
          <w:rFonts w:asciiTheme="minorHAnsi" w:hAnsiTheme="minorHAnsi" w:eastAsiaTheme="minorEastAsia" w:cstheme="minorBidi"/>
          <w:b/>
          <w:sz w:val="24"/>
        </w:rPr>
      </w:pPr>
      <w:r>
        <w:fldChar w:fldCharType="begin"/>
      </w:r>
      <w:r>
        <w:instrText xml:space="preserve"> HYPERLINK \l "_Toc513065349" </w:instrText>
      </w:r>
      <w:r>
        <w:fldChar w:fldCharType="separate"/>
      </w:r>
      <w:r>
        <w:rPr>
          <w:rStyle w:val="44"/>
          <w:rFonts w:hint="eastAsia" w:ascii="华文中宋" w:hAnsi="华文中宋" w:eastAsia="华文中宋"/>
          <w:b/>
          <w:color w:val="auto"/>
          <w:sz w:val="24"/>
        </w:rPr>
        <w:t>第四章 投标人的资格、资质性及其他类似效力要求</w:t>
      </w:r>
      <w:r>
        <w:rPr>
          <w:b/>
          <w:sz w:val="24"/>
        </w:rPr>
        <w:tab/>
      </w:r>
      <w:r>
        <w:rPr>
          <w:b/>
          <w:sz w:val="24"/>
        </w:rPr>
        <w:fldChar w:fldCharType="begin"/>
      </w:r>
      <w:r>
        <w:rPr>
          <w:b/>
          <w:sz w:val="24"/>
        </w:rPr>
        <w:instrText xml:space="preserve"> PAGEREF _Toc513065349 \h </w:instrText>
      </w:r>
      <w:r>
        <w:rPr>
          <w:b/>
          <w:sz w:val="24"/>
        </w:rPr>
        <w:fldChar w:fldCharType="separate"/>
      </w:r>
      <w:r>
        <w:rPr>
          <w:b/>
          <w:sz w:val="24"/>
        </w:rPr>
        <w:t>35</w:t>
      </w:r>
      <w:r>
        <w:rPr>
          <w:b/>
          <w:sz w:val="24"/>
        </w:rPr>
        <w:fldChar w:fldCharType="end"/>
      </w:r>
      <w:r>
        <w:rPr>
          <w:b/>
          <w:sz w:val="24"/>
        </w:rPr>
        <w:fldChar w:fldCharType="end"/>
      </w:r>
    </w:p>
    <w:p>
      <w:pPr>
        <w:pStyle w:val="27"/>
        <w:tabs>
          <w:tab w:val="right" w:leader="middleDot" w:pos="8949"/>
        </w:tabs>
        <w:spacing w:line="480" w:lineRule="auto"/>
        <w:rPr>
          <w:rFonts w:asciiTheme="minorHAnsi" w:hAnsiTheme="minorHAnsi" w:eastAsiaTheme="minorEastAsia" w:cstheme="minorBidi"/>
          <w:b/>
          <w:sz w:val="24"/>
        </w:rPr>
      </w:pPr>
      <w:r>
        <w:fldChar w:fldCharType="begin"/>
      </w:r>
      <w:r>
        <w:instrText xml:space="preserve"> HYPERLINK \l "_Toc513065350" </w:instrText>
      </w:r>
      <w:r>
        <w:fldChar w:fldCharType="separate"/>
      </w:r>
      <w:r>
        <w:rPr>
          <w:rStyle w:val="44"/>
          <w:rFonts w:hint="eastAsia" w:ascii="华文中宋" w:hAnsi="华文中宋" w:eastAsia="华文中宋"/>
          <w:b/>
          <w:color w:val="auto"/>
          <w:sz w:val="24"/>
        </w:rPr>
        <w:t>第五章 投标人应当提供的资格、资质性及其他类似效力要求的相关证明材料</w:t>
      </w:r>
      <w:r>
        <w:rPr>
          <w:b/>
          <w:sz w:val="24"/>
        </w:rPr>
        <w:tab/>
      </w:r>
      <w:r>
        <w:rPr>
          <w:b/>
          <w:sz w:val="24"/>
        </w:rPr>
        <w:fldChar w:fldCharType="begin"/>
      </w:r>
      <w:r>
        <w:rPr>
          <w:b/>
          <w:sz w:val="24"/>
        </w:rPr>
        <w:instrText xml:space="preserve"> PAGEREF _Toc513065350 \h </w:instrText>
      </w:r>
      <w:r>
        <w:rPr>
          <w:b/>
          <w:sz w:val="24"/>
        </w:rPr>
        <w:fldChar w:fldCharType="separate"/>
      </w:r>
      <w:r>
        <w:rPr>
          <w:b/>
          <w:sz w:val="24"/>
        </w:rPr>
        <w:t>39</w:t>
      </w:r>
      <w:r>
        <w:rPr>
          <w:b/>
          <w:sz w:val="24"/>
        </w:rPr>
        <w:fldChar w:fldCharType="end"/>
      </w:r>
      <w:r>
        <w:rPr>
          <w:b/>
          <w:sz w:val="24"/>
        </w:rPr>
        <w:fldChar w:fldCharType="end"/>
      </w:r>
    </w:p>
    <w:p>
      <w:pPr>
        <w:pStyle w:val="27"/>
        <w:tabs>
          <w:tab w:val="right" w:leader="middleDot" w:pos="8949"/>
        </w:tabs>
        <w:spacing w:line="480" w:lineRule="auto"/>
        <w:rPr>
          <w:rFonts w:asciiTheme="minorHAnsi" w:hAnsiTheme="minorHAnsi" w:eastAsiaTheme="minorEastAsia" w:cstheme="minorBidi"/>
          <w:b/>
          <w:sz w:val="24"/>
        </w:rPr>
      </w:pPr>
      <w:r>
        <w:fldChar w:fldCharType="begin"/>
      </w:r>
      <w:r>
        <w:instrText xml:space="preserve"> HYPERLINK \l "_Toc513065351" </w:instrText>
      </w:r>
      <w:r>
        <w:fldChar w:fldCharType="separate"/>
      </w:r>
      <w:r>
        <w:rPr>
          <w:rStyle w:val="44"/>
          <w:rFonts w:hint="eastAsia" w:ascii="华文中宋" w:hAnsi="华文中宋" w:eastAsia="华文中宋"/>
          <w:b/>
          <w:color w:val="auto"/>
          <w:sz w:val="24"/>
        </w:rPr>
        <w:t>第六章 招标项目要求</w:t>
      </w:r>
      <w:r>
        <w:rPr>
          <w:b/>
          <w:sz w:val="24"/>
        </w:rPr>
        <w:tab/>
      </w:r>
      <w:r>
        <w:rPr>
          <w:b/>
          <w:sz w:val="24"/>
        </w:rPr>
        <w:fldChar w:fldCharType="begin"/>
      </w:r>
      <w:r>
        <w:rPr>
          <w:b/>
          <w:sz w:val="24"/>
        </w:rPr>
        <w:instrText xml:space="preserve"> PAGEREF _Toc513065351 \h </w:instrText>
      </w:r>
      <w:r>
        <w:rPr>
          <w:b/>
          <w:sz w:val="24"/>
        </w:rPr>
        <w:fldChar w:fldCharType="separate"/>
      </w:r>
      <w:r>
        <w:rPr>
          <w:b/>
          <w:sz w:val="24"/>
        </w:rPr>
        <w:t>41</w:t>
      </w:r>
      <w:r>
        <w:rPr>
          <w:b/>
          <w:sz w:val="24"/>
        </w:rPr>
        <w:fldChar w:fldCharType="end"/>
      </w:r>
      <w:r>
        <w:rPr>
          <w:b/>
          <w:sz w:val="24"/>
        </w:rPr>
        <w:fldChar w:fldCharType="end"/>
      </w:r>
    </w:p>
    <w:p>
      <w:pPr>
        <w:pStyle w:val="27"/>
        <w:tabs>
          <w:tab w:val="right" w:leader="middleDot" w:pos="8949"/>
        </w:tabs>
        <w:spacing w:line="480" w:lineRule="auto"/>
        <w:rPr>
          <w:rFonts w:asciiTheme="minorHAnsi" w:hAnsiTheme="minorHAnsi" w:eastAsiaTheme="minorEastAsia" w:cstheme="minorBidi"/>
          <w:b/>
          <w:sz w:val="24"/>
        </w:rPr>
      </w:pPr>
      <w:r>
        <w:fldChar w:fldCharType="begin"/>
      </w:r>
      <w:r>
        <w:instrText xml:space="preserve"> HYPERLINK \l "_Toc513065352" </w:instrText>
      </w:r>
      <w:r>
        <w:fldChar w:fldCharType="separate"/>
      </w:r>
      <w:r>
        <w:rPr>
          <w:rStyle w:val="44"/>
          <w:rFonts w:hint="eastAsia" w:ascii="华文中宋" w:hAnsi="华文中宋" w:eastAsia="华文中宋"/>
          <w:b/>
          <w:color w:val="auto"/>
          <w:sz w:val="24"/>
        </w:rPr>
        <w:t>第七章 评标办法</w:t>
      </w:r>
      <w:r>
        <w:rPr>
          <w:b/>
          <w:sz w:val="24"/>
        </w:rPr>
        <w:tab/>
      </w:r>
      <w:r>
        <w:rPr>
          <w:b/>
          <w:sz w:val="24"/>
        </w:rPr>
        <w:fldChar w:fldCharType="begin"/>
      </w:r>
      <w:r>
        <w:rPr>
          <w:b/>
          <w:sz w:val="24"/>
        </w:rPr>
        <w:instrText xml:space="preserve"> PAGEREF _Toc513065352 \h </w:instrText>
      </w:r>
      <w:r>
        <w:rPr>
          <w:b/>
          <w:sz w:val="24"/>
        </w:rPr>
        <w:fldChar w:fldCharType="separate"/>
      </w:r>
      <w:r>
        <w:rPr>
          <w:b/>
          <w:sz w:val="24"/>
        </w:rPr>
        <w:t>41</w:t>
      </w:r>
      <w:r>
        <w:rPr>
          <w:b/>
          <w:sz w:val="24"/>
        </w:rPr>
        <w:fldChar w:fldCharType="end"/>
      </w:r>
      <w:r>
        <w:rPr>
          <w:b/>
          <w:sz w:val="24"/>
        </w:rPr>
        <w:fldChar w:fldCharType="end"/>
      </w:r>
    </w:p>
    <w:p>
      <w:pPr>
        <w:pStyle w:val="27"/>
        <w:tabs>
          <w:tab w:val="right" w:leader="middleDot" w:pos="8949"/>
        </w:tabs>
        <w:spacing w:line="480" w:lineRule="auto"/>
        <w:rPr>
          <w:rFonts w:asciiTheme="minorHAnsi" w:hAnsiTheme="minorHAnsi" w:eastAsiaTheme="minorEastAsia" w:cstheme="minorBidi"/>
          <w:b/>
          <w:sz w:val="24"/>
        </w:rPr>
      </w:pPr>
      <w:r>
        <w:fldChar w:fldCharType="begin"/>
      </w:r>
      <w:r>
        <w:instrText xml:space="preserve"> HYPERLINK \l "_Toc513065353" </w:instrText>
      </w:r>
      <w:r>
        <w:fldChar w:fldCharType="separate"/>
      </w:r>
      <w:r>
        <w:rPr>
          <w:rStyle w:val="44"/>
          <w:rFonts w:hint="eastAsia" w:ascii="华文中宋" w:hAnsi="华文中宋" w:eastAsia="华文中宋"/>
          <w:b/>
          <w:color w:val="auto"/>
          <w:sz w:val="24"/>
        </w:rPr>
        <w:t>第八章 采购合同</w:t>
      </w:r>
      <w:r>
        <w:rPr>
          <w:b/>
          <w:sz w:val="24"/>
        </w:rPr>
        <w:tab/>
      </w:r>
      <w:r>
        <w:rPr>
          <w:b/>
          <w:sz w:val="24"/>
        </w:rPr>
        <w:fldChar w:fldCharType="begin"/>
      </w:r>
      <w:r>
        <w:rPr>
          <w:b/>
          <w:sz w:val="24"/>
        </w:rPr>
        <w:instrText xml:space="preserve"> PAGEREF _Toc513065353 \h </w:instrText>
      </w:r>
      <w:r>
        <w:rPr>
          <w:b/>
          <w:sz w:val="24"/>
        </w:rPr>
        <w:fldChar w:fldCharType="separate"/>
      </w:r>
      <w:r>
        <w:rPr>
          <w:b/>
          <w:sz w:val="24"/>
        </w:rPr>
        <w:t>117</w:t>
      </w:r>
      <w:r>
        <w:rPr>
          <w:b/>
          <w:sz w:val="24"/>
        </w:rPr>
        <w:fldChar w:fldCharType="end"/>
      </w:r>
      <w:r>
        <w:rPr>
          <w:b/>
          <w:sz w:val="24"/>
        </w:rPr>
        <w:fldChar w:fldCharType="end"/>
      </w:r>
    </w:p>
    <w:p>
      <w:pPr>
        <w:spacing w:line="480" w:lineRule="auto"/>
        <w:rPr>
          <w:sz w:val="28"/>
          <w:szCs w:val="28"/>
        </w:rPr>
        <w:sectPr>
          <w:pgSz w:w="11907" w:h="16840"/>
          <w:pgMar w:top="1440" w:right="1474" w:bottom="1440" w:left="1474" w:header="851" w:footer="992" w:gutter="0"/>
          <w:cols w:space="720" w:num="1"/>
          <w:docGrid w:linePitch="312" w:charSpace="0"/>
        </w:sectPr>
      </w:pPr>
      <w:r>
        <w:rPr>
          <w:rFonts w:hint="eastAsia" w:ascii="宋体" w:hAnsi="宋体" w:cs="宋体"/>
          <w:b/>
          <w:sz w:val="24"/>
        </w:rPr>
        <w:fldChar w:fldCharType="end"/>
      </w:r>
      <w:bookmarkStart w:id="4" w:name="_Toc24584"/>
    </w:p>
    <w:p>
      <w:pPr>
        <w:pStyle w:val="2"/>
        <w:spacing w:line="240" w:lineRule="atLeast"/>
        <w:jc w:val="center"/>
        <w:rPr>
          <w:rFonts w:ascii="华文中宋" w:hAnsi="华文中宋" w:eastAsia="华文中宋"/>
          <w:sz w:val="36"/>
          <w:szCs w:val="36"/>
        </w:rPr>
      </w:pPr>
      <w:bookmarkStart w:id="5" w:name="_Toc513065346"/>
      <w:r>
        <w:rPr>
          <w:rFonts w:hint="eastAsia" w:ascii="华文中宋" w:hAnsi="华文中宋" w:eastAsia="华文中宋"/>
          <w:sz w:val="36"/>
          <w:szCs w:val="36"/>
        </w:rPr>
        <w:t>第一章  投标邀请</w:t>
      </w:r>
      <w:bookmarkEnd w:id="4"/>
      <w:bookmarkEnd w:id="5"/>
    </w:p>
    <w:p>
      <w:pPr>
        <w:tabs>
          <w:tab w:val="left" w:pos="7665"/>
        </w:tabs>
        <w:spacing w:line="400" w:lineRule="exact"/>
        <w:ind w:firstLine="600" w:firstLineChars="250"/>
        <w:rPr>
          <w:rFonts w:ascii="宋体" w:hAnsi="宋体" w:cs="宋体"/>
          <w:sz w:val="24"/>
        </w:rPr>
      </w:pPr>
      <w:r>
        <w:rPr>
          <w:rFonts w:hint="eastAsia" w:ascii="宋体" w:hAnsi="宋体" w:cs="宋体"/>
          <w:sz w:val="24"/>
          <w:u w:val="single"/>
        </w:rPr>
        <w:t>四川国际招标有限责任公司</w:t>
      </w:r>
      <w:r>
        <w:rPr>
          <w:rFonts w:hint="eastAsia" w:ascii="宋体" w:hAnsi="宋体" w:cs="宋体"/>
          <w:sz w:val="24"/>
        </w:rPr>
        <w:t>受</w:t>
      </w:r>
      <w:r>
        <w:rPr>
          <w:rFonts w:hint="eastAsia" w:ascii="宋体" w:hAnsi="宋体" w:cs="宋体"/>
          <w:b/>
          <w:sz w:val="24"/>
          <w:u w:val="single"/>
        </w:rPr>
        <w:t>金堂县第一人民医院</w:t>
      </w:r>
      <w:r>
        <w:rPr>
          <w:rFonts w:hint="eastAsia" w:ascii="宋体" w:hAnsi="宋体" w:cs="宋体"/>
          <w:sz w:val="24"/>
        </w:rPr>
        <w:t>委托，拟对</w:t>
      </w:r>
      <w:bookmarkStart w:id="6" w:name="PO_默认文件内容_4"/>
      <w:r>
        <w:rPr>
          <w:rFonts w:hint="eastAsia" w:ascii="宋体" w:hAnsi="宋体" w:cs="宋体"/>
          <w:b/>
          <w:sz w:val="24"/>
          <w:u w:val="single"/>
        </w:rPr>
        <w:t>金堂县第一人民医院日用百货配送服务采购项目</w:t>
      </w:r>
      <w:r>
        <w:rPr>
          <w:rFonts w:hint="eastAsia" w:ascii="宋体" w:hAnsi="宋体" w:cs="宋体"/>
          <w:sz w:val="24"/>
        </w:rPr>
        <w:t>进行公开招标，兹邀请符合本次招标要求的潜在投标人参加投标。</w:t>
      </w:r>
      <w:bookmarkEnd w:id="6"/>
    </w:p>
    <w:p>
      <w:pPr>
        <w:spacing w:line="360" w:lineRule="auto"/>
        <w:ind w:firstLine="482" w:firstLineChars="200"/>
        <w:rPr>
          <w:rFonts w:ascii="宋体"/>
          <w:b/>
          <w:sz w:val="24"/>
        </w:rPr>
      </w:pPr>
      <w:r>
        <w:rPr>
          <w:rFonts w:hint="eastAsia" w:ascii="宋体"/>
          <w:b/>
          <w:sz w:val="24"/>
        </w:rPr>
        <w:t>一、招标编号：</w:t>
      </w:r>
      <w:bookmarkStart w:id="7" w:name="PO_项目编号_2"/>
      <w:bookmarkEnd w:id="7"/>
    </w:p>
    <w:p>
      <w:pPr>
        <w:spacing w:line="360" w:lineRule="auto"/>
        <w:ind w:right="31" w:rightChars="15" w:firstLine="482" w:firstLineChars="200"/>
        <w:rPr>
          <w:rFonts w:ascii="宋体"/>
          <w:b/>
          <w:sz w:val="24"/>
          <w:szCs w:val="32"/>
        </w:rPr>
      </w:pPr>
      <w:r>
        <w:rPr>
          <w:rFonts w:hint="eastAsia" w:ascii="宋体"/>
          <w:b/>
          <w:bCs/>
          <w:sz w:val="24"/>
        </w:rPr>
        <w:t>二、</w:t>
      </w:r>
      <w:r>
        <w:rPr>
          <w:rFonts w:hint="eastAsia" w:ascii="宋体"/>
          <w:b/>
          <w:sz w:val="24"/>
        </w:rPr>
        <w:t>招标项目：</w:t>
      </w:r>
      <w:r>
        <w:rPr>
          <w:rFonts w:hint="eastAsia" w:ascii="宋体" w:hAnsi="宋体" w:cs="宋体"/>
          <w:sz w:val="24"/>
        </w:rPr>
        <w:t>金堂县第一人民医院日用百货配送服务采购项目</w:t>
      </w:r>
      <w:r>
        <w:rPr>
          <w:rFonts w:hint="eastAsia" w:ascii="宋体"/>
          <w:b/>
          <w:sz w:val="24"/>
          <w:szCs w:val="32"/>
        </w:rPr>
        <w:t>。</w:t>
      </w:r>
    </w:p>
    <w:p>
      <w:pPr>
        <w:spacing w:line="360" w:lineRule="auto"/>
        <w:ind w:right="31" w:rightChars="15" w:firstLine="482" w:firstLineChars="200"/>
        <w:rPr>
          <w:rFonts w:ascii="宋体"/>
          <w:b/>
          <w:bCs/>
          <w:sz w:val="24"/>
        </w:rPr>
      </w:pPr>
      <w:r>
        <w:rPr>
          <w:rFonts w:hint="eastAsia" w:ascii="宋体"/>
          <w:b/>
          <w:sz w:val="24"/>
          <w:szCs w:val="28"/>
        </w:rPr>
        <w:t>三、资金情况：已落实</w:t>
      </w:r>
    </w:p>
    <w:p>
      <w:pPr>
        <w:spacing w:line="360" w:lineRule="auto"/>
        <w:ind w:firstLine="482" w:firstLineChars="200"/>
        <w:rPr>
          <w:rFonts w:ascii="宋体"/>
          <w:sz w:val="24"/>
        </w:rPr>
      </w:pPr>
      <w:r>
        <w:rPr>
          <w:rFonts w:hint="eastAsia" w:ascii="宋体"/>
          <w:b/>
          <w:sz w:val="24"/>
        </w:rPr>
        <w:t>四</w:t>
      </w:r>
      <w:r>
        <w:rPr>
          <w:rFonts w:hint="eastAsia" w:ascii="宋体"/>
          <w:b/>
          <w:bCs/>
          <w:sz w:val="24"/>
        </w:rPr>
        <w:t>、</w:t>
      </w:r>
      <w:r>
        <w:rPr>
          <w:rFonts w:hint="eastAsia" w:ascii="宋体"/>
          <w:b/>
          <w:sz w:val="24"/>
        </w:rPr>
        <w:t>招标项目简介：</w:t>
      </w:r>
    </w:p>
    <w:p>
      <w:pPr>
        <w:spacing w:after="120" w:afterLines="50" w:line="420" w:lineRule="exact"/>
        <w:ind w:firstLine="464" w:firstLineChars="200"/>
        <w:rPr>
          <w:rFonts w:hAnsi="宋体"/>
          <w:sz w:val="24"/>
          <w:szCs w:val="28"/>
        </w:rPr>
      </w:pPr>
      <w:bookmarkStart w:id="8" w:name="PO_默认文件内容_3"/>
      <w:r>
        <w:rPr>
          <w:rFonts w:hint="eastAsia" w:hAnsi="宋体"/>
          <w:spacing w:val="-4"/>
          <w:sz w:val="24"/>
        </w:rPr>
        <w:t>本项目</w:t>
      </w:r>
      <w:r>
        <w:rPr>
          <w:rFonts w:hAnsi="宋体"/>
          <w:spacing w:val="-4"/>
          <w:sz w:val="24"/>
        </w:rPr>
        <w:t>1</w:t>
      </w:r>
      <w:r>
        <w:rPr>
          <w:rFonts w:hint="eastAsia" w:hAnsi="宋体"/>
          <w:spacing w:val="-4"/>
          <w:sz w:val="24"/>
        </w:rPr>
        <w:t>个包</w:t>
      </w:r>
      <w:r>
        <w:rPr>
          <w:rFonts w:hint="eastAsia" w:ascii="宋体"/>
          <w:bCs/>
          <w:sz w:val="24"/>
          <w:szCs w:val="32"/>
        </w:rPr>
        <w:t>，</w:t>
      </w:r>
      <w:r>
        <w:rPr>
          <w:rFonts w:hint="eastAsia" w:hAnsi="宋体"/>
          <w:sz w:val="24"/>
        </w:rPr>
        <w:t>拟通过公开招标采购金堂县第一人民医院日用百货配送服务</w:t>
      </w:r>
      <w:r>
        <w:rPr>
          <w:rFonts w:hint="eastAsia" w:hAnsi="宋体"/>
          <w:sz w:val="24"/>
          <w:szCs w:val="28"/>
        </w:rPr>
        <w:t>（具体详见招标文件第六章）。</w:t>
      </w:r>
      <w:bookmarkEnd w:id="8"/>
    </w:p>
    <w:p>
      <w:pPr>
        <w:spacing w:after="120" w:afterLines="50" w:line="420" w:lineRule="exact"/>
        <w:ind w:firstLine="482" w:firstLineChars="200"/>
        <w:rPr>
          <w:rFonts w:ascii="宋体"/>
          <w:b/>
          <w:bCs/>
          <w:sz w:val="24"/>
        </w:rPr>
      </w:pPr>
      <w:r>
        <w:rPr>
          <w:rFonts w:hint="eastAsia" w:ascii="宋体"/>
          <w:b/>
          <w:bCs/>
          <w:sz w:val="24"/>
        </w:rPr>
        <w:t>五、投标人资格条件：</w:t>
      </w:r>
    </w:p>
    <w:p>
      <w:pPr>
        <w:pStyle w:val="70"/>
        <w:spacing w:line="420" w:lineRule="exact"/>
        <w:ind w:firstLine="600" w:firstLineChars="250"/>
        <w:rPr>
          <w:rFonts w:ascii="宋体" w:hAnsi="宋体" w:cs="宋体"/>
          <w:sz w:val="24"/>
        </w:rPr>
      </w:pPr>
      <w:bookmarkStart w:id="9" w:name="PO_供应商资格条件_1"/>
      <w:r>
        <w:rPr>
          <w:rFonts w:hint="eastAsia" w:ascii="宋体" w:hAnsi="宋体" w:cs="宋体"/>
          <w:sz w:val="24"/>
        </w:rPr>
        <w:t>1、在中华人民共和国境内注册，具有独立法人资格的合法企业；</w:t>
      </w:r>
    </w:p>
    <w:p>
      <w:pPr>
        <w:pStyle w:val="70"/>
        <w:spacing w:line="420" w:lineRule="exact"/>
        <w:ind w:firstLine="600" w:firstLineChars="250"/>
        <w:rPr>
          <w:rFonts w:ascii="宋体" w:hAnsi="宋体" w:cs="宋体"/>
          <w:sz w:val="24"/>
        </w:rPr>
      </w:pPr>
      <w:r>
        <w:rPr>
          <w:rFonts w:hint="eastAsia" w:ascii="宋体" w:hAnsi="宋体" w:cs="宋体"/>
          <w:sz w:val="24"/>
        </w:rPr>
        <w:t>2、具有良好的商业信誉和健全的财务会计制度；</w:t>
      </w:r>
    </w:p>
    <w:p>
      <w:pPr>
        <w:pStyle w:val="70"/>
        <w:spacing w:line="420" w:lineRule="exact"/>
        <w:ind w:firstLine="600" w:firstLineChars="250"/>
        <w:rPr>
          <w:rFonts w:ascii="宋体" w:hAnsi="宋体" w:cs="宋体"/>
          <w:sz w:val="24"/>
        </w:rPr>
      </w:pPr>
      <w:r>
        <w:rPr>
          <w:rFonts w:hint="eastAsia" w:ascii="宋体" w:hAnsi="宋体" w:cs="宋体"/>
          <w:sz w:val="24"/>
        </w:rPr>
        <w:t>3、具有履行合同所必须的设备和专业技术能力；</w:t>
      </w:r>
    </w:p>
    <w:p>
      <w:pPr>
        <w:pStyle w:val="70"/>
        <w:spacing w:line="420" w:lineRule="exact"/>
        <w:ind w:firstLine="600" w:firstLineChars="250"/>
        <w:rPr>
          <w:rFonts w:ascii="宋体" w:hAnsi="宋体" w:cs="宋体"/>
          <w:sz w:val="24"/>
        </w:rPr>
      </w:pPr>
      <w:r>
        <w:rPr>
          <w:rFonts w:hint="eastAsia" w:ascii="宋体" w:hAnsi="宋体" w:cs="宋体"/>
          <w:sz w:val="24"/>
        </w:rPr>
        <w:t>4、具有依法缴纳税收和社会保障资金的良好记录；</w:t>
      </w:r>
    </w:p>
    <w:p>
      <w:pPr>
        <w:pStyle w:val="70"/>
        <w:spacing w:line="420" w:lineRule="exact"/>
        <w:ind w:firstLine="600" w:firstLineChars="250"/>
        <w:rPr>
          <w:rFonts w:ascii="宋体" w:hAnsi="宋体" w:cs="宋体"/>
          <w:sz w:val="24"/>
        </w:rPr>
      </w:pPr>
      <w:r>
        <w:rPr>
          <w:rFonts w:hint="eastAsia" w:ascii="宋体" w:hAnsi="宋体" w:cs="宋体"/>
          <w:sz w:val="24"/>
        </w:rPr>
        <w:t>5、参加本次招标活动前三年内，在经营活动中没有重大违法记录；</w:t>
      </w:r>
    </w:p>
    <w:p>
      <w:pPr>
        <w:pStyle w:val="70"/>
        <w:spacing w:line="420" w:lineRule="exact"/>
        <w:ind w:firstLine="600" w:firstLineChars="250"/>
        <w:rPr>
          <w:rFonts w:ascii="宋体" w:hAnsi="宋体" w:cs="宋体"/>
          <w:sz w:val="24"/>
        </w:rPr>
      </w:pPr>
      <w:r>
        <w:rPr>
          <w:rFonts w:ascii="宋体" w:hAnsi="宋体" w:cs="宋体"/>
          <w:sz w:val="24"/>
        </w:rPr>
        <w:t>6</w:t>
      </w:r>
      <w:r>
        <w:rPr>
          <w:rFonts w:hint="eastAsia" w:ascii="宋体" w:hAnsi="宋体" w:cs="宋体"/>
          <w:sz w:val="24"/>
        </w:rPr>
        <w:t>、投标人还须符合法律、行政法规规定的其他强制性条件；</w:t>
      </w:r>
    </w:p>
    <w:p>
      <w:pPr>
        <w:pStyle w:val="70"/>
        <w:spacing w:line="420" w:lineRule="exact"/>
        <w:ind w:firstLine="600" w:firstLineChars="250"/>
        <w:rPr>
          <w:rFonts w:ascii="宋体" w:hAnsi="宋体" w:cs="宋体"/>
          <w:sz w:val="24"/>
        </w:rPr>
      </w:pPr>
      <w:r>
        <w:rPr>
          <w:rFonts w:ascii="宋体" w:hAnsi="宋体" w:cs="宋体"/>
          <w:sz w:val="24"/>
        </w:rPr>
        <w:t>7</w:t>
      </w:r>
      <w:r>
        <w:rPr>
          <w:rFonts w:hint="eastAsia" w:ascii="宋体" w:hAnsi="宋体" w:cs="宋体"/>
          <w:sz w:val="24"/>
        </w:rPr>
        <w:t>、</w:t>
      </w:r>
      <w:r>
        <w:rPr>
          <w:rFonts w:hint="eastAsia"/>
          <w:sz w:val="24"/>
        </w:rPr>
        <w:t>按招标要求向本项目招标代理机构购买招标文件</w:t>
      </w:r>
      <w:r>
        <w:rPr>
          <w:rFonts w:hint="eastAsia" w:ascii="宋体" w:hAnsi="宋体" w:cs="宋体"/>
          <w:sz w:val="24"/>
        </w:rPr>
        <w:t>。</w:t>
      </w:r>
    </w:p>
    <w:p>
      <w:pPr>
        <w:pStyle w:val="70"/>
        <w:spacing w:line="420" w:lineRule="exact"/>
        <w:ind w:firstLine="600" w:firstLineChars="250"/>
        <w:rPr>
          <w:rFonts w:ascii="宋体" w:hAnsi="宋体" w:cs="宋体"/>
          <w:sz w:val="24"/>
        </w:rPr>
      </w:pPr>
      <w:r>
        <w:rPr>
          <w:rFonts w:ascii="宋体" w:hAnsi="宋体" w:cs="宋体"/>
          <w:sz w:val="24"/>
        </w:rPr>
        <w:t>8</w:t>
      </w:r>
      <w:r>
        <w:rPr>
          <w:rFonts w:hint="eastAsia" w:ascii="宋体" w:hAnsi="宋体" w:cs="宋体"/>
          <w:sz w:val="24"/>
        </w:rPr>
        <w:t>、本项目不接受联合体投标。</w:t>
      </w:r>
    </w:p>
    <w:p>
      <w:pPr>
        <w:tabs>
          <w:tab w:val="left" w:pos="7665"/>
        </w:tabs>
        <w:spacing w:line="400" w:lineRule="exact"/>
        <w:ind w:firstLine="600" w:firstLineChars="250"/>
        <w:rPr>
          <w:rFonts w:ascii="宋体" w:hAnsi="宋体" w:cs="宋体"/>
          <w:sz w:val="24"/>
        </w:rPr>
      </w:pPr>
      <w:r>
        <w:rPr>
          <w:rFonts w:hint="eastAsia" w:ascii="宋体" w:hAnsi="宋体" w:cs="宋体"/>
          <w:sz w:val="24"/>
        </w:rPr>
        <w:t>（具体详见招标文件第四章）。</w:t>
      </w:r>
    </w:p>
    <w:bookmarkEnd w:id="9"/>
    <w:p>
      <w:pPr>
        <w:spacing w:line="440" w:lineRule="exact"/>
        <w:ind w:firstLine="482" w:firstLineChars="200"/>
        <w:rPr>
          <w:rFonts w:ascii="宋体" w:hAnsi="宋体"/>
          <w:b/>
          <w:sz w:val="24"/>
        </w:rPr>
      </w:pPr>
      <w:r>
        <w:rPr>
          <w:rFonts w:hint="eastAsia" w:ascii="宋体" w:hAnsi="宋体"/>
          <w:b/>
          <w:sz w:val="24"/>
        </w:rPr>
        <w:t>六、禁止参加本次招标采购活动的潜在投标人</w:t>
      </w:r>
    </w:p>
    <w:p>
      <w:pPr>
        <w:wordWrap w:val="0"/>
        <w:spacing w:line="440" w:lineRule="exact"/>
        <w:ind w:firstLine="480" w:firstLineChars="200"/>
        <w:jc w:val="left"/>
        <w:rPr>
          <w:rFonts w:ascii="宋体" w:hAnsi="宋体"/>
          <w:sz w:val="24"/>
        </w:rPr>
      </w:pPr>
      <w:bookmarkStart w:id="10" w:name="PO_默认文件内容_7"/>
      <w:r>
        <w:rPr>
          <w:rFonts w:hint="eastAsia" w:hAnsi="宋体"/>
          <w:sz w:val="24"/>
        </w:rPr>
        <w:t>参照《关于在政府采购活动中查询及使用信用记录有关问题的通知》的要求，</w:t>
      </w:r>
      <w:r>
        <w:rPr>
          <w:rFonts w:hint="eastAsia" w:ascii="宋体" w:hAnsi="宋体"/>
          <w:sz w:val="24"/>
        </w:rPr>
        <w:t>招标人/招标代理机构将通过“信用中国”网站（www.creditchina.gov.cn）、“中国政府采购网”网站（www.ccgp.gov.cn）等渠道查询潜在投标人在招标公告发布之日前的信用记录并保存信用记录结果网页截图，拒绝列入失信被执行人名单、重大税收违法案件当事人名单、政府采购严重违法失信行为记录名单中的潜在投标人报名参加本项目的招标采购活动（以联合体形式参加本项目招标采购活动，联合体成员存在不良信用记录的，视同联合体存在不良信用记录）。</w:t>
      </w:r>
    </w:p>
    <w:bookmarkEnd w:id="10"/>
    <w:p>
      <w:pPr>
        <w:spacing w:after="50" w:line="420" w:lineRule="exact"/>
        <w:ind w:firstLine="482" w:firstLineChars="200"/>
        <w:rPr>
          <w:rFonts w:ascii="宋体"/>
          <w:b/>
          <w:sz w:val="24"/>
        </w:rPr>
      </w:pPr>
      <w:r>
        <w:rPr>
          <w:rFonts w:hint="eastAsia" w:ascii="宋体"/>
          <w:b/>
          <w:sz w:val="24"/>
        </w:rPr>
        <w:t>七、招标文件获取时间、地点：</w:t>
      </w:r>
    </w:p>
    <w:p>
      <w:pPr>
        <w:spacing w:after="50" w:line="420" w:lineRule="exact"/>
        <w:ind w:firstLine="480" w:firstLineChars="200"/>
        <w:rPr>
          <w:rFonts w:ascii="宋体"/>
          <w:sz w:val="24"/>
        </w:rPr>
      </w:pPr>
      <w:r>
        <w:rPr>
          <w:rFonts w:hint="eastAsia" w:ascii="宋体"/>
          <w:sz w:val="24"/>
        </w:rPr>
        <w:t>招标文件自2020年</w:t>
      </w:r>
      <w:r>
        <w:rPr>
          <w:rFonts w:ascii="宋体"/>
          <w:sz w:val="24"/>
        </w:rPr>
        <w:t>XX</w:t>
      </w:r>
      <w:r>
        <w:rPr>
          <w:rFonts w:hint="eastAsia" w:ascii="宋体"/>
          <w:sz w:val="24"/>
        </w:rPr>
        <w:t>月</w:t>
      </w:r>
      <w:r>
        <w:rPr>
          <w:rFonts w:ascii="宋体"/>
          <w:sz w:val="24"/>
        </w:rPr>
        <w:t>XX</w:t>
      </w:r>
      <w:r>
        <w:rPr>
          <w:rFonts w:hint="eastAsia" w:ascii="宋体"/>
          <w:sz w:val="24"/>
        </w:rPr>
        <w:t>日至2020年</w:t>
      </w:r>
      <w:r>
        <w:rPr>
          <w:rFonts w:ascii="宋体"/>
          <w:sz w:val="24"/>
        </w:rPr>
        <w:t>XX</w:t>
      </w:r>
      <w:r>
        <w:rPr>
          <w:rFonts w:hint="eastAsia" w:ascii="宋体"/>
          <w:sz w:val="24"/>
        </w:rPr>
        <w:t>月</w:t>
      </w:r>
      <w:r>
        <w:rPr>
          <w:rFonts w:ascii="宋体"/>
          <w:sz w:val="24"/>
        </w:rPr>
        <w:t>XX</w:t>
      </w:r>
      <w:r>
        <w:rPr>
          <w:rFonts w:hint="eastAsia" w:ascii="宋体"/>
          <w:sz w:val="24"/>
        </w:rPr>
        <w:t>日每天上午9:00-12:00，下午13:00-17:00（北京时间，法定节假日除外）在我司指定网站(http://sale.scbid.net)购买，具体购买流程详见该网站的“在线购买流程”。招标文件售后不退，投标资格不能转让。</w:t>
      </w:r>
    </w:p>
    <w:p>
      <w:pPr>
        <w:spacing w:after="120" w:afterLines="50" w:line="420" w:lineRule="exact"/>
        <w:ind w:firstLine="482" w:firstLineChars="200"/>
        <w:rPr>
          <w:rFonts w:ascii="宋体"/>
          <w:b/>
          <w:sz w:val="24"/>
        </w:rPr>
      </w:pPr>
      <w:r>
        <w:rPr>
          <w:rFonts w:hint="eastAsia" w:ascii="宋体"/>
          <w:b/>
          <w:sz w:val="24"/>
          <w:szCs w:val="28"/>
        </w:rPr>
        <w:t>八、</w:t>
      </w:r>
      <w:r>
        <w:rPr>
          <w:rFonts w:hint="eastAsia" w:ascii="宋体"/>
          <w:b/>
          <w:sz w:val="24"/>
        </w:rPr>
        <w:t>投标截止时间和开标时间：</w:t>
      </w:r>
      <w:bookmarkStart w:id="11" w:name="PO_开标时间_1"/>
      <w:bookmarkEnd w:id="11"/>
      <w:r>
        <w:rPr>
          <w:rFonts w:hint="eastAsia" w:ascii="宋体"/>
          <w:b/>
          <w:sz w:val="24"/>
        </w:rPr>
        <w:t>2020年</w:t>
      </w:r>
      <w:r>
        <w:rPr>
          <w:rFonts w:ascii="宋体"/>
          <w:b/>
          <w:sz w:val="24"/>
        </w:rPr>
        <w:t>XX</w:t>
      </w:r>
      <w:r>
        <w:rPr>
          <w:rFonts w:hint="eastAsia" w:ascii="宋体"/>
          <w:b/>
          <w:sz w:val="24"/>
        </w:rPr>
        <w:t>月</w:t>
      </w:r>
      <w:r>
        <w:rPr>
          <w:rFonts w:ascii="宋体"/>
          <w:b/>
          <w:sz w:val="24"/>
        </w:rPr>
        <w:t>XX</w:t>
      </w:r>
      <w:r>
        <w:rPr>
          <w:rFonts w:hint="eastAsia" w:ascii="宋体"/>
          <w:b/>
          <w:sz w:val="24"/>
        </w:rPr>
        <w:t>日11: 30</w:t>
      </w:r>
      <w:r>
        <w:rPr>
          <w:rFonts w:hint="eastAsia" w:ascii="宋体"/>
          <w:sz w:val="24"/>
          <w:szCs w:val="28"/>
        </w:rPr>
        <w:t>（北京时间）。</w:t>
      </w:r>
    </w:p>
    <w:p>
      <w:pPr>
        <w:pStyle w:val="17"/>
        <w:spacing w:after="120" w:afterLines="50" w:line="420" w:lineRule="exact"/>
        <w:ind w:firstLine="480"/>
        <w:rPr>
          <w:sz w:val="24"/>
          <w:szCs w:val="28"/>
        </w:rPr>
      </w:pPr>
      <w:bookmarkStart w:id="12" w:name="PO_默认文件内容_12"/>
      <w:r>
        <w:rPr>
          <w:rFonts w:hint="eastAsia"/>
          <w:sz w:val="24"/>
          <w:szCs w:val="28"/>
        </w:rPr>
        <w:t>投标文件必须在投标截止时间前送达开标地点。逾期送达或没有密封的投标文件不予接收。本次招标不接受邮寄的投标文件。</w:t>
      </w:r>
      <w:bookmarkEnd w:id="12"/>
      <w:r>
        <w:rPr>
          <w:rFonts w:hint="eastAsia" w:ascii="宋体"/>
          <w:b/>
          <w:bCs/>
          <w:sz w:val="24"/>
        </w:rPr>
        <w:t>（文件接收时间：</w:t>
      </w:r>
      <w:bookmarkStart w:id="13" w:name="PO_投标文件递交开始时间_1"/>
      <w:bookmarkEnd w:id="13"/>
      <w:r>
        <w:rPr>
          <w:rFonts w:hint="eastAsia" w:ascii="宋体"/>
          <w:b/>
          <w:sz w:val="24"/>
        </w:rPr>
        <w:t>2020年</w:t>
      </w:r>
      <w:r>
        <w:rPr>
          <w:rFonts w:ascii="宋体"/>
          <w:b/>
          <w:sz w:val="24"/>
        </w:rPr>
        <w:t>XX</w:t>
      </w:r>
      <w:r>
        <w:rPr>
          <w:rFonts w:hint="eastAsia" w:ascii="宋体"/>
          <w:b/>
          <w:sz w:val="24"/>
        </w:rPr>
        <w:t>月</w:t>
      </w:r>
      <w:r>
        <w:rPr>
          <w:rFonts w:ascii="宋体"/>
          <w:b/>
          <w:sz w:val="24"/>
        </w:rPr>
        <w:t>XX</w:t>
      </w:r>
      <w:r>
        <w:rPr>
          <w:rFonts w:hint="eastAsia" w:ascii="宋体"/>
          <w:b/>
          <w:sz w:val="24"/>
        </w:rPr>
        <w:t>日10: 30</w:t>
      </w:r>
      <w:r>
        <w:rPr>
          <w:rFonts w:hint="eastAsia" w:ascii="宋体"/>
          <w:b/>
          <w:bCs/>
          <w:sz w:val="24"/>
        </w:rPr>
        <w:t>-</w:t>
      </w:r>
      <w:bookmarkStart w:id="14" w:name="PO_投标文件递交截止时间_1"/>
      <w:bookmarkEnd w:id="14"/>
      <w:r>
        <w:rPr>
          <w:rFonts w:hint="eastAsia" w:ascii="宋体"/>
          <w:b/>
          <w:sz w:val="24"/>
        </w:rPr>
        <w:t>2020年</w:t>
      </w:r>
      <w:r>
        <w:rPr>
          <w:rFonts w:ascii="宋体"/>
          <w:b/>
          <w:sz w:val="24"/>
        </w:rPr>
        <w:t>XX</w:t>
      </w:r>
      <w:r>
        <w:rPr>
          <w:rFonts w:hint="eastAsia" w:ascii="宋体"/>
          <w:b/>
          <w:sz w:val="24"/>
        </w:rPr>
        <w:t>月</w:t>
      </w:r>
      <w:r>
        <w:rPr>
          <w:rFonts w:ascii="宋体"/>
          <w:b/>
          <w:sz w:val="24"/>
        </w:rPr>
        <w:t>XX</w:t>
      </w:r>
      <w:r>
        <w:rPr>
          <w:rFonts w:hint="eastAsia" w:ascii="宋体"/>
          <w:b/>
          <w:sz w:val="24"/>
        </w:rPr>
        <w:t>日11: 30</w:t>
      </w:r>
      <w:r>
        <w:rPr>
          <w:rFonts w:hint="eastAsia" w:ascii="宋体"/>
          <w:b/>
          <w:bCs/>
          <w:sz w:val="24"/>
        </w:rPr>
        <w:t>）</w:t>
      </w:r>
    </w:p>
    <w:p>
      <w:pPr>
        <w:spacing w:after="50" w:line="420" w:lineRule="exact"/>
        <w:ind w:firstLine="489" w:firstLineChars="203"/>
        <w:rPr>
          <w:rFonts w:ascii="宋体"/>
          <w:sz w:val="24"/>
          <w:szCs w:val="28"/>
        </w:rPr>
      </w:pPr>
      <w:r>
        <w:rPr>
          <w:rFonts w:hint="eastAsia" w:ascii="宋体"/>
          <w:b/>
          <w:sz w:val="24"/>
          <w:szCs w:val="28"/>
        </w:rPr>
        <w:t>九、</w:t>
      </w:r>
      <w:r>
        <w:rPr>
          <w:rFonts w:hint="eastAsia" w:ascii="宋体"/>
          <w:sz w:val="24"/>
          <w:szCs w:val="28"/>
        </w:rPr>
        <w:t>开标地点：</w:t>
      </w:r>
      <w:r>
        <w:rPr>
          <w:rFonts w:hint="eastAsia" w:hAnsi="宋体"/>
          <w:b/>
          <w:bCs/>
          <w:sz w:val="24"/>
          <w:szCs w:val="28"/>
        </w:rPr>
        <w:t>四川国际招标有限责任公司开标厅（（四川省成都市高新区天府大道中段800号天府四街66号航兴国际广场1号楼</w:t>
      </w:r>
      <w:r>
        <w:rPr>
          <w:rFonts w:hAnsi="宋体"/>
          <w:b/>
          <w:bCs/>
          <w:sz w:val="24"/>
          <w:szCs w:val="28"/>
        </w:rPr>
        <w:t>3</w:t>
      </w:r>
      <w:r>
        <w:rPr>
          <w:rFonts w:hint="eastAsia" w:hAnsi="宋体"/>
          <w:b/>
          <w:bCs/>
          <w:sz w:val="24"/>
          <w:szCs w:val="28"/>
        </w:rPr>
        <w:t>楼）</w:t>
      </w:r>
      <w:r>
        <w:rPr>
          <w:rFonts w:hint="eastAsia" w:hAnsi="宋体"/>
          <w:sz w:val="24"/>
          <w:szCs w:val="28"/>
        </w:rPr>
        <w:t>。</w:t>
      </w:r>
    </w:p>
    <w:p>
      <w:pPr>
        <w:pStyle w:val="70"/>
        <w:spacing w:line="420" w:lineRule="exact"/>
        <w:ind w:firstLine="482"/>
        <w:rPr>
          <w:sz w:val="24"/>
        </w:rPr>
      </w:pPr>
      <w:bookmarkStart w:id="15" w:name="PO_默认文件内容_13"/>
      <w:r>
        <w:rPr>
          <w:rFonts w:hint="eastAsia"/>
          <w:b/>
          <w:sz w:val="24"/>
        </w:rPr>
        <w:t>十、</w:t>
      </w:r>
      <w:r>
        <w:rPr>
          <w:rFonts w:hint="eastAsia"/>
          <w:sz w:val="24"/>
        </w:rPr>
        <w:t>本投标邀请在《中国招标投标公共服务平台》上以公告形式发布。</w:t>
      </w:r>
      <w:bookmarkEnd w:id="15"/>
    </w:p>
    <w:p>
      <w:pPr>
        <w:pStyle w:val="70"/>
        <w:spacing w:line="420" w:lineRule="exact"/>
        <w:ind w:firstLine="482"/>
        <w:rPr>
          <w:b/>
          <w:sz w:val="24"/>
        </w:rPr>
      </w:pPr>
      <w:r>
        <w:rPr>
          <w:rFonts w:hint="eastAsia"/>
          <w:b/>
          <w:sz w:val="24"/>
        </w:rPr>
        <w:t>十一、联系方式</w:t>
      </w:r>
    </w:p>
    <w:p>
      <w:pPr>
        <w:pStyle w:val="70"/>
        <w:spacing w:line="420" w:lineRule="exact"/>
        <w:ind w:firstLine="1260" w:firstLineChars="525"/>
        <w:rPr>
          <w:rFonts w:ascii="宋体"/>
          <w:b/>
          <w:bCs/>
          <w:sz w:val="24"/>
        </w:rPr>
      </w:pPr>
      <w:r>
        <w:rPr>
          <w:rFonts w:hint="eastAsia"/>
          <w:bCs/>
          <w:sz w:val="24"/>
        </w:rPr>
        <w:t>招标人</w:t>
      </w:r>
      <w:r>
        <w:rPr>
          <w:rFonts w:hint="eastAsia"/>
          <w:b/>
          <w:sz w:val="24"/>
        </w:rPr>
        <w:t>：</w:t>
      </w:r>
      <w:r>
        <w:rPr>
          <w:rFonts w:hint="eastAsia" w:ascii="宋体"/>
          <w:sz w:val="24"/>
        </w:rPr>
        <w:t>金堂县第一人民医院</w:t>
      </w:r>
    </w:p>
    <w:p>
      <w:pPr>
        <w:pStyle w:val="70"/>
        <w:spacing w:line="420" w:lineRule="exact"/>
        <w:ind w:firstLine="1260" w:firstLineChars="525"/>
        <w:rPr>
          <w:rFonts w:ascii="宋体"/>
          <w:bCs/>
          <w:sz w:val="24"/>
        </w:rPr>
      </w:pPr>
      <w:r>
        <w:rPr>
          <w:rFonts w:hint="eastAsia" w:ascii="宋体"/>
          <w:bCs/>
          <w:sz w:val="24"/>
        </w:rPr>
        <w:t>地  址：成都市金堂县广金路886号</w:t>
      </w:r>
    </w:p>
    <w:p>
      <w:pPr>
        <w:pStyle w:val="70"/>
        <w:spacing w:line="420" w:lineRule="exact"/>
        <w:ind w:firstLine="1260" w:firstLineChars="525"/>
        <w:rPr>
          <w:rFonts w:ascii="宋体"/>
          <w:bCs/>
          <w:sz w:val="24"/>
        </w:rPr>
      </w:pPr>
      <w:r>
        <w:rPr>
          <w:rFonts w:hint="eastAsia" w:ascii="宋体"/>
          <w:bCs/>
          <w:sz w:val="24"/>
        </w:rPr>
        <w:t>联系人：伍老师</w:t>
      </w:r>
    </w:p>
    <w:p>
      <w:pPr>
        <w:pStyle w:val="70"/>
        <w:spacing w:line="420" w:lineRule="exact"/>
        <w:ind w:firstLine="1260" w:firstLineChars="525"/>
        <w:rPr>
          <w:rFonts w:ascii="宋体"/>
          <w:bCs/>
          <w:sz w:val="24"/>
        </w:rPr>
      </w:pPr>
      <w:r>
        <w:rPr>
          <w:rFonts w:hint="eastAsia" w:ascii="宋体"/>
          <w:bCs/>
          <w:sz w:val="24"/>
        </w:rPr>
        <w:t>电 话：13408479576</w:t>
      </w:r>
    </w:p>
    <w:p>
      <w:pPr>
        <w:pStyle w:val="70"/>
        <w:spacing w:line="420" w:lineRule="exact"/>
        <w:ind w:firstLine="1260" w:firstLineChars="525"/>
        <w:rPr>
          <w:b/>
          <w:sz w:val="24"/>
        </w:rPr>
      </w:pPr>
      <w:r>
        <w:rPr>
          <w:rFonts w:hint="eastAsia"/>
          <w:bCs/>
          <w:sz w:val="24"/>
        </w:rPr>
        <w:t>招标代理机构：</w:t>
      </w:r>
      <w:bookmarkStart w:id="16" w:name="PO_代理公司_2"/>
      <w:r>
        <w:rPr>
          <w:rFonts w:hint="eastAsia" w:hAnsi="宋体"/>
          <w:sz w:val="24"/>
        </w:rPr>
        <w:t>四川国际招标有限责任公司</w:t>
      </w:r>
      <w:bookmarkEnd w:id="16"/>
    </w:p>
    <w:p>
      <w:pPr>
        <w:pStyle w:val="70"/>
        <w:spacing w:line="420" w:lineRule="exact"/>
        <w:ind w:firstLine="1260" w:firstLineChars="525"/>
        <w:rPr>
          <w:sz w:val="24"/>
        </w:rPr>
      </w:pPr>
      <w:r>
        <w:rPr>
          <w:rFonts w:hint="eastAsia"/>
          <w:sz w:val="24"/>
        </w:rPr>
        <w:t>地址：</w:t>
      </w:r>
      <w:bookmarkStart w:id="17" w:name="PO_代理公司地址_1"/>
      <w:r>
        <w:rPr>
          <w:rFonts w:hint="eastAsia"/>
          <w:sz w:val="24"/>
        </w:rPr>
        <w:t>四川省成都市高新区天府大道中段800号天府四街66号航兴国际广场1号楼17楼</w:t>
      </w:r>
    </w:p>
    <w:bookmarkEnd w:id="17"/>
    <w:p>
      <w:pPr>
        <w:pStyle w:val="70"/>
        <w:spacing w:line="420" w:lineRule="exact"/>
        <w:ind w:firstLine="1260" w:firstLineChars="525"/>
        <w:rPr>
          <w:sz w:val="24"/>
        </w:rPr>
      </w:pPr>
      <w:r>
        <w:rPr>
          <w:rFonts w:hint="eastAsia"/>
          <w:sz w:val="24"/>
        </w:rPr>
        <w:t>邮编：</w:t>
      </w:r>
      <w:bookmarkStart w:id="18" w:name="PO_代理公司邮编_1"/>
      <w:r>
        <w:rPr>
          <w:rFonts w:hAnsi="宋体"/>
          <w:sz w:val="24"/>
        </w:rPr>
        <w:t>610000</w:t>
      </w:r>
      <w:bookmarkEnd w:id="18"/>
    </w:p>
    <w:p>
      <w:pPr>
        <w:pStyle w:val="70"/>
        <w:spacing w:line="420" w:lineRule="exact"/>
        <w:ind w:firstLine="1260" w:firstLineChars="525"/>
        <w:rPr>
          <w:sz w:val="24"/>
        </w:rPr>
      </w:pPr>
      <w:r>
        <w:rPr>
          <w:rFonts w:hint="eastAsia"/>
          <w:sz w:val="24"/>
        </w:rPr>
        <w:t>联系人：</w:t>
      </w:r>
      <w:r>
        <w:rPr>
          <w:rFonts w:hint="eastAsia" w:hAnsi="宋体"/>
          <w:sz w:val="24"/>
        </w:rPr>
        <w:t>王女士、</w:t>
      </w:r>
      <w:r>
        <w:rPr>
          <w:rFonts w:hAnsi="宋体"/>
          <w:sz w:val="24"/>
        </w:rPr>
        <w:t>熊女士</w:t>
      </w:r>
    </w:p>
    <w:p>
      <w:pPr>
        <w:pStyle w:val="70"/>
        <w:spacing w:line="420" w:lineRule="exact"/>
        <w:ind w:firstLine="1260" w:firstLineChars="525"/>
        <w:rPr>
          <w:rFonts w:hAnsi="宋体"/>
          <w:sz w:val="24"/>
        </w:rPr>
      </w:pPr>
      <w:r>
        <w:rPr>
          <w:rFonts w:hint="eastAsia"/>
          <w:sz w:val="24"/>
        </w:rPr>
        <w:t>联系电话：</w:t>
      </w:r>
      <w:r>
        <w:rPr>
          <w:rFonts w:hAnsi="宋体"/>
          <w:sz w:val="24"/>
        </w:rPr>
        <w:t>13111881827</w:t>
      </w:r>
      <w:r>
        <w:rPr>
          <w:rFonts w:hint="eastAsia" w:hAnsi="宋体"/>
          <w:sz w:val="24"/>
        </w:rPr>
        <w:t>、13111881728</w:t>
      </w:r>
    </w:p>
    <w:p>
      <w:pPr>
        <w:pStyle w:val="70"/>
        <w:spacing w:line="420" w:lineRule="exact"/>
        <w:ind w:firstLine="1260" w:firstLineChars="525"/>
      </w:pPr>
      <w:r>
        <w:rPr>
          <w:rFonts w:hint="eastAsia"/>
          <w:sz w:val="24"/>
        </w:rPr>
        <w:t>传真：</w:t>
      </w:r>
      <w:bookmarkStart w:id="19" w:name="PO_代理公司传真_1"/>
      <w:r>
        <w:rPr>
          <w:rFonts w:hAnsi="宋体"/>
          <w:sz w:val="24"/>
        </w:rPr>
        <w:t>028-87793161</w:t>
      </w:r>
      <w:bookmarkEnd w:id="19"/>
      <w:r>
        <w:tab/>
      </w:r>
    </w:p>
    <w:p>
      <w:pPr>
        <w:pStyle w:val="35"/>
        <w:spacing w:after="50" w:afterAutospacing="0" w:line="420" w:lineRule="exact"/>
        <w:rPr>
          <w:sz w:val="36"/>
          <w:szCs w:val="36"/>
        </w:rPr>
        <w:sectPr>
          <w:pgSz w:w="11907" w:h="16840"/>
          <w:pgMar w:top="1440" w:right="1474" w:bottom="1440" w:left="1474" w:header="851" w:footer="992" w:gutter="0"/>
          <w:cols w:space="720" w:num="1"/>
          <w:docGrid w:linePitch="312" w:charSpace="0"/>
        </w:sectPr>
      </w:pPr>
      <w:bookmarkStart w:id="20" w:name="_Toc12497"/>
      <w:bookmarkStart w:id="21" w:name="_Toc213397009"/>
      <w:bookmarkStart w:id="22" w:name="_Toc213496267"/>
      <w:bookmarkStart w:id="23" w:name="_Toc213396945"/>
      <w:bookmarkStart w:id="24" w:name="_Toc213396759"/>
      <w:bookmarkStart w:id="25" w:name="_Toc217446031"/>
    </w:p>
    <w:p>
      <w:pPr>
        <w:pStyle w:val="2"/>
        <w:spacing w:line="240" w:lineRule="atLeast"/>
        <w:jc w:val="center"/>
        <w:rPr>
          <w:rFonts w:ascii="华文中宋" w:hAnsi="华文中宋" w:eastAsia="华文中宋"/>
          <w:sz w:val="36"/>
          <w:szCs w:val="36"/>
        </w:rPr>
      </w:pPr>
      <w:bookmarkStart w:id="26" w:name="_Toc513065347"/>
      <w:r>
        <w:rPr>
          <w:rFonts w:hint="eastAsia" w:ascii="华文中宋" w:hAnsi="华文中宋" w:eastAsia="华文中宋"/>
          <w:sz w:val="36"/>
          <w:szCs w:val="36"/>
        </w:rPr>
        <w:t>第二章  投标人须知</w:t>
      </w:r>
      <w:bookmarkEnd w:id="20"/>
      <w:bookmarkEnd w:id="26"/>
    </w:p>
    <w:p>
      <w:pPr>
        <w:pStyle w:val="3"/>
        <w:spacing w:line="240" w:lineRule="atLeast"/>
        <w:jc w:val="center"/>
      </w:pPr>
      <w:r>
        <w:rPr>
          <w:rFonts w:hint="eastAsia"/>
        </w:rPr>
        <w:t>一、投标人须知附表</w:t>
      </w:r>
    </w:p>
    <w:bookmarkEnd w:id="21"/>
    <w:bookmarkEnd w:id="22"/>
    <w:bookmarkEnd w:id="23"/>
    <w:bookmarkEnd w:id="24"/>
    <w:bookmarkEnd w:id="25"/>
    <w:tbl>
      <w:tblPr>
        <w:tblStyle w:val="39"/>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pPr>
              <w:pStyle w:val="69"/>
              <w:ind w:left="9"/>
              <w:jc w:val="center"/>
              <w:rPr>
                <w:rFonts w:cs="Times New Roman" w:asciiTheme="minorEastAsia" w:hAnsiTheme="minorEastAsia" w:eastAsiaTheme="minorEastAsia"/>
                <w:b/>
                <w:kern w:val="2"/>
                <w:sz w:val="21"/>
                <w:szCs w:val="21"/>
              </w:rPr>
            </w:pPr>
            <w:r>
              <w:rPr>
                <w:rFonts w:hint="eastAsia" w:cs="Times New Roman" w:asciiTheme="minorEastAsia" w:hAnsiTheme="minorEastAsia" w:eastAsiaTheme="minorEastAsia"/>
                <w:b/>
                <w:kern w:val="2"/>
                <w:sz w:val="21"/>
                <w:szCs w:val="21"/>
              </w:rPr>
              <w:t>序号</w:t>
            </w:r>
          </w:p>
        </w:tc>
        <w:tc>
          <w:tcPr>
            <w:tcW w:w="2552" w:type="dxa"/>
            <w:vAlign w:val="center"/>
          </w:tcPr>
          <w:p>
            <w:pPr>
              <w:pStyle w:val="69"/>
              <w:ind w:left="38"/>
              <w:jc w:val="center"/>
              <w:rPr>
                <w:rFonts w:cs="Times New Roman" w:asciiTheme="minorEastAsia" w:hAnsiTheme="minorEastAsia" w:eastAsiaTheme="minorEastAsia"/>
                <w:b/>
                <w:kern w:val="2"/>
                <w:sz w:val="21"/>
                <w:szCs w:val="21"/>
              </w:rPr>
            </w:pPr>
            <w:r>
              <w:rPr>
                <w:rFonts w:hint="eastAsia" w:cs="Times New Roman" w:asciiTheme="minorEastAsia" w:hAnsiTheme="minorEastAsia" w:eastAsiaTheme="minorEastAsia"/>
                <w:b/>
                <w:kern w:val="2"/>
                <w:sz w:val="21"/>
                <w:szCs w:val="21"/>
              </w:rPr>
              <w:t>条款名称</w:t>
            </w:r>
          </w:p>
        </w:tc>
        <w:tc>
          <w:tcPr>
            <w:tcW w:w="6111" w:type="dxa"/>
            <w:vAlign w:val="center"/>
          </w:tcPr>
          <w:p>
            <w:pPr>
              <w:pStyle w:val="69"/>
              <w:jc w:val="center"/>
              <w:rPr>
                <w:rFonts w:cs="Times New Roman" w:asciiTheme="minorEastAsia" w:hAnsiTheme="minorEastAsia" w:eastAsiaTheme="minorEastAsia"/>
                <w:b/>
                <w:kern w:val="2"/>
                <w:sz w:val="21"/>
                <w:szCs w:val="21"/>
              </w:rPr>
            </w:pPr>
            <w:r>
              <w:rPr>
                <w:rFonts w:hint="eastAsia" w:cs="Times New Roman" w:asciiTheme="minorEastAsia" w:hAnsiTheme="minorEastAsia" w:eastAsiaTheme="minorEastAsia"/>
                <w:b/>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69"/>
              <w:ind w:right="230"/>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1</w:t>
            </w:r>
          </w:p>
        </w:tc>
        <w:tc>
          <w:tcPr>
            <w:tcW w:w="2552" w:type="dxa"/>
            <w:tcBorders>
              <w:bottom w:val="single" w:color="auto" w:sz="4" w:space="0"/>
            </w:tcBorders>
            <w:vAlign w:val="center"/>
          </w:tcPr>
          <w:p>
            <w:pPr>
              <w:pStyle w:val="69"/>
              <w:ind w:left="38"/>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招标采购预算</w:t>
            </w:r>
          </w:p>
          <w:p>
            <w:pPr>
              <w:pStyle w:val="69"/>
              <w:ind w:left="38"/>
              <w:jc w:val="center"/>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（实质性要求）</w:t>
            </w:r>
          </w:p>
        </w:tc>
        <w:tc>
          <w:tcPr>
            <w:tcW w:w="6111" w:type="dxa"/>
            <w:tcBorders>
              <w:bottom w:val="single" w:color="auto" w:sz="4" w:space="0"/>
            </w:tcBorders>
          </w:tcPr>
          <w:p>
            <w:pPr>
              <w:pStyle w:val="69"/>
              <w:jc w:val="both"/>
              <w:rPr>
                <w:rFonts w:cs="Times New Roman" w:asciiTheme="minorEastAsia" w:hAnsiTheme="minorEastAsia" w:eastAsiaTheme="minorEastAsia"/>
                <w:kern w:val="2"/>
                <w:sz w:val="21"/>
                <w:szCs w:val="21"/>
              </w:rPr>
            </w:pPr>
            <w:r>
              <w:rPr>
                <w:rFonts w:hint="eastAsia"/>
                <w:color w:val="000000" w:themeColor="text1"/>
                <w:szCs w:val="21"/>
                <w14:textFill>
                  <w14:solidFill>
                    <w14:schemeClr w14:val="tx1"/>
                  </w14:solidFill>
                </w14:textFill>
              </w:rPr>
              <w:t>001包采购</w:t>
            </w:r>
            <w:r>
              <w:rPr>
                <w:rFonts w:hint="eastAsia"/>
                <w:color w:val="000000" w:themeColor="text1"/>
                <w:sz w:val="21"/>
                <w:szCs w:val="21"/>
                <w14:textFill>
                  <w14:solidFill>
                    <w14:schemeClr w14:val="tx1"/>
                  </w14:solidFill>
                </w14:textFill>
              </w:rPr>
              <w:t>预算：预算金额不超过30万元每年，根据单价在预算内据实结算。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jc w:val="center"/>
              <w:rPr>
                <w:rFonts w:asciiTheme="minorEastAsia" w:hAnsiTheme="minorEastAsia" w:eastAsiaTheme="minorEastAsia"/>
                <w:szCs w:val="21"/>
              </w:rPr>
            </w:pPr>
          </w:p>
        </w:tc>
        <w:tc>
          <w:tcPr>
            <w:tcW w:w="2552" w:type="dxa"/>
            <w:tcBorders>
              <w:top w:val="single" w:color="auto" w:sz="4" w:space="0"/>
            </w:tcBorders>
            <w:vAlign w:val="center"/>
          </w:tcPr>
          <w:p>
            <w:pPr>
              <w:pStyle w:val="69"/>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价格限定</w:t>
            </w:r>
          </w:p>
          <w:p>
            <w:pPr>
              <w:pStyle w:val="69"/>
              <w:jc w:val="center"/>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（实质性要求）</w:t>
            </w:r>
          </w:p>
        </w:tc>
        <w:tc>
          <w:tcPr>
            <w:tcW w:w="6111" w:type="dxa"/>
            <w:tcBorders>
              <w:top w:val="single" w:color="auto" w:sz="4" w:space="0"/>
            </w:tcBorders>
          </w:tcPr>
          <w:p>
            <w:pPr>
              <w:widowControl/>
              <w:rPr>
                <w:rFonts w:ascii="宋体"/>
                <w:kern w:val="0"/>
                <w:szCs w:val="21"/>
              </w:rPr>
            </w:pPr>
            <w:bookmarkStart w:id="27" w:name="PO_限价分包信息_1"/>
            <w:r>
              <w:rPr>
                <w:rFonts w:hint="eastAsia" w:ascii="宋体"/>
                <w:kern w:val="0"/>
                <w:szCs w:val="21"/>
              </w:rPr>
              <w:t>001包最高限价：本项目</w:t>
            </w:r>
            <w:r>
              <w:rPr>
                <w:rFonts w:ascii="宋体"/>
                <w:kern w:val="0"/>
                <w:szCs w:val="21"/>
              </w:rPr>
              <w:t>报价为统一折扣率，最高限价为</w:t>
            </w:r>
            <w:r>
              <w:rPr>
                <w:rFonts w:hint="eastAsia" w:ascii="宋体"/>
                <w:kern w:val="0"/>
                <w:szCs w:val="21"/>
              </w:rPr>
              <w:t xml:space="preserve">100% </w:t>
            </w:r>
            <w:bookmarkEnd w:id="27"/>
          </w:p>
          <w:p>
            <w:pPr>
              <w:widowControl/>
              <w:rPr>
                <w:rFonts w:ascii="宋体"/>
                <w:kern w:val="0"/>
                <w:szCs w:val="21"/>
              </w:rPr>
            </w:pPr>
            <w:r>
              <w:rPr>
                <w:rFonts w:ascii="宋体"/>
                <w:kern w:val="0"/>
                <w:szCs w:val="21"/>
              </w:rPr>
              <w:t>001</w:t>
            </w:r>
            <w:r>
              <w:rPr>
                <w:rFonts w:hint="eastAsia" w:ascii="宋体"/>
                <w:kern w:val="0"/>
                <w:szCs w:val="21"/>
              </w:rPr>
              <w:t>包</w:t>
            </w:r>
            <w:r>
              <w:rPr>
                <w:rFonts w:ascii="宋体"/>
                <w:kern w:val="0"/>
                <w:szCs w:val="21"/>
              </w:rPr>
              <w:t>单价最高限价：详见</w:t>
            </w:r>
            <w:r>
              <w:rPr>
                <w:rFonts w:hint="eastAsia" w:ascii="宋体"/>
                <w:kern w:val="0"/>
                <w:szCs w:val="21"/>
              </w:rPr>
              <w:t>第六章技术</w:t>
            </w:r>
            <w:r>
              <w:rPr>
                <w:rFonts w:ascii="宋体"/>
                <w:kern w:val="0"/>
                <w:szCs w:val="21"/>
              </w:rPr>
              <w:t>参数要求</w:t>
            </w:r>
          </w:p>
          <w:p>
            <w:pPr>
              <w:pStyle w:val="69"/>
              <w:jc w:val="both"/>
              <w:rPr>
                <w:rFonts w:asciiTheme="minorEastAsia" w:hAnsiTheme="minorEastAsia" w:eastAsiaTheme="minorEastAsia"/>
                <w:sz w:val="21"/>
                <w:szCs w:val="21"/>
              </w:rPr>
            </w:pPr>
            <w:bookmarkStart w:id="28" w:name="PO_默认文件内容_27"/>
            <w:r>
              <w:rPr>
                <w:rFonts w:hint="eastAsia" w:hAnsi="Calibri" w:cs="Times New Roman"/>
                <w:sz w:val="21"/>
                <w:szCs w:val="21"/>
              </w:rPr>
              <w:t>投标报价超过最高限价或</w:t>
            </w:r>
            <w:r>
              <w:rPr>
                <w:rFonts w:hAnsi="Calibri" w:cs="Times New Roman"/>
                <w:sz w:val="21"/>
                <w:szCs w:val="21"/>
              </w:rPr>
              <w:t>单价最高限价</w:t>
            </w:r>
            <w:r>
              <w:rPr>
                <w:rFonts w:hint="eastAsia" w:hAnsi="Calibri" w:cs="Times New Roman"/>
                <w:sz w:val="21"/>
                <w:szCs w:val="21"/>
              </w:rPr>
              <w:t>的，按无效投标处理。</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9"/>
              <w:ind w:right="230"/>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2</w:t>
            </w:r>
          </w:p>
        </w:tc>
        <w:tc>
          <w:tcPr>
            <w:tcW w:w="2552" w:type="dxa"/>
            <w:vAlign w:val="center"/>
          </w:tcPr>
          <w:p>
            <w:pPr>
              <w:spacing w:line="340" w:lineRule="exact"/>
              <w:ind w:left="105" w:leftChars="50" w:right="105" w:rightChars="50"/>
              <w:jc w:val="center"/>
              <w:rPr>
                <w:rFonts w:asciiTheme="minorEastAsia" w:hAnsiTheme="minorEastAsia" w:eastAsiaTheme="minorEastAsia"/>
                <w:szCs w:val="21"/>
              </w:rPr>
            </w:pPr>
            <w:r>
              <w:rPr>
                <w:rFonts w:hint="eastAsia" w:asciiTheme="minorEastAsia" w:hAnsiTheme="minorEastAsia" w:eastAsiaTheme="minorEastAsia"/>
                <w:kern w:val="0"/>
                <w:szCs w:val="21"/>
              </w:rPr>
              <w:t>投标人不得以低于成本的报价竞标（实质性要求）</w:t>
            </w:r>
          </w:p>
        </w:tc>
        <w:tc>
          <w:tcPr>
            <w:tcW w:w="6111" w:type="dxa"/>
            <w:vAlign w:val="center"/>
          </w:tcPr>
          <w:p>
            <w:pPr>
              <w:pStyle w:val="69"/>
              <w:jc w:val="both"/>
              <w:rPr>
                <w:rFonts w:asciiTheme="minorEastAsia" w:hAnsiTheme="minorEastAsia" w:eastAsiaTheme="minorEastAsia"/>
                <w:sz w:val="21"/>
                <w:szCs w:val="21"/>
              </w:rPr>
            </w:pPr>
            <w:bookmarkStart w:id="29" w:name="PO_默认文件内容_1"/>
            <w:r>
              <w:rPr>
                <w:rFonts w:hint="eastAsia" w:asciiTheme="minorEastAsia" w:hAnsiTheme="minorEastAsia" w:eastAsiaTheme="minorEastAsia"/>
                <w:sz w:val="21"/>
                <w:szCs w:val="21"/>
              </w:rPr>
              <w:t>评标委员会认为投标人的报价明显低于其他通过符合性审查投标人的报价，有可能影响服务质量或者不能诚信履约的，应当要求其在评标现场合理的时间内提供书面说明，必要时提交相关证明材料</w:t>
            </w:r>
            <w:bookmarkEnd w:id="29"/>
            <w:r>
              <w:rPr>
                <w:rFonts w:hint="eastAsia" w:asciiTheme="minorEastAsia" w:hAnsiTheme="minorEastAsia" w:eastAsiaTheme="minorEastAsia"/>
                <w:sz w:val="21"/>
                <w:szCs w:val="21"/>
              </w:rPr>
              <w:t>。书面说明应当按照国家财务会计制度的规定要求，逐项就投标人提供的服务的主营业务成本（应根据投标人企业类型予以区别）、税金及附加、销售费用、管理费用、财务费用等成本构成事项详细陈述。</w:t>
            </w:r>
          </w:p>
          <w:p>
            <w:pPr>
              <w:pStyle w:val="69"/>
              <w:rPr>
                <w:rFonts w:asciiTheme="minorEastAsia" w:hAnsiTheme="minorEastAsia" w:eastAsiaTheme="minorEastAsia"/>
                <w:sz w:val="21"/>
                <w:szCs w:val="21"/>
              </w:rPr>
            </w:pPr>
            <w:r>
              <w:rPr>
                <w:rFonts w:hint="eastAsia" w:asciiTheme="minorEastAsia" w:hAnsiTheme="minorEastAsia" w:eastAsiaTheme="minorEastAsia"/>
                <w:sz w:val="21"/>
                <w:szCs w:val="21"/>
              </w:rPr>
              <w:t>投标人书面说明应当签字确认或者加盖公章，否则无效。</w:t>
            </w:r>
          </w:p>
          <w:p>
            <w:pPr>
              <w:pStyle w:val="69"/>
              <w:jc w:val="both"/>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投标人提供书面说明后，评审委员会应当结合招标采购项目采购需求、专业实际情况、投标人财务状况报告、与其他投标人比较情况等就投标人书面说明进行审查评价。投标人拒绝或者变相拒绝提供有效书面说明或者书面说明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9"/>
              <w:ind w:right="230"/>
              <w:jc w:val="center"/>
              <w:rPr>
                <w:rFonts w:cs="Courier New" w:asciiTheme="minorEastAsia" w:hAnsiTheme="minorEastAsia" w:eastAsiaTheme="minorEastAsia"/>
                <w:sz w:val="21"/>
                <w:szCs w:val="21"/>
                <w:lang w:val="zh-CN"/>
              </w:rPr>
            </w:pPr>
            <w:r>
              <w:rPr>
                <w:rFonts w:hint="eastAsia" w:cs="Courier New" w:asciiTheme="minorEastAsia" w:hAnsiTheme="minorEastAsia" w:eastAsiaTheme="minorEastAsia"/>
                <w:sz w:val="21"/>
                <w:szCs w:val="21"/>
                <w:lang w:val="zh-CN"/>
              </w:rPr>
              <w:t>3</w:t>
            </w:r>
          </w:p>
        </w:tc>
        <w:tc>
          <w:tcPr>
            <w:tcW w:w="2552" w:type="dxa"/>
            <w:vAlign w:val="center"/>
          </w:tcPr>
          <w:p>
            <w:pPr>
              <w:pStyle w:val="69"/>
              <w:ind w:left="38"/>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资金情况</w:t>
            </w:r>
          </w:p>
        </w:tc>
        <w:tc>
          <w:tcPr>
            <w:tcW w:w="6111" w:type="dxa"/>
            <w:vAlign w:val="center"/>
          </w:tcPr>
          <w:p>
            <w:pPr>
              <w:pStyle w:val="69"/>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已落实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9"/>
              <w:ind w:right="230"/>
              <w:jc w:val="center"/>
              <w:rPr>
                <w:rFonts w:cs="Courier New" w:asciiTheme="minorEastAsia" w:hAnsiTheme="minorEastAsia" w:eastAsiaTheme="minorEastAsia"/>
                <w:sz w:val="21"/>
                <w:szCs w:val="21"/>
                <w:lang w:val="zh-CN"/>
              </w:rPr>
            </w:pPr>
            <w:r>
              <w:rPr>
                <w:rFonts w:hint="eastAsia" w:cs="Courier New" w:asciiTheme="minorEastAsia" w:hAnsiTheme="minorEastAsia" w:eastAsiaTheme="minorEastAsia"/>
                <w:sz w:val="21"/>
                <w:szCs w:val="21"/>
                <w:lang w:val="zh-CN"/>
              </w:rPr>
              <w:t>4</w:t>
            </w:r>
          </w:p>
        </w:tc>
        <w:tc>
          <w:tcPr>
            <w:tcW w:w="2552" w:type="dxa"/>
            <w:vAlign w:val="center"/>
          </w:tcPr>
          <w:p>
            <w:pPr>
              <w:pStyle w:val="69"/>
              <w:ind w:left="38"/>
              <w:jc w:val="cente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联合体</w:t>
            </w:r>
          </w:p>
        </w:tc>
        <w:tc>
          <w:tcPr>
            <w:tcW w:w="6111" w:type="dxa"/>
            <w:vAlign w:val="center"/>
          </w:tcPr>
          <w:p>
            <w:pPr>
              <w:pStyle w:val="69"/>
              <w:jc w:val="both"/>
              <w:rPr>
                <w:rFonts w:asciiTheme="minorEastAsia" w:hAnsiTheme="minorEastAsia" w:eastAsiaTheme="minorEastAsia"/>
                <w:sz w:val="21"/>
                <w:szCs w:val="21"/>
                <w:lang w:val="zh-CN"/>
              </w:rPr>
            </w:pPr>
            <w:bookmarkStart w:id="30" w:name="PO_默认文件内容_17"/>
            <w:r>
              <w:rPr>
                <w:rFonts w:hint="eastAsia" w:asciiTheme="minorEastAsia" w:hAnsiTheme="minorEastAsia" w:eastAsiaTheme="minorEastAsia"/>
                <w:sz w:val="21"/>
                <w:szCs w:val="21"/>
                <w:lang w:val="zh-CN"/>
              </w:rPr>
              <w:t>不允许联合体</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9"/>
              <w:ind w:right="230"/>
              <w:jc w:val="center"/>
              <w:rPr>
                <w:rFonts w:cs="Courier New" w:asciiTheme="minorEastAsia" w:hAnsiTheme="minorEastAsia" w:eastAsiaTheme="minorEastAsia"/>
                <w:sz w:val="21"/>
                <w:szCs w:val="21"/>
                <w:lang w:val="zh-CN"/>
              </w:rPr>
            </w:pPr>
            <w:r>
              <w:rPr>
                <w:rFonts w:hint="eastAsia" w:cs="Courier New" w:asciiTheme="minorEastAsia" w:hAnsiTheme="minorEastAsia" w:eastAsiaTheme="minorEastAsia"/>
                <w:sz w:val="21"/>
                <w:szCs w:val="21"/>
                <w:lang w:val="zh-CN"/>
              </w:rPr>
              <w:t>5</w:t>
            </w:r>
          </w:p>
        </w:tc>
        <w:tc>
          <w:tcPr>
            <w:tcW w:w="2552" w:type="dxa"/>
            <w:vAlign w:val="center"/>
          </w:tcPr>
          <w:p>
            <w:pPr>
              <w:spacing w:line="340" w:lineRule="exact"/>
              <w:ind w:left="105" w:leftChars="50" w:right="105" w:rightChars="5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答疑会和现场踏勘</w:t>
            </w:r>
          </w:p>
        </w:tc>
        <w:tc>
          <w:tcPr>
            <w:tcW w:w="6111" w:type="dxa"/>
          </w:tcPr>
          <w:p>
            <w:pPr>
              <w:spacing w:line="340" w:lineRule="exact"/>
              <w:ind w:right="105" w:rightChars="5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本项目不组织。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9"/>
              <w:ind w:right="230"/>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6</w:t>
            </w:r>
          </w:p>
        </w:tc>
        <w:tc>
          <w:tcPr>
            <w:tcW w:w="2552" w:type="dxa"/>
            <w:vAlign w:val="center"/>
          </w:tcPr>
          <w:p>
            <w:pPr>
              <w:pStyle w:val="69"/>
              <w:ind w:left="96"/>
              <w:jc w:val="cente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投标有效期</w:t>
            </w:r>
          </w:p>
          <w:p>
            <w:pPr>
              <w:pStyle w:val="69"/>
              <w:ind w:left="96"/>
              <w:jc w:val="cente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（实质性要求）</w:t>
            </w:r>
          </w:p>
        </w:tc>
        <w:tc>
          <w:tcPr>
            <w:tcW w:w="6111" w:type="dxa"/>
            <w:vAlign w:val="center"/>
          </w:tcPr>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90天（从提交投标文件的截止之日起算）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9"/>
              <w:ind w:right="230"/>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7</w:t>
            </w:r>
          </w:p>
        </w:tc>
        <w:tc>
          <w:tcPr>
            <w:tcW w:w="2552" w:type="dxa"/>
            <w:vAlign w:val="center"/>
          </w:tcPr>
          <w:p>
            <w:pPr>
              <w:pStyle w:val="69"/>
              <w:ind w:left="96"/>
              <w:jc w:val="center"/>
              <w:rPr>
                <w:rFonts w:asciiTheme="minorEastAsia" w:hAnsiTheme="minorEastAsia" w:eastAsiaTheme="minorEastAsia"/>
                <w:sz w:val="21"/>
                <w:szCs w:val="21"/>
                <w:lang w:val="zh-CN"/>
              </w:rPr>
            </w:pPr>
            <w:r>
              <w:rPr>
                <w:rFonts w:hint="eastAsia" w:cs="Times New Roman" w:asciiTheme="minorEastAsia" w:hAnsiTheme="minorEastAsia" w:eastAsiaTheme="minorEastAsia"/>
                <w:bCs/>
                <w:kern w:val="2"/>
                <w:sz w:val="21"/>
                <w:szCs w:val="21"/>
              </w:rPr>
              <w:t>本项目具体事项/招标文件内容咨询</w:t>
            </w:r>
          </w:p>
        </w:tc>
        <w:tc>
          <w:tcPr>
            <w:tcW w:w="6111" w:type="dxa"/>
            <w:vAlign w:val="center"/>
          </w:tcPr>
          <w:p>
            <w:pPr>
              <w:spacing w:line="340" w:lineRule="exact"/>
              <w:ind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 xml:space="preserve">联 系 人：王女士。 </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rPr>
              <w:t>联系电话：131</w:t>
            </w:r>
            <w:r>
              <w:rPr>
                <w:rFonts w:asciiTheme="minorEastAsia" w:hAnsiTheme="minorEastAsia" w:eastAsiaTheme="minorEastAsia"/>
                <w:sz w:val="21"/>
                <w:szCs w:val="21"/>
              </w:rPr>
              <w:t>11881827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9"/>
              <w:ind w:right="230"/>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8</w:t>
            </w:r>
          </w:p>
        </w:tc>
        <w:tc>
          <w:tcPr>
            <w:tcW w:w="2552" w:type="dxa"/>
            <w:vAlign w:val="center"/>
          </w:tcPr>
          <w:p>
            <w:pPr>
              <w:pStyle w:val="69"/>
              <w:ind w:left="96"/>
              <w:jc w:val="center"/>
              <w:rPr>
                <w:rFonts w:asciiTheme="minorEastAsia" w:hAnsiTheme="minorEastAsia" w:eastAsiaTheme="minorEastAsia"/>
                <w:sz w:val="21"/>
                <w:szCs w:val="21"/>
                <w:lang w:val="zh-CN"/>
              </w:rPr>
            </w:pPr>
            <w:r>
              <w:rPr>
                <w:rFonts w:hint="eastAsia" w:cs="Times New Roman" w:asciiTheme="minorEastAsia" w:hAnsiTheme="minorEastAsia" w:eastAsiaTheme="minorEastAsia"/>
                <w:kern w:val="2"/>
                <w:sz w:val="21"/>
                <w:szCs w:val="21"/>
              </w:rPr>
              <w:t>开标、评标工作咨询</w:t>
            </w:r>
          </w:p>
        </w:tc>
        <w:tc>
          <w:tcPr>
            <w:tcW w:w="6111" w:type="dxa"/>
            <w:vAlign w:val="center"/>
          </w:tcPr>
          <w:p>
            <w:pPr>
              <w:spacing w:line="340" w:lineRule="exact"/>
              <w:ind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 xml:space="preserve">联系人：熊女士。 </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rPr>
              <w:t>联系电话：13111881728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9"/>
              <w:ind w:right="230"/>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9</w:t>
            </w:r>
          </w:p>
        </w:tc>
        <w:tc>
          <w:tcPr>
            <w:tcW w:w="2552" w:type="dxa"/>
            <w:vAlign w:val="center"/>
          </w:tcPr>
          <w:p>
            <w:pPr>
              <w:pStyle w:val="69"/>
              <w:ind w:left="96"/>
              <w:jc w:val="cente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投标保证金</w:t>
            </w:r>
          </w:p>
        </w:tc>
        <w:tc>
          <w:tcPr>
            <w:tcW w:w="6111" w:type="dxa"/>
            <w:vAlign w:val="center"/>
          </w:tcPr>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1、金    额：</w:t>
            </w:r>
            <w:r>
              <w:rPr>
                <w:rFonts w:asciiTheme="minorEastAsia" w:hAnsiTheme="minorEastAsia" w:eastAsiaTheme="minorEastAsia"/>
                <w:sz w:val="21"/>
                <w:szCs w:val="21"/>
                <w:lang w:val="zh-CN"/>
              </w:rPr>
              <w:t>6000</w:t>
            </w:r>
            <w:r>
              <w:rPr>
                <w:rFonts w:hint="eastAsia" w:asciiTheme="minorEastAsia" w:hAnsiTheme="minorEastAsia" w:eastAsiaTheme="minorEastAsia"/>
                <w:sz w:val="21"/>
                <w:szCs w:val="21"/>
                <w:lang w:val="zh-CN"/>
              </w:rPr>
              <w:t>元（陆仟元整），投标人必须以人民币足额缴纳。</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2、交款方式：投标保证金可以以支票、汇票、本票或者金融机构出具的保函等非现金形式提交（包括网银转账，电汇等方式）。</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3、收款单位：四川国际招标有限责任公司</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开 户 行：中国民生银行股份有限公司成都分行营业部</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银行账号：</w:t>
            </w:r>
            <w:r>
              <w:rPr>
                <w:rFonts w:asciiTheme="minorEastAsia" w:hAnsiTheme="minorEastAsia" w:eastAsiaTheme="minorEastAsia"/>
                <w:sz w:val="21"/>
                <w:szCs w:val="21"/>
                <w:lang w:val="zh-CN"/>
              </w:rPr>
              <w:t>XXXX</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4、交款截止时间：2</w:t>
            </w:r>
            <w:r>
              <w:rPr>
                <w:rFonts w:asciiTheme="minorEastAsia" w:hAnsiTheme="minorEastAsia" w:eastAsiaTheme="minorEastAsia"/>
                <w:sz w:val="21"/>
                <w:szCs w:val="21"/>
                <w:lang w:val="zh-CN"/>
              </w:rPr>
              <w:t>020</w:t>
            </w:r>
            <w:r>
              <w:rPr>
                <w:rFonts w:hint="eastAsia" w:asciiTheme="minorEastAsia" w:hAnsiTheme="minorEastAsia" w:eastAsiaTheme="minorEastAsia"/>
                <w:sz w:val="21"/>
                <w:szCs w:val="21"/>
                <w:lang w:val="zh-CN"/>
              </w:rPr>
              <w:t>年</w:t>
            </w:r>
            <w:r>
              <w:rPr>
                <w:rFonts w:asciiTheme="minorEastAsia" w:hAnsiTheme="minorEastAsia" w:eastAsiaTheme="minorEastAsia"/>
                <w:sz w:val="21"/>
                <w:szCs w:val="21"/>
                <w:lang w:val="zh-CN"/>
              </w:rPr>
              <w:t>10</w:t>
            </w:r>
            <w:r>
              <w:rPr>
                <w:rFonts w:hint="eastAsia" w:asciiTheme="minorEastAsia" w:hAnsiTheme="minorEastAsia" w:eastAsiaTheme="minorEastAsia"/>
                <w:sz w:val="21"/>
                <w:szCs w:val="21"/>
                <w:lang w:val="zh-CN"/>
              </w:rPr>
              <w:t>月</w:t>
            </w:r>
            <w:r>
              <w:rPr>
                <w:rFonts w:asciiTheme="minorEastAsia" w:hAnsiTheme="minorEastAsia" w:eastAsiaTheme="minorEastAsia"/>
                <w:sz w:val="21"/>
                <w:szCs w:val="21"/>
                <w:lang w:val="zh-CN"/>
              </w:rPr>
              <w:t>XX</w:t>
            </w:r>
            <w:r>
              <w:rPr>
                <w:rFonts w:hint="eastAsia" w:asciiTheme="minorEastAsia" w:hAnsiTheme="minorEastAsia" w:eastAsiaTheme="minorEastAsia"/>
                <w:sz w:val="21"/>
                <w:szCs w:val="21"/>
                <w:lang w:val="zh-CN"/>
              </w:rPr>
              <w:t>日1</w:t>
            </w:r>
            <w:r>
              <w:rPr>
                <w:rFonts w:asciiTheme="minorEastAsia" w:hAnsiTheme="minorEastAsia" w:eastAsiaTheme="minorEastAsia"/>
                <w:sz w:val="21"/>
                <w:szCs w:val="21"/>
                <w:lang w:val="zh-CN"/>
              </w:rPr>
              <w:t>1</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3</w:t>
            </w:r>
            <w:r>
              <w:rPr>
                <w:rFonts w:hint="eastAsia" w:asciiTheme="minorEastAsia" w:hAnsiTheme="minorEastAsia" w:eastAsiaTheme="minorEastAsia"/>
                <w:sz w:val="21"/>
                <w:szCs w:val="21"/>
                <w:lang w:val="zh-CN"/>
              </w:rPr>
              <w:t>0（投标保证金的交纳以到账时间为准，若以保函方式提交的，须在递交投标文件截止时间前提交保函原件到招标代理机构财务室）。</w:t>
            </w:r>
          </w:p>
          <w:p>
            <w:pPr>
              <w:pStyle w:val="69"/>
              <w:jc w:val="both"/>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5、投标人应将保函复印件或银行转账凭证复印件或电汇凭证复印件或招标代理机构出具的收据复印件或加盖招标代理机构财务专用章的保证金交纳证明材料原件装订在投标文件中。</w:t>
            </w:r>
          </w:p>
          <w:p>
            <w:pPr>
              <w:pStyle w:val="69"/>
              <w:jc w:val="both"/>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6、投标保证金有效期与投标有效期一致。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69"/>
              <w:ind w:right="264"/>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10</w:t>
            </w:r>
          </w:p>
        </w:tc>
        <w:tc>
          <w:tcPr>
            <w:tcW w:w="2552" w:type="dxa"/>
            <w:tcBorders>
              <w:top w:val="single" w:color="auto" w:sz="4" w:space="0"/>
              <w:bottom w:val="single" w:color="auto" w:sz="4" w:space="0"/>
            </w:tcBorders>
            <w:vAlign w:val="center"/>
          </w:tcPr>
          <w:p>
            <w:pPr>
              <w:pStyle w:val="69"/>
              <w:ind w:left="96"/>
              <w:jc w:val="cente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对招标文件提出异议的截止时间和方式</w:t>
            </w:r>
          </w:p>
        </w:tc>
        <w:tc>
          <w:tcPr>
            <w:tcW w:w="6111" w:type="dxa"/>
            <w:tcBorders>
              <w:top w:val="single" w:color="auto" w:sz="4" w:space="0"/>
              <w:bottom w:val="single" w:color="auto" w:sz="4" w:space="0"/>
            </w:tcBorders>
          </w:tcPr>
          <w:p>
            <w:pPr>
              <w:spacing w:line="340" w:lineRule="exact"/>
              <w:ind w:left="96" w:right="105" w:rightChars="5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对招标文件有异议的，须在投标截止时间10日前以书面形式向招标代理机构提出。</w:t>
            </w:r>
          </w:p>
          <w:p>
            <w:pPr>
              <w:spacing w:line="340" w:lineRule="exact"/>
              <w:ind w:left="96" w:right="105" w:rightChars="5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注：潜在投标人提出的异议书不符合以下要求的，将被驳回：</w:t>
            </w:r>
          </w:p>
          <w:p>
            <w:pPr>
              <w:spacing w:line="340" w:lineRule="exact"/>
              <w:ind w:left="96" w:right="105" w:rightChars="5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①异议书必须具有明确的请求和必要的证明材料。</w:t>
            </w:r>
          </w:p>
          <w:p>
            <w:pPr>
              <w:spacing w:line="340" w:lineRule="exact"/>
              <w:ind w:left="96" w:right="105" w:rightChars="5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②异议书须必经法定代表人签字（代理人签字的，需附上法定代表人授权书）并加盖投标人公章（鲜章）。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38" w:type="dxa"/>
            <w:tcBorders>
              <w:top w:val="single" w:color="auto" w:sz="4" w:space="0"/>
              <w:bottom w:val="single" w:color="auto" w:sz="4" w:space="0"/>
            </w:tcBorders>
            <w:vAlign w:val="center"/>
          </w:tcPr>
          <w:p>
            <w:pPr>
              <w:pStyle w:val="69"/>
              <w:ind w:right="264"/>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11</w:t>
            </w:r>
          </w:p>
        </w:tc>
        <w:tc>
          <w:tcPr>
            <w:tcW w:w="2552" w:type="dxa"/>
            <w:tcBorders>
              <w:top w:val="single" w:color="auto" w:sz="4" w:space="0"/>
              <w:bottom w:val="single" w:color="auto" w:sz="4" w:space="0"/>
            </w:tcBorders>
            <w:vAlign w:val="center"/>
          </w:tcPr>
          <w:p>
            <w:pPr>
              <w:pStyle w:val="69"/>
              <w:ind w:left="96"/>
              <w:jc w:val="cente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对评标结果提出异议的截止时间和方式</w:t>
            </w:r>
          </w:p>
        </w:tc>
        <w:tc>
          <w:tcPr>
            <w:tcW w:w="6111" w:type="dxa"/>
            <w:tcBorders>
              <w:top w:val="single" w:color="auto" w:sz="4" w:space="0"/>
              <w:bottom w:val="single" w:color="auto" w:sz="4" w:space="0"/>
            </w:tcBorders>
          </w:tcPr>
          <w:p>
            <w:pPr>
              <w:spacing w:line="340" w:lineRule="exact"/>
              <w:ind w:left="96" w:right="105" w:rightChars="5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对评标结果有异议的，须在中标候选人公示期间以书面形式向招标代理机构提出。</w:t>
            </w:r>
          </w:p>
          <w:p>
            <w:pPr>
              <w:spacing w:line="340" w:lineRule="exact"/>
              <w:ind w:left="96" w:right="105" w:rightChars="5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注：潜在投标人的异议书不符合以下要求的，将被驳回：</w:t>
            </w:r>
          </w:p>
          <w:p>
            <w:pPr>
              <w:spacing w:line="340" w:lineRule="exact"/>
              <w:ind w:left="96" w:right="105" w:rightChars="5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①异议书必须具有明确的请求和必要的证明材料。</w:t>
            </w:r>
          </w:p>
          <w:p>
            <w:pPr>
              <w:spacing w:line="340" w:lineRule="exact"/>
              <w:ind w:left="96" w:right="105" w:rightChars="5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②异议书必须经法定代表人签字（代理人签字的，需附上法定代表人授权书）并加盖投标人公章（鲜章）。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69"/>
              <w:ind w:right="264"/>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12</w:t>
            </w:r>
          </w:p>
        </w:tc>
        <w:tc>
          <w:tcPr>
            <w:tcW w:w="2552" w:type="dxa"/>
            <w:tcBorders>
              <w:top w:val="single" w:color="auto" w:sz="4" w:space="0"/>
              <w:bottom w:val="single" w:color="auto" w:sz="4" w:space="0"/>
            </w:tcBorders>
            <w:vAlign w:val="center"/>
          </w:tcPr>
          <w:p>
            <w:pPr>
              <w:pStyle w:val="69"/>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潜在投标人/投标人</w:t>
            </w:r>
          </w:p>
          <w:p>
            <w:pPr>
              <w:pStyle w:val="69"/>
              <w:jc w:val="center"/>
              <w:rPr>
                <w:rFonts w:cs="Times New Roman" w:asciiTheme="minorEastAsia" w:hAnsiTheme="minorEastAsia" w:eastAsiaTheme="minorEastAsia"/>
                <w:bCs/>
                <w:kern w:val="2"/>
                <w:sz w:val="21"/>
                <w:szCs w:val="21"/>
              </w:rPr>
            </w:pPr>
            <w:r>
              <w:rPr>
                <w:rFonts w:hint="eastAsia" w:cs="Times New Roman" w:asciiTheme="minorEastAsia" w:hAnsiTheme="minorEastAsia" w:eastAsiaTheme="minorEastAsia"/>
                <w:kern w:val="2"/>
                <w:sz w:val="21"/>
                <w:szCs w:val="21"/>
              </w:rPr>
              <w:t>异议事项咨询</w:t>
            </w:r>
          </w:p>
        </w:tc>
        <w:tc>
          <w:tcPr>
            <w:tcW w:w="6111" w:type="dxa"/>
            <w:tcBorders>
              <w:top w:val="single" w:color="auto" w:sz="4" w:space="0"/>
              <w:bottom w:val="single" w:color="auto" w:sz="4" w:space="0"/>
            </w:tcBorders>
            <w:vAlign w:val="center"/>
          </w:tcPr>
          <w:p>
            <w:pPr>
              <w:spacing w:line="340" w:lineRule="exact"/>
              <w:ind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根据招标代理委托协议约定，异议由招标代理机构负责答复。</w:t>
            </w:r>
          </w:p>
          <w:p>
            <w:pPr>
              <w:spacing w:line="340" w:lineRule="exact"/>
              <w:ind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联 系 人：刘女士/李女士</w:t>
            </w:r>
          </w:p>
          <w:p>
            <w:pPr>
              <w:spacing w:line="340" w:lineRule="exact"/>
              <w:ind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联系电话：028-87793103/87796339/87797837转882/725。</w:t>
            </w:r>
          </w:p>
          <w:p>
            <w:pPr>
              <w:spacing w:line="340" w:lineRule="exact"/>
              <w:ind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地址：四川省成都市高新区天府大道中段800号天府四街66号航兴国际广场1号楼17楼。</w:t>
            </w:r>
          </w:p>
          <w:p>
            <w:pPr>
              <w:spacing w:line="340" w:lineRule="exact"/>
              <w:ind w:right="105" w:rightChars="50"/>
              <w:jc w:val="left"/>
              <w:rPr>
                <w:rFonts w:asciiTheme="minorEastAsia" w:hAnsiTheme="minorEastAsia" w:eastAsiaTheme="minorEastAsia"/>
                <w:szCs w:val="21"/>
              </w:rPr>
            </w:pPr>
            <w:r>
              <w:rPr>
                <w:rFonts w:hint="eastAsia" w:asciiTheme="minorEastAsia" w:hAnsiTheme="minorEastAsia" w:eastAsiaTheme="minorEastAsia"/>
                <w:szCs w:val="21"/>
              </w:rPr>
              <w:t>注：潜在投标人/投标人提出的异议不得超出招标文件、招标采购过程、招标采购结果的范围。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69"/>
              <w:ind w:right="264"/>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13</w:t>
            </w:r>
          </w:p>
        </w:tc>
        <w:tc>
          <w:tcPr>
            <w:tcW w:w="2552" w:type="dxa"/>
            <w:tcBorders>
              <w:top w:val="single" w:color="auto" w:sz="4" w:space="0"/>
            </w:tcBorders>
            <w:vAlign w:val="center"/>
          </w:tcPr>
          <w:p>
            <w:pPr>
              <w:spacing w:line="340" w:lineRule="exact"/>
              <w:ind w:left="105" w:leftChars="50" w:right="105" w:rightChars="50"/>
              <w:jc w:val="center"/>
              <w:rPr>
                <w:rFonts w:asciiTheme="minorEastAsia" w:hAnsiTheme="minorEastAsia" w:eastAsiaTheme="minorEastAsia"/>
                <w:szCs w:val="21"/>
              </w:rPr>
            </w:pPr>
            <w:r>
              <w:rPr>
                <w:rFonts w:hint="eastAsia" w:asciiTheme="minorEastAsia" w:hAnsiTheme="minorEastAsia" w:eastAsiaTheme="minorEastAsia"/>
                <w:kern w:val="0"/>
                <w:szCs w:val="21"/>
              </w:rPr>
              <w:t>结果公示</w:t>
            </w:r>
          </w:p>
        </w:tc>
        <w:tc>
          <w:tcPr>
            <w:tcW w:w="6111" w:type="dxa"/>
            <w:tcBorders>
              <w:top w:val="single" w:color="auto" w:sz="4" w:space="0"/>
            </w:tcBorders>
            <w:vAlign w:val="center"/>
          </w:tcPr>
          <w:p>
            <w:pPr>
              <w:tabs>
                <w:tab w:val="left" w:pos="7665"/>
              </w:tabs>
              <w:spacing w:line="400" w:lineRule="exact"/>
              <w:rPr>
                <w:rFonts w:asciiTheme="minorEastAsia" w:hAnsiTheme="minorEastAsia" w:eastAsiaTheme="minorEastAsia"/>
                <w:szCs w:val="21"/>
              </w:rPr>
            </w:pPr>
            <w:bookmarkStart w:id="31" w:name="PO_默认文件内容_6"/>
            <w:r>
              <w:rPr>
                <w:rFonts w:hint="eastAsia" w:asciiTheme="minorEastAsia" w:hAnsiTheme="minorEastAsia" w:eastAsiaTheme="minorEastAsia"/>
                <w:kern w:val="0"/>
                <w:szCs w:val="21"/>
              </w:rPr>
              <w:t>本项目的中标候选人公示等将在《中国招标投标公共服务平台》上予以公告</w:t>
            </w:r>
            <w:bookmarkEnd w:id="31"/>
            <w:r>
              <w:rPr>
                <w:rFonts w:hint="eastAsia" w:asciiTheme="minorEastAsia" w:hAnsiTheme="minorEastAsia" w:eastAsiaTheme="minorEastAsia"/>
                <w:kern w:val="0"/>
                <w:szCs w:val="21"/>
              </w:rPr>
              <w:t>，公示期为3日。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69"/>
              <w:ind w:right="264"/>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14</w:t>
            </w:r>
          </w:p>
        </w:tc>
        <w:tc>
          <w:tcPr>
            <w:tcW w:w="2552" w:type="dxa"/>
            <w:tcBorders>
              <w:top w:val="single" w:color="auto" w:sz="4" w:space="0"/>
            </w:tcBorders>
            <w:vAlign w:val="center"/>
          </w:tcPr>
          <w:p>
            <w:pPr>
              <w:pStyle w:val="69"/>
              <w:ind w:left="96"/>
              <w:jc w:val="cente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履约保证金</w:t>
            </w:r>
          </w:p>
          <w:p>
            <w:pPr>
              <w:spacing w:line="340" w:lineRule="exact"/>
              <w:ind w:left="105" w:leftChars="50" w:right="105" w:rightChars="50"/>
              <w:jc w:val="center"/>
              <w:rPr>
                <w:rFonts w:asciiTheme="minorEastAsia" w:hAnsiTheme="minorEastAsia" w:eastAsiaTheme="minorEastAsia"/>
                <w:szCs w:val="21"/>
              </w:rPr>
            </w:pPr>
            <w:r>
              <w:rPr>
                <w:rFonts w:hint="eastAsia" w:asciiTheme="minorEastAsia" w:hAnsiTheme="minorEastAsia" w:eastAsiaTheme="minorEastAsia"/>
                <w:szCs w:val="21"/>
              </w:rPr>
              <w:t>（实质性要求）</w:t>
            </w:r>
          </w:p>
        </w:tc>
        <w:tc>
          <w:tcPr>
            <w:tcW w:w="6111" w:type="dxa"/>
            <w:tcBorders>
              <w:top w:val="single" w:color="auto" w:sz="4" w:space="0"/>
            </w:tcBorders>
            <w:vAlign w:val="center"/>
          </w:tcPr>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金额：2万元（贰万元整）</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交款方式：支票、汇票、本票或者金融机构、担保机构出具的保函等非现金形式提交。</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收款单位：金堂县第一人民医院。</w:t>
            </w:r>
          </w:p>
          <w:p>
            <w:pPr>
              <w:pStyle w:val="69"/>
              <w:rPr>
                <w:rFonts w:asciiTheme="minorEastAsia" w:hAnsiTheme="minorEastAsia" w:eastAsiaTheme="minorEastAsia"/>
                <w:szCs w:val="21"/>
              </w:rPr>
            </w:pPr>
            <w:r>
              <w:rPr>
                <w:rFonts w:hint="eastAsia" w:asciiTheme="minorEastAsia" w:hAnsiTheme="minorEastAsia" w:eastAsiaTheme="minorEastAsia"/>
                <w:sz w:val="21"/>
                <w:szCs w:val="21"/>
                <w:lang w:val="zh-CN"/>
              </w:rPr>
              <w:t>交款时间：中标通知书发</w:t>
            </w:r>
            <w:r>
              <w:rPr>
                <w:rFonts w:hint="eastAsia" w:asciiTheme="minorEastAsia" w:hAnsiTheme="minorEastAsia" w:eastAsiaTheme="minorEastAsia"/>
                <w:szCs w:val="21"/>
                <w:lang w:val="zh-CN"/>
              </w:rPr>
              <w:t>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69"/>
              <w:ind w:right="264"/>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15</w:t>
            </w:r>
          </w:p>
        </w:tc>
        <w:tc>
          <w:tcPr>
            <w:tcW w:w="2552" w:type="dxa"/>
            <w:tcBorders>
              <w:top w:val="single" w:color="auto" w:sz="4" w:space="0"/>
            </w:tcBorders>
            <w:vAlign w:val="center"/>
          </w:tcPr>
          <w:p>
            <w:pPr>
              <w:spacing w:line="340" w:lineRule="exact"/>
              <w:ind w:left="105" w:leftChars="50" w:right="105" w:rightChars="50"/>
              <w:jc w:val="center"/>
              <w:rPr>
                <w:rFonts w:asciiTheme="minorEastAsia" w:hAnsiTheme="minorEastAsia" w:eastAsiaTheme="minorEastAsia"/>
                <w:szCs w:val="21"/>
              </w:rPr>
            </w:pPr>
            <w:r>
              <w:rPr>
                <w:rFonts w:hint="eastAsia" w:asciiTheme="minorEastAsia" w:hAnsiTheme="minorEastAsia" w:eastAsiaTheme="minorEastAsia"/>
                <w:szCs w:val="21"/>
              </w:rPr>
              <w:t>中标通知书领取</w:t>
            </w:r>
          </w:p>
        </w:tc>
        <w:tc>
          <w:tcPr>
            <w:tcW w:w="6111" w:type="dxa"/>
            <w:tcBorders>
              <w:top w:val="single" w:color="auto" w:sz="4" w:space="0"/>
            </w:tcBorders>
            <w:vAlign w:val="center"/>
          </w:tcPr>
          <w:p>
            <w:pPr>
              <w:tabs>
                <w:tab w:val="left" w:pos="7665"/>
              </w:tabs>
              <w:spacing w:line="400" w:lineRule="exact"/>
              <w:rPr>
                <w:rFonts w:asciiTheme="minorEastAsia" w:hAnsiTheme="minorEastAsia" w:eastAsiaTheme="minorEastAsia"/>
                <w:szCs w:val="21"/>
              </w:rPr>
            </w:pPr>
            <w:bookmarkStart w:id="32" w:name="PO_默认文件内容_29"/>
            <w:r>
              <w:rPr>
                <w:rFonts w:hint="eastAsia" w:asciiTheme="minorEastAsia" w:hAnsiTheme="minorEastAsia" w:eastAsiaTheme="minorEastAsia"/>
                <w:szCs w:val="21"/>
              </w:rPr>
              <w:t>中标公告在《中国招标投标公共服务平台》上公告后，请登录我司网站http://sale.scbid.net/办理代理服务费缴纳及中标(成交)通知书领取的事宜。。</w:t>
            </w:r>
          </w:p>
          <w:p>
            <w:pPr>
              <w:rPr>
                <w:rFonts w:asciiTheme="minorEastAsia" w:hAnsiTheme="minorEastAsia" w:eastAsiaTheme="minorEastAsia"/>
                <w:szCs w:val="21"/>
                <w:lang w:val="zh-CN"/>
              </w:rPr>
            </w:pPr>
            <w:r>
              <w:rPr>
                <w:rFonts w:hint="eastAsia" w:asciiTheme="minorEastAsia" w:hAnsiTheme="minorEastAsia" w:eastAsiaTheme="minorEastAsia"/>
                <w:szCs w:val="21"/>
                <w:lang w:val="zh-CN"/>
              </w:rPr>
              <w:t>联系人：张女士。</w:t>
            </w:r>
          </w:p>
          <w:p>
            <w:pPr>
              <w:rPr>
                <w:rFonts w:asciiTheme="minorEastAsia" w:hAnsiTheme="minorEastAsia" w:eastAsiaTheme="minorEastAsia"/>
                <w:szCs w:val="21"/>
                <w:lang w:val="zh-CN"/>
              </w:rPr>
            </w:pPr>
            <w:r>
              <w:rPr>
                <w:rFonts w:hint="eastAsia" w:asciiTheme="minorEastAsia" w:hAnsiTheme="minorEastAsia" w:eastAsiaTheme="minorEastAsia"/>
                <w:szCs w:val="21"/>
                <w:lang w:val="zh-CN"/>
              </w:rPr>
              <w:t>联系电话：</w:t>
            </w:r>
            <w:r>
              <w:rPr>
                <w:rFonts w:hint="eastAsia" w:asciiTheme="minorEastAsia" w:hAnsiTheme="minorEastAsia" w:eastAsiaTheme="minorEastAsia"/>
                <w:szCs w:val="21"/>
              </w:rPr>
              <w:t>028-87793103/87796339/87797837转886</w:t>
            </w:r>
            <w:r>
              <w:rPr>
                <w:rFonts w:hint="eastAsia" w:asciiTheme="minorEastAsia" w:hAnsiTheme="minorEastAsia" w:eastAsiaTheme="minorEastAsia"/>
                <w:szCs w:val="21"/>
                <w:lang w:val="zh-CN"/>
              </w:rPr>
              <w:t>。</w:t>
            </w:r>
          </w:p>
          <w:p>
            <w:pPr>
              <w:rPr>
                <w:rFonts w:asciiTheme="minorEastAsia" w:hAnsiTheme="minorEastAsia" w:eastAsiaTheme="minorEastAsia"/>
                <w:szCs w:val="21"/>
                <w:lang w:val="zh-CN"/>
              </w:rPr>
            </w:pPr>
            <w:r>
              <w:rPr>
                <w:rFonts w:hint="eastAsia" w:asciiTheme="minorEastAsia" w:hAnsiTheme="minorEastAsia" w:eastAsiaTheme="minorEastAsia"/>
                <w:szCs w:val="21"/>
                <w:lang w:val="zh-CN"/>
              </w:rPr>
              <w:t>地址：四川省成都市高新区天府大道中段800号天府四街66号航兴国际广场1号楼17楼。</w:t>
            </w:r>
            <w:bookmarkEnd w:id="3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05" w:firstLineChars="50"/>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2552" w:type="dxa"/>
            <w:tcBorders>
              <w:right w:val="single" w:color="auto" w:sz="4" w:space="0"/>
            </w:tcBorders>
            <w:vAlign w:val="center"/>
          </w:tcPr>
          <w:p>
            <w:pPr>
              <w:pStyle w:val="69"/>
              <w:ind w:left="96"/>
              <w:jc w:val="cente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招标代理服务费</w:t>
            </w:r>
          </w:p>
          <w:p>
            <w:pPr>
              <w:pStyle w:val="69"/>
              <w:ind w:left="9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（实质性要求）</w:t>
            </w:r>
          </w:p>
        </w:tc>
        <w:tc>
          <w:tcPr>
            <w:tcW w:w="6111" w:type="dxa"/>
            <w:tcBorders>
              <w:left w:val="single" w:color="auto" w:sz="4" w:space="0"/>
            </w:tcBorders>
            <w:vAlign w:val="center"/>
          </w:tcPr>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以预算</w:t>
            </w:r>
            <w:r>
              <w:rPr>
                <w:rFonts w:asciiTheme="minorEastAsia" w:hAnsiTheme="minorEastAsia" w:eastAsiaTheme="minorEastAsia"/>
                <w:sz w:val="21"/>
                <w:szCs w:val="21"/>
                <w:lang w:val="zh-CN"/>
              </w:rPr>
              <w:t>金额</w:t>
            </w:r>
            <w:r>
              <w:rPr>
                <w:rFonts w:hint="eastAsia" w:asciiTheme="minorEastAsia" w:hAnsiTheme="minorEastAsia" w:eastAsiaTheme="minorEastAsia"/>
                <w:sz w:val="21"/>
                <w:szCs w:val="21"/>
                <w:lang w:val="zh-CN"/>
              </w:rPr>
              <w:t>*服务年限（90万元）作为计算基数,参照国家计委计价格[2002]1980号及 发改办价格[2003]857号通知规定</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,由中标人在领取中标通知书前向本项目招标代理机构交纳招标服务费。</w:t>
            </w:r>
          </w:p>
          <w:p>
            <w:pPr>
              <w:pStyle w:val="69"/>
              <w:rPr>
                <w:sz w:val="21"/>
                <w:szCs w:val="21"/>
                <w:lang w:val="zh-CN"/>
              </w:rPr>
            </w:pPr>
            <w:r>
              <w:rPr>
                <w:rFonts w:hint="eastAsia"/>
                <w:sz w:val="21"/>
                <w:szCs w:val="21"/>
                <w:lang w:val="zh-CN"/>
              </w:rPr>
              <w:t>收款单位：四川国际招标有限责任公司</w:t>
            </w:r>
          </w:p>
          <w:p>
            <w:pPr>
              <w:pStyle w:val="69"/>
              <w:rPr>
                <w:sz w:val="21"/>
                <w:szCs w:val="21"/>
                <w:lang w:val="zh-CN"/>
              </w:rPr>
            </w:pPr>
            <w:r>
              <w:rPr>
                <w:rFonts w:hint="eastAsia"/>
                <w:sz w:val="21"/>
                <w:szCs w:val="21"/>
                <w:lang w:val="zh-CN"/>
              </w:rPr>
              <w:t>开 户 行：中国民生银行股份有限公司成都分行营业部</w:t>
            </w:r>
          </w:p>
          <w:p>
            <w:pPr>
              <w:pStyle w:val="69"/>
              <w:rPr>
                <w:rFonts w:asciiTheme="minorEastAsia" w:hAnsiTheme="minorEastAsia" w:eastAsiaTheme="minorEastAsia"/>
                <w:sz w:val="21"/>
                <w:szCs w:val="21"/>
                <w:lang w:val="zh-CN"/>
              </w:rPr>
            </w:pPr>
            <w:r>
              <w:rPr>
                <w:rFonts w:hint="eastAsia"/>
                <w:sz w:val="21"/>
                <w:szCs w:val="21"/>
                <w:lang w:val="zh-CN"/>
              </w:rPr>
              <w:t>银行账号：</w:t>
            </w:r>
            <w:r>
              <w:rPr>
                <w:sz w:val="21"/>
                <w:szCs w:val="21"/>
                <w:lang w:val="zh-CN"/>
              </w:rPr>
              <w:t xml:space="preserve"> </w:t>
            </w:r>
          </w:p>
          <w:p>
            <w:pPr>
              <w:pStyle w:val="6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计算标准：</w:t>
            </w:r>
          </w:p>
          <w:tbl>
            <w:tblPr>
              <w:tblStyle w:val="39"/>
              <w:tblW w:w="6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27" w:type="dxa"/>
                </w:tcPr>
                <w:p>
                  <w:pPr>
                    <w:rPr>
                      <w:rFonts w:asciiTheme="minorEastAsia" w:hAnsiTheme="minorEastAsia" w:eastAsiaTheme="minorEastAsia"/>
                      <w:b/>
                      <w:szCs w:val="21"/>
                    </w:rPr>
                  </w:pPr>
                  <w:r>
                    <w:rPr>
                      <w:rFonts w:hint="eastAsia" w:asciiTheme="minorEastAsia" w:hAnsiTheme="minorEastAsia" w:eastAsiaTheme="minorEastAsia"/>
                      <w:b/>
                      <w:szCs w:val="21"/>
                    </w:rPr>
                    <w:t>服务类型/费率</w:t>
                  </w:r>
                </w:p>
                <w:p>
                  <w:pPr>
                    <w:snapToGrid w:val="0"/>
                    <w:rPr>
                      <w:rFonts w:asciiTheme="minorEastAsia" w:hAnsiTheme="minorEastAsia" w:eastAsiaTheme="minorEastAsia"/>
                      <w:b/>
                      <w:szCs w:val="21"/>
                    </w:rPr>
                  </w:pPr>
                  <w:r>
                    <w:rPr>
                      <w:rFonts w:hint="eastAsia" w:asciiTheme="minorEastAsia" w:hAnsiTheme="minorEastAsia" w:eastAsiaTheme="minorEastAsia"/>
                      <w:b/>
                      <w:szCs w:val="21"/>
                    </w:rPr>
                    <w:t>中标金额（万元）</w:t>
                  </w:r>
                </w:p>
              </w:tc>
              <w:tc>
                <w:tcPr>
                  <w:tcW w:w="147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货物招标</w:t>
                  </w:r>
                </w:p>
              </w:tc>
              <w:tc>
                <w:tcPr>
                  <w:tcW w:w="147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服务招标</w:t>
                  </w:r>
                </w:p>
              </w:tc>
              <w:tc>
                <w:tcPr>
                  <w:tcW w:w="147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100以下</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47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100-500</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47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0.8%</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500-1000</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0.8%</w:t>
                  </w:r>
                </w:p>
              </w:tc>
              <w:tc>
                <w:tcPr>
                  <w:tcW w:w="147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0.45%</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1000-5000</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147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5000-10000</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c>
                <w:tcPr>
                  <w:tcW w:w="147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0.1%</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10000-100000</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0.05%</w:t>
                  </w:r>
                </w:p>
              </w:tc>
              <w:tc>
                <w:tcPr>
                  <w:tcW w:w="147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0.05%</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1000000以上</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0.01%</w:t>
                  </w:r>
                </w:p>
              </w:tc>
              <w:tc>
                <w:tcPr>
                  <w:tcW w:w="1477"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0.01%</w:t>
                  </w:r>
                </w:p>
              </w:tc>
              <w:tc>
                <w:tcPr>
                  <w:tcW w:w="147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0.01%</w:t>
                  </w:r>
                </w:p>
              </w:tc>
            </w:tr>
          </w:tbl>
          <w:p>
            <w:pPr>
              <w:pStyle w:val="69"/>
              <w:rPr>
                <w:sz w:val="21"/>
                <w:szCs w:val="21"/>
                <w:lang w:val="zh-CN"/>
              </w:rPr>
            </w:pPr>
            <w:r>
              <w:rPr>
                <w:rFonts w:hint="eastAsia" w:asciiTheme="minorEastAsia" w:hAnsiTheme="minorEastAsia" w:eastAsiaTheme="minorEastAsia"/>
                <w:sz w:val="21"/>
                <w:szCs w:val="21"/>
                <w:lang w:val="zh-CN"/>
              </w:rPr>
              <w:t>注:1、按本表费率计算的收费为招标代理服务全过程的收费基准价格。  2、招标代理服务收费按差额定率累进法计算。</w:t>
            </w:r>
          </w:p>
        </w:tc>
      </w:tr>
    </w:tbl>
    <w:p>
      <w:pPr>
        <w:pStyle w:val="3"/>
        <w:spacing w:before="156" w:beforeLines="50" w:after="156" w:afterLines="50" w:line="400" w:lineRule="exact"/>
        <w:jc w:val="center"/>
        <w:rPr>
          <w:rFonts w:ascii="黑体"/>
          <w:bCs w:val="0"/>
        </w:rPr>
      </w:pPr>
      <w:r>
        <w:rPr>
          <w:rFonts w:hint="eastAsia" w:ascii="黑体"/>
          <w:bCs w:val="0"/>
        </w:rPr>
        <w:t>二、总  则</w:t>
      </w:r>
    </w:p>
    <w:p>
      <w:pPr>
        <w:pStyle w:val="4"/>
        <w:spacing w:before="156" w:beforeLines="50" w:after="156" w:afterLines="50" w:line="400" w:lineRule="exact"/>
        <w:ind w:firstLine="482" w:firstLineChars="200"/>
        <w:rPr>
          <w:rFonts w:ascii="宋体"/>
          <w:sz w:val="24"/>
          <w:szCs w:val="24"/>
        </w:rPr>
      </w:pPr>
      <w:bookmarkStart w:id="33" w:name="_Toc183682342"/>
      <w:bookmarkStart w:id="34" w:name="_Toc183582205"/>
      <w:bookmarkStart w:id="35" w:name="_Toc217446034"/>
      <w:bookmarkStart w:id="36" w:name="PO_默认文件内容_19"/>
      <w:r>
        <w:rPr>
          <w:rFonts w:hint="eastAsia" w:ascii="宋体"/>
          <w:sz w:val="24"/>
          <w:szCs w:val="24"/>
        </w:rPr>
        <w:t>1.</w:t>
      </w:r>
      <w:bookmarkEnd w:id="33"/>
      <w:bookmarkEnd w:id="34"/>
      <w:r>
        <w:rPr>
          <w:rFonts w:hint="eastAsia" w:ascii="宋体"/>
          <w:sz w:val="24"/>
          <w:szCs w:val="24"/>
        </w:rPr>
        <w:t xml:space="preserve"> 适用范围</w:t>
      </w:r>
      <w:bookmarkEnd w:id="35"/>
    </w:p>
    <w:p>
      <w:pPr>
        <w:tabs>
          <w:tab w:val="left" w:pos="7665"/>
        </w:tabs>
        <w:spacing w:before="156" w:beforeLines="50" w:after="156" w:afterLines="50" w:line="400" w:lineRule="exact"/>
        <w:ind w:firstLine="480" w:firstLineChars="200"/>
        <w:rPr>
          <w:rFonts w:ascii="宋体"/>
          <w:sz w:val="24"/>
        </w:rPr>
      </w:pPr>
      <w:r>
        <w:rPr>
          <w:rFonts w:hint="eastAsia" w:ascii="宋体"/>
          <w:sz w:val="24"/>
        </w:rPr>
        <w:t>1.1 本招标文件仅适用于本次招标采购项目。</w:t>
      </w:r>
    </w:p>
    <w:p>
      <w:pPr>
        <w:pStyle w:val="4"/>
        <w:spacing w:before="156" w:beforeLines="50" w:after="156" w:afterLines="50" w:line="400" w:lineRule="exact"/>
        <w:ind w:firstLine="482" w:firstLineChars="200"/>
        <w:rPr>
          <w:rFonts w:ascii="宋体"/>
          <w:sz w:val="24"/>
        </w:rPr>
      </w:pPr>
      <w:bookmarkStart w:id="37" w:name="_Toc183582206"/>
      <w:bookmarkStart w:id="38" w:name="_Toc183682343"/>
      <w:bookmarkStart w:id="39" w:name="_Toc217446035"/>
      <w:r>
        <w:rPr>
          <w:rFonts w:hint="eastAsia" w:ascii="宋体"/>
          <w:sz w:val="24"/>
        </w:rPr>
        <w:t xml:space="preserve">2. </w:t>
      </w:r>
      <w:bookmarkEnd w:id="37"/>
      <w:bookmarkEnd w:id="38"/>
      <w:r>
        <w:rPr>
          <w:rFonts w:hint="eastAsia" w:ascii="宋体"/>
          <w:sz w:val="24"/>
        </w:rPr>
        <w:t>有关</w:t>
      </w:r>
      <w:r>
        <w:rPr>
          <w:rFonts w:hint="eastAsia" w:ascii="宋体"/>
          <w:sz w:val="24"/>
          <w:szCs w:val="24"/>
        </w:rPr>
        <w:t>定义</w:t>
      </w:r>
      <w:bookmarkEnd w:id="39"/>
    </w:p>
    <w:p>
      <w:pPr>
        <w:tabs>
          <w:tab w:val="left" w:pos="7665"/>
        </w:tabs>
        <w:spacing w:before="156" w:beforeLines="50" w:after="156" w:afterLines="50" w:line="400" w:lineRule="exact"/>
        <w:ind w:firstLine="480" w:firstLineChars="200"/>
        <w:rPr>
          <w:rFonts w:ascii="宋体"/>
          <w:sz w:val="24"/>
        </w:rPr>
      </w:pPr>
      <w:r>
        <w:rPr>
          <w:rFonts w:hint="eastAsia" w:ascii="宋体"/>
          <w:sz w:val="24"/>
        </w:rPr>
        <w:t>2.1 “招标人”是提出招标项目、进行招标的法人或者其他组织。本项目系指</w:t>
      </w:r>
      <w:bookmarkEnd w:id="36"/>
      <w:r>
        <w:rPr>
          <w:rFonts w:hint="eastAsia" w:ascii="宋体"/>
          <w:b/>
          <w:sz w:val="24"/>
          <w:u w:val="single"/>
        </w:rPr>
        <w:t>金堂县第一人民医院</w:t>
      </w:r>
      <w:r>
        <w:rPr>
          <w:rFonts w:hint="eastAsia" w:ascii="宋体"/>
          <w:sz w:val="24"/>
        </w:rPr>
        <w:t>。</w:t>
      </w:r>
    </w:p>
    <w:p>
      <w:pPr>
        <w:tabs>
          <w:tab w:val="left" w:pos="7665"/>
        </w:tabs>
        <w:spacing w:before="156" w:beforeLines="50" w:after="156" w:afterLines="50" w:line="400" w:lineRule="exact"/>
        <w:ind w:firstLine="480" w:firstLineChars="200"/>
        <w:rPr>
          <w:rFonts w:ascii="宋体"/>
          <w:sz w:val="24"/>
        </w:rPr>
      </w:pPr>
      <w:bookmarkStart w:id="40" w:name="PO_默认文件内容_20"/>
      <w:r>
        <w:rPr>
          <w:rFonts w:hint="eastAsia" w:ascii="宋体"/>
          <w:sz w:val="24"/>
        </w:rPr>
        <w:t>2.2 “招标代理机构” 系指依法设立、从事招标代理业务并提供相关服务的社会中介组织。本次项目的招标代理机构是</w:t>
      </w:r>
      <w:r>
        <w:rPr>
          <w:rFonts w:hint="eastAsia" w:ascii="宋体"/>
          <w:b/>
          <w:bCs/>
          <w:sz w:val="24"/>
          <w:u w:val="single"/>
        </w:rPr>
        <w:t>四川国际招标有限责任公司</w:t>
      </w:r>
      <w:r>
        <w:rPr>
          <w:rFonts w:hint="eastAsia" w:ascii="宋体"/>
          <w:sz w:val="24"/>
        </w:rPr>
        <w:t>。</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2.3 “招标采购单位”系指“招标人”和“招标代理机构”的统称。</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2.4 “投标人”系指响应招标、参加投标竞争的法人或者其他组织。</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2.5</w:t>
      </w:r>
      <w:r>
        <w:rPr>
          <w:rFonts w:ascii="宋体"/>
          <w:sz w:val="24"/>
        </w:rPr>
        <w:t xml:space="preserve"> </w:t>
      </w:r>
      <w:r>
        <w:rPr>
          <w:rFonts w:hint="eastAsia" w:ascii="宋体"/>
          <w:sz w:val="24"/>
        </w:rPr>
        <w:t>“中标人”系指响应招标、参加投标竞争后依法中标的法人或者其他组织。</w:t>
      </w:r>
    </w:p>
    <w:p>
      <w:pPr>
        <w:pStyle w:val="4"/>
        <w:spacing w:before="156" w:beforeLines="50" w:after="156" w:afterLines="50" w:line="400" w:lineRule="exact"/>
        <w:ind w:firstLine="482" w:firstLineChars="200"/>
        <w:rPr>
          <w:rFonts w:ascii="宋体"/>
          <w:sz w:val="24"/>
        </w:rPr>
      </w:pPr>
      <w:bookmarkStart w:id="41" w:name="_Toc217446036"/>
      <w:bookmarkStart w:id="42" w:name="_Toc183682344"/>
      <w:bookmarkStart w:id="43" w:name="_Toc217390843"/>
      <w:bookmarkStart w:id="44" w:name="_Toc183582207"/>
      <w:r>
        <w:rPr>
          <w:rFonts w:hint="eastAsia" w:ascii="宋体"/>
          <w:sz w:val="24"/>
        </w:rPr>
        <w:t>3. 合格的投标人</w:t>
      </w:r>
      <w:bookmarkEnd w:id="41"/>
      <w:bookmarkEnd w:id="42"/>
      <w:bookmarkEnd w:id="43"/>
      <w:bookmarkEnd w:id="44"/>
    </w:p>
    <w:p>
      <w:pPr>
        <w:tabs>
          <w:tab w:val="left" w:pos="7665"/>
        </w:tabs>
        <w:spacing w:before="156" w:beforeLines="50" w:after="156" w:afterLines="50" w:line="400" w:lineRule="exact"/>
        <w:ind w:firstLine="480" w:firstLineChars="200"/>
        <w:rPr>
          <w:rFonts w:ascii="宋体"/>
          <w:sz w:val="24"/>
        </w:rPr>
      </w:pPr>
      <w:r>
        <w:rPr>
          <w:rFonts w:hint="eastAsia" w:ascii="宋体"/>
          <w:sz w:val="24"/>
        </w:rPr>
        <w:t>合格的投标人应具备以下条件：</w:t>
      </w:r>
    </w:p>
    <w:p>
      <w:pPr>
        <w:tabs>
          <w:tab w:val="left" w:pos="7665"/>
        </w:tabs>
        <w:spacing w:before="156" w:beforeLines="50" w:after="156" w:afterLines="50" w:line="400" w:lineRule="exact"/>
        <w:ind w:firstLine="480" w:firstLineChars="200"/>
        <w:rPr>
          <w:rFonts w:ascii="宋体"/>
          <w:spacing w:val="-4"/>
          <w:sz w:val="24"/>
        </w:rPr>
      </w:pPr>
      <w:r>
        <w:rPr>
          <w:rFonts w:hint="eastAsia" w:ascii="宋体"/>
          <w:sz w:val="24"/>
        </w:rPr>
        <w:t>（1）本招标文件规定的投标人资格条件</w:t>
      </w:r>
      <w:r>
        <w:rPr>
          <w:rFonts w:hint="eastAsia" w:ascii="宋体"/>
          <w:spacing w:val="-4"/>
          <w:sz w:val="24"/>
        </w:rPr>
        <w:t>；</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（2）遵守国家有关的法律、法规、规章和其他政策制度；</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（3）向招标代理机构购买了招标文件。</w:t>
      </w:r>
      <w:bookmarkEnd w:id="40"/>
    </w:p>
    <w:p>
      <w:pPr>
        <w:pStyle w:val="4"/>
        <w:spacing w:before="156" w:beforeLines="50" w:after="156" w:afterLines="50" w:line="400" w:lineRule="exact"/>
        <w:ind w:firstLine="482" w:firstLineChars="200"/>
        <w:rPr>
          <w:rFonts w:ascii="宋体"/>
          <w:sz w:val="24"/>
        </w:rPr>
      </w:pPr>
      <w:bookmarkStart w:id="45" w:name="_Toc217446037"/>
      <w:bookmarkStart w:id="46" w:name="_Toc183582208"/>
      <w:bookmarkStart w:id="47" w:name="_Toc183682345"/>
      <w:bookmarkStart w:id="48" w:name="PO_默认文件内容_16"/>
      <w:r>
        <w:rPr>
          <w:rFonts w:hint="eastAsia" w:ascii="宋体"/>
          <w:sz w:val="24"/>
        </w:rPr>
        <w:t>4. 投标费用</w:t>
      </w:r>
      <w:bookmarkEnd w:id="45"/>
      <w:bookmarkEnd w:id="46"/>
      <w:bookmarkEnd w:id="47"/>
      <w:r>
        <w:rPr>
          <w:rFonts w:hint="eastAsia"/>
          <w:sz w:val="24"/>
          <w:szCs w:val="24"/>
        </w:rPr>
        <w:t>（实质性要求）</w:t>
      </w:r>
    </w:p>
    <w:p>
      <w:pPr>
        <w:tabs>
          <w:tab w:val="left" w:pos="7665"/>
        </w:tabs>
        <w:spacing w:before="156" w:beforeLines="50" w:after="156" w:afterLines="50" w:line="400" w:lineRule="exact"/>
        <w:ind w:firstLine="480"/>
        <w:rPr>
          <w:rFonts w:ascii="宋体"/>
          <w:sz w:val="24"/>
        </w:rPr>
      </w:pPr>
      <w:r>
        <w:rPr>
          <w:rFonts w:hint="eastAsia" w:ascii="宋体"/>
          <w:sz w:val="24"/>
        </w:rPr>
        <w:t>投标人参加投标的有关费用由投标人自行承担。</w:t>
      </w:r>
    </w:p>
    <w:p>
      <w:pPr>
        <w:pStyle w:val="4"/>
        <w:spacing w:before="156" w:beforeLines="50" w:after="156" w:afterLines="50" w:line="400" w:lineRule="exact"/>
        <w:ind w:firstLine="482" w:firstLineChars="200"/>
        <w:rPr>
          <w:rFonts w:ascii="宋体"/>
          <w:sz w:val="24"/>
        </w:rPr>
      </w:pPr>
      <w:r>
        <w:rPr>
          <w:rFonts w:hint="eastAsia" w:ascii="宋体"/>
          <w:sz w:val="24"/>
        </w:rPr>
        <w:t>5. 充分、公平竞争保障措施</w:t>
      </w:r>
      <w:r>
        <w:rPr>
          <w:rFonts w:hint="eastAsia"/>
          <w:sz w:val="24"/>
          <w:szCs w:val="24"/>
        </w:rPr>
        <w:t>（实质性要求）</w:t>
      </w:r>
    </w:p>
    <w:p>
      <w:pPr>
        <w:pStyle w:val="150"/>
        <w:spacing w:before="156" w:beforeLines="50" w:after="156" w:afterLines="50" w:line="400" w:lineRule="exact"/>
        <w:ind w:left="1" w:firstLine="482" w:firstLineChars="200"/>
        <w:rPr>
          <w:sz w:val="24"/>
        </w:rPr>
      </w:pPr>
      <w:r>
        <w:rPr>
          <w:rFonts w:hint="eastAsia"/>
          <w:b/>
          <w:sz w:val="24"/>
        </w:rPr>
        <w:t>5.1 关系投标人的限制要求。</w:t>
      </w:r>
    </w:p>
    <w:p>
      <w:pPr>
        <w:tabs>
          <w:tab w:val="left" w:pos="7665"/>
        </w:tabs>
        <w:spacing w:before="156" w:beforeLines="50" w:after="156" w:afterLines="50" w:line="400" w:lineRule="exact"/>
        <w:ind w:firstLine="480" w:firstLineChars="200"/>
        <w:rPr>
          <w:rFonts w:hAnsi="宋体"/>
          <w:sz w:val="24"/>
        </w:rPr>
      </w:pPr>
      <w:r>
        <w:rPr>
          <w:rFonts w:hAnsi="宋体"/>
          <w:sz w:val="24"/>
        </w:rPr>
        <w:t>与招标人存在利害关系可能影响招标公正性的法人、其他组织或者个人，不得参加投标</w:t>
      </w:r>
      <w:r>
        <w:rPr>
          <w:rFonts w:hint="eastAsia" w:hAnsi="宋体"/>
          <w:sz w:val="24"/>
        </w:rPr>
        <w:t>，否则其投标文件作为无效处理；</w:t>
      </w:r>
    </w:p>
    <w:p>
      <w:pPr>
        <w:tabs>
          <w:tab w:val="left" w:pos="7665"/>
        </w:tabs>
        <w:spacing w:before="156" w:beforeLines="50" w:after="156" w:afterLines="50" w:line="400" w:lineRule="exact"/>
        <w:ind w:firstLine="480" w:firstLineChars="200"/>
        <w:rPr>
          <w:sz w:val="24"/>
        </w:rPr>
      </w:pPr>
      <w:r>
        <w:rPr>
          <w:rFonts w:hAnsi="宋体"/>
          <w:sz w:val="24"/>
        </w:rPr>
        <w:t>单位负责人为同一人或者存在控股、管理关系的不同单位，不得参加</w:t>
      </w:r>
      <w:r>
        <w:rPr>
          <w:rFonts w:hint="eastAsia" w:hAnsi="宋体"/>
          <w:sz w:val="24"/>
        </w:rPr>
        <w:t>本次招标采购项目中同一项目包的</w:t>
      </w:r>
      <w:r>
        <w:rPr>
          <w:rFonts w:hAnsi="宋体"/>
          <w:sz w:val="24"/>
        </w:rPr>
        <w:t>投标</w:t>
      </w:r>
      <w:r>
        <w:rPr>
          <w:rFonts w:hint="eastAsia" w:hAnsi="宋体"/>
          <w:sz w:val="24"/>
        </w:rPr>
        <w:t>，否则其投标文件均作为无效处理。</w:t>
      </w:r>
    </w:p>
    <w:p>
      <w:pPr>
        <w:pStyle w:val="3"/>
        <w:spacing w:before="156" w:beforeLines="50" w:after="156" w:afterLines="50" w:line="400" w:lineRule="exact"/>
        <w:jc w:val="center"/>
        <w:rPr>
          <w:rFonts w:ascii="黑体"/>
          <w:bCs w:val="0"/>
        </w:rPr>
      </w:pPr>
      <w:bookmarkStart w:id="49" w:name="_Toc77400779"/>
      <w:bookmarkStart w:id="50" w:name="_Toc183582209"/>
      <w:bookmarkStart w:id="51" w:name="_Toc89075875"/>
      <w:bookmarkStart w:id="52" w:name="_Toc217446038"/>
      <w:bookmarkStart w:id="53" w:name="_Toc183682346"/>
      <w:r>
        <w:rPr>
          <w:rFonts w:hint="eastAsia" w:ascii="黑体"/>
          <w:bCs w:val="0"/>
        </w:rPr>
        <w:t>三、招标文件</w:t>
      </w:r>
      <w:bookmarkEnd w:id="49"/>
      <w:bookmarkEnd w:id="50"/>
      <w:bookmarkEnd w:id="51"/>
      <w:bookmarkEnd w:id="52"/>
      <w:bookmarkEnd w:id="53"/>
    </w:p>
    <w:p>
      <w:pPr>
        <w:pStyle w:val="4"/>
        <w:spacing w:before="156" w:beforeLines="50" w:after="156" w:afterLines="50" w:line="400" w:lineRule="exact"/>
        <w:ind w:firstLine="482" w:firstLineChars="200"/>
        <w:rPr>
          <w:rFonts w:ascii="宋体"/>
          <w:sz w:val="24"/>
        </w:rPr>
      </w:pPr>
      <w:bookmarkStart w:id="54" w:name="_Toc217446039"/>
      <w:bookmarkStart w:id="55" w:name="_Toc183582210"/>
      <w:bookmarkStart w:id="56" w:name="_Toc183682347"/>
      <w:r>
        <w:rPr>
          <w:rFonts w:hint="eastAsia" w:ascii="宋体"/>
          <w:sz w:val="24"/>
        </w:rPr>
        <w:t>6．招标文件的构成</w:t>
      </w:r>
      <w:bookmarkEnd w:id="54"/>
      <w:bookmarkEnd w:id="55"/>
      <w:bookmarkEnd w:id="56"/>
    </w:p>
    <w:p>
      <w:pPr>
        <w:tabs>
          <w:tab w:val="left" w:pos="7665"/>
        </w:tabs>
        <w:spacing w:before="156" w:beforeLines="50" w:after="156" w:afterLines="50" w:line="400" w:lineRule="exact"/>
        <w:ind w:firstLine="480" w:firstLineChars="200"/>
        <w:rPr>
          <w:rFonts w:ascii="宋体"/>
          <w:kern w:val="0"/>
          <w:sz w:val="24"/>
          <w:szCs w:val="22"/>
        </w:rPr>
      </w:pPr>
      <w:r>
        <w:rPr>
          <w:rFonts w:hint="eastAsia" w:ascii="宋体"/>
          <w:kern w:val="0"/>
          <w:sz w:val="24"/>
          <w:szCs w:val="22"/>
        </w:rPr>
        <w:t>招标文件是潜在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before="156" w:beforeLines="50" w:after="156" w:afterLines="50" w:line="400" w:lineRule="exact"/>
        <w:ind w:firstLine="480" w:firstLineChars="200"/>
        <w:rPr>
          <w:rFonts w:ascii="宋体"/>
          <w:sz w:val="24"/>
        </w:rPr>
      </w:pPr>
      <w:r>
        <w:rPr>
          <w:rFonts w:hint="eastAsia" w:ascii="宋体"/>
          <w:kern w:val="0"/>
          <w:sz w:val="24"/>
          <w:szCs w:val="22"/>
        </w:rPr>
        <w:t>（一）投标</w:t>
      </w:r>
      <w:r>
        <w:rPr>
          <w:rFonts w:hint="eastAsia" w:ascii="宋体"/>
          <w:sz w:val="24"/>
        </w:rPr>
        <w:t>邀请；</w:t>
      </w:r>
    </w:p>
    <w:p>
      <w:pPr>
        <w:tabs>
          <w:tab w:val="left" w:pos="720"/>
        </w:tabs>
        <w:spacing w:before="156" w:beforeLines="50" w:after="156" w:afterLines="50" w:line="400" w:lineRule="exact"/>
        <w:ind w:firstLine="480" w:firstLineChars="200"/>
        <w:rPr>
          <w:rFonts w:ascii="宋体"/>
          <w:sz w:val="24"/>
        </w:rPr>
      </w:pPr>
      <w:r>
        <w:rPr>
          <w:rFonts w:hint="eastAsia" w:ascii="宋体"/>
          <w:sz w:val="24"/>
        </w:rPr>
        <w:t>（二）投标人须知；</w:t>
      </w:r>
    </w:p>
    <w:p>
      <w:pPr>
        <w:tabs>
          <w:tab w:val="left" w:pos="720"/>
        </w:tabs>
        <w:spacing w:before="156" w:beforeLines="50" w:after="156" w:afterLines="50" w:line="400" w:lineRule="exact"/>
        <w:ind w:firstLine="480" w:firstLineChars="200"/>
        <w:rPr>
          <w:rFonts w:ascii="宋体"/>
          <w:sz w:val="24"/>
        </w:rPr>
      </w:pPr>
      <w:r>
        <w:rPr>
          <w:rFonts w:hint="eastAsia" w:ascii="宋体"/>
          <w:sz w:val="24"/>
        </w:rPr>
        <w:t>（三）投标文件格式；</w:t>
      </w:r>
    </w:p>
    <w:p>
      <w:pPr>
        <w:tabs>
          <w:tab w:val="left" w:pos="720"/>
        </w:tabs>
        <w:spacing w:before="156" w:beforeLines="50" w:after="156" w:afterLines="50" w:line="400" w:lineRule="exact"/>
        <w:ind w:firstLine="480" w:firstLineChars="200"/>
        <w:rPr>
          <w:rFonts w:ascii="宋体"/>
          <w:sz w:val="24"/>
        </w:rPr>
      </w:pPr>
      <w:r>
        <w:rPr>
          <w:rFonts w:hint="eastAsia" w:ascii="宋体"/>
          <w:sz w:val="24"/>
        </w:rPr>
        <w:t>（四）投标人的资格、资质性及其他类似效力要求；</w:t>
      </w:r>
    </w:p>
    <w:p>
      <w:pPr>
        <w:tabs>
          <w:tab w:val="left" w:pos="720"/>
        </w:tabs>
        <w:spacing w:before="156" w:beforeLines="50" w:after="156" w:afterLines="50" w:line="400" w:lineRule="exact"/>
        <w:ind w:firstLine="480" w:firstLineChars="200"/>
        <w:rPr>
          <w:rFonts w:ascii="宋体"/>
          <w:sz w:val="24"/>
        </w:rPr>
      </w:pPr>
      <w:r>
        <w:rPr>
          <w:rFonts w:hint="eastAsia" w:ascii="宋体"/>
          <w:sz w:val="24"/>
        </w:rPr>
        <w:t>（五）投标人应当提供的资格、资质性及其他类似效力要求的相关证明材料；</w:t>
      </w:r>
    </w:p>
    <w:p>
      <w:pPr>
        <w:tabs>
          <w:tab w:val="left" w:pos="720"/>
        </w:tabs>
        <w:spacing w:before="156" w:beforeLines="50" w:after="156" w:afterLines="50" w:line="400" w:lineRule="exact"/>
        <w:ind w:firstLine="480" w:firstLineChars="200"/>
        <w:rPr>
          <w:rFonts w:ascii="宋体"/>
          <w:sz w:val="24"/>
        </w:rPr>
      </w:pPr>
      <w:r>
        <w:rPr>
          <w:rFonts w:hint="eastAsia" w:ascii="宋体"/>
          <w:sz w:val="24"/>
        </w:rPr>
        <w:t>（六）招标项目技术、商务及其他要求；</w:t>
      </w:r>
    </w:p>
    <w:p>
      <w:pPr>
        <w:tabs>
          <w:tab w:val="left" w:pos="720"/>
        </w:tabs>
        <w:spacing w:before="156" w:beforeLines="50" w:after="156" w:afterLines="50" w:line="400" w:lineRule="exact"/>
        <w:ind w:firstLine="480" w:firstLineChars="200"/>
        <w:rPr>
          <w:rFonts w:ascii="宋体"/>
          <w:sz w:val="24"/>
        </w:rPr>
      </w:pPr>
      <w:r>
        <w:rPr>
          <w:rFonts w:hint="eastAsia" w:ascii="宋体"/>
          <w:sz w:val="24"/>
        </w:rPr>
        <w:t>（七）评标办法；</w:t>
      </w:r>
    </w:p>
    <w:p>
      <w:pPr>
        <w:tabs>
          <w:tab w:val="left" w:pos="720"/>
        </w:tabs>
        <w:spacing w:before="156" w:beforeLines="50" w:after="156" w:afterLines="50" w:line="400" w:lineRule="exact"/>
        <w:ind w:firstLine="480" w:firstLineChars="200"/>
        <w:rPr>
          <w:rFonts w:ascii="宋体"/>
          <w:sz w:val="24"/>
        </w:rPr>
      </w:pPr>
      <w:r>
        <w:rPr>
          <w:rFonts w:hint="eastAsia" w:ascii="宋体"/>
          <w:sz w:val="24"/>
        </w:rPr>
        <w:t>（八）合同主要条款。</w:t>
      </w:r>
    </w:p>
    <w:p>
      <w:pPr>
        <w:pStyle w:val="4"/>
        <w:spacing w:before="156" w:beforeLines="50" w:after="156" w:afterLines="50" w:line="400" w:lineRule="exact"/>
        <w:ind w:firstLine="482" w:firstLineChars="200"/>
        <w:rPr>
          <w:rFonts w:ascii="宋体"/>
          <w:sz w:val="24"/>
        </w:rPr>
      </w:pPr>
      <w:bookmarkStart w:id="57" w:name="_Toc183582211"/>
      <w:bookmarkStart w:id="58" w:name="_Toc183682348"/>
      <w:bookmarkStart w:id="59" w:name="_Toc217446040"/>
      <w:r>
        <w:rPr>
          <w:rFonts w:hint="eastAsia" w:ascii="宋体"/>
          <w:sz w:val="24"/>
        </w:rPr>
        <w:t>7. 招标文件的澄清</w:t>
      </w:r>
      <w:bookmarkEnd w:id="57"/>
      <w:bookmarkEnd w:id="58"/>
      <w:r>
        <w:rPr>
          <w:rFonts w:hint="eastAsia" w:ascii="宋体"/>
          <w:sz w:val="24"/>
        </w:rPr>
        <w:t>和修改</w:t>
      </w:r>
      <w:bookmarkEnd w:id="59"/>
    </w:p>
    <w:p>
      <w:pPr>
        <w:tabs>
          <w:tab w:val="left" w:pos="7665"/>
        </w:tabs>
        <w:spacing w:before="156" w:beforeLines="50" w:after="156" w:afterLines="50" w:line="400" w:lineRule="exact"/>
        <w:ind w:firstLine="480" w:firstLineChars="200"/>
        <w:rPr>
          <w:rFonts w:ascii="宋体"/>
          <w:sz w:val="24"/>
        </w:rPr>
      </w:pPr>
      <w:r>
        <w:rPr>
          <w:rFonts w:hint="eastAsia" w:ascii="宋体"/>
          <w:sz w:val="24"/>
        </w:rPr>
        <w:t>7.1 招标采购单位可以对已发出的招标文件进行必要的澄清或者修改。</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7.2 招标采购单位对已发出的招标文件进行澄清或者修改，澄清或者修改的内容可能影响投标文件编制的，招标采购单位将在投标截止时间至少15日前，以书面形式（电子邮件）通知所有获取招标文件的潜在投标人；不足15日的，招标人将顺延提交投标文件的截止时间。该澄清或者修改的内容为招标文件的组成部分。</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7.3</w:t>
      </w:r>
      <w:r>
        <w:rPr>
          <w:rFonts w:ascii="宋体"/>
          <w:sz w:val="24"/>
        </w:rPr>
        <w:t xml:space="preserve"> </w:t>
      </w:r>
      <w:r>
        <w:rPr>
          <w:rFonts w:hint="eastAsia" w:ascii="宋体"/>
          <w:sz w:val="24"/>
        </w:rPr>
        <w:t>澄清或者修改的内容将通过潜在投标人报名时提供的电子邮箱发送至所有购买招标文件的潜在投标人，潜在投标人在收到澄清或者修改的通知后，以传真或电子邮件的形式给予确认。如潜在投标人未及时给予确认，则视为收到并认可该澄清或者修改通知的内容。</w:t>
      </w:r>
    </w:p>
    <w:p>
      <w:pPr>
        <w:pStyle w:val="4"/>
        <w:spacing w:before="156" w:beforeLines="50" w:after="156" w:afterLines="50" w:line="400" w:lineRule="exact"/>
        <w:ind w:firstLine="482" w:firstLineChars="200"/>
        <w:rPr>
          <w:rFonts w:ascii="宋体"/>
          <w:sz w:val="24"/>
        </w:rPr>
      </w:pPr>
      <w:bookmarkStart w:id="60" w:name="_Toc208848971"/>
      <w:bookmarkStart w:id="61" w:name="_Toc217446041"/>
      <w:r>
        <w:rPr>
          <w:rFonts w:hint="eastAsia" w:ascii="宋体"/>
          <w:sz w:val="24"/>
        </w:rPr>
        <w:t>8. 答疑会和现场踏勘</w:t>
      </w:r>
      <w:bookmarkEnd w:id="60"/>
      <w:bookmarkEnd w:id="61"/>
    </w:p>
    <w:p>
      <w:pPr>
        <w:tabs>
          <w:tab w:val="left" w:pos="7665"/>
        </w:tabs>
        <w:spacing w:before="156" w:beforeLines="50" w:after="156" w:afterLines="50" w:line="400" w:lineRule="exact"/>
        <w:ind w:firstLine="480" w:firstLineChars="200"/>
        <w:rPr>
          <w:rFonts w:ascii="宋体"/>
          <w:sz w:val="24"/>
        </w:rPr>
      </w:pPr>
      <w:r>
        <w:rPr>
          <w:rFonts w:hint="eastAsia" w:ascii="宋体"/>
          <w:sz w:val="24"/>
        </w:rPr>
        <w:t>8.1 根据本项目和具体情况，招标采购单位认为有必要，可以在招标文件提供期限截止后，组织已获取招标文件的潜在投标人现场踏勘或者召开开标前答疑会。</w:t>
      </w:r>
      <w:bookmarkEnd w:id="48"/>
    </w:p>
    <w:p>
      <w:pPr>
        <w:tabs>
          <w:tab w:val="left" w:pos="7665"/>
        </w:tabs>
        <w:spacing w:before="156" w:beforeLines="50" w:after="156" w:afterLines="50" w:line="400" w:lineRule="exact"/>
        <w:ind w:firstLine="480" w:firstLineChars="200"/>
        <w:rPr>
          <w:rFonts w:ascii="宋体"/>
          <w:sz w:val="24"/>
        </w:rPr>
      </w:pPr>
      <w:r>
        <w:rPr>
          <w:rFonts w:hint="eastAsia" w:ascii="宋体"/>
          <w:sz w:val="24"/>
        </w:rPr>
        <w:t>现场踏勘或标前答疑会时间：详见“投标人须知附表”。</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现场踏勘或标前答疑会地点：详见“投标人须知附表”。</w:t>
      </w:r>
    </w:p>
    <w:p>
      <w:pPr>
        <w:tabs>
          <w:tab w:val="left" w:pos="7665"/>
        </w:tabs>
        <w:spacing w:before="156" w:beforeLines="50" w:after="156" w:afterLines="50" w:line="400" w:lineRule="exact"/>
        <w:ind w:firstLine="480" w:firstLineChars="200"/>
        <w:rPr>
          <w:rFonts w:ascii="宋体"/>
          <w:sz w:val="24"/>
        </w:rPr>
      </w:pPr>
      <w:bookmarkStart w:id="62" w:name="PO_默认文件内容_18"/>
      <w:r>
        <w:rPr>
          <w:rFonts w:hint="eastAsia" w:ascii="宋体"/>
          <w:sz w:val="24"/>
        </w:rPr>
        <w:t>8.2 潜在投标人考察现场或参加答疑会所发生的一切费用由潜在投标人自己承担。</w:t>
      </w:r>
    </w:p>
    <w:p>
      <w:pPr>
        <w:pStyle w:val="3"/>
        <w:spacing w:before="156" w:beforeLines="50" w:after="156" w:afterLines="50" w:line="400" w:lineRule="exact"/>
        <w:jc w:val="center"/>
        <w:rPr>
          <w:rFonts w:ascii="黑体"/>
          <w:bCs w:val="0"/>
        </w:rPr>
      </w:pPr>
      <w:bookmarkStart w:id="63" w:name="_Toc89075876"/>
      <w:bookmarkStart w:id="64" w:name="_Toc183582214"/>
      <w:bookmarkStart w:id="65" w:name="_Toc183682351"/>
      <w:bookmarkStart w:id="66" w:name="_Toc217446042"/>
      <w:bookmarkStart w:id="67" w:name="_Toc77400780"/>
      <w:r>
        <w:rPr>
          <w:rFonts w:hint="eastAsia" w:ascii="黑体"/>
          <w:bCs w:val="0"/>
        </w:rPr>
        <w:t>四、投标文件</w:t>
      </w:r>
      <w:bookmarkEnd w:id="63"/>
      <w:bookmarkEnd w:id="64"/>
      <w:bookmarkEnd w:id="65"/>
      <w:bookmarkEnd w:id="66"/>
      <w:bookmarkEnd w:id="67"/>
    </w:p>
    <w:p>
      <w:pPr>
        <w:pStyle w:val="4"/>
        <w:spacing w:before="156" w:beforeLines="50" w:after="156" w:afterLines="50" w:line="400" w:lineRule="exact"/>
        <w:ind w:firstLine="482" w:firstLineChars="200"/>
        <w:rPr>
          <w:rFonts w:ascii="宋体"/>
          <w:bCs w:val="0"/>
          <w:sz w:val="24"/>
        </w:rPr>
      </w:pPr>
      <w:bookmarkStart w:id="68" w:name="_Toc217446043"/>
      <w:bookmarkStart w:id="69" w:name="_Toc183582215"/>
      <w:bookmarkStart w:id="70" w:name="_Toc183682352"/>
      <w:r>
        <w:rPr>
          <w:rFonts w:hint="eastAsia" w:ascii="宋体"/>
          <w:bCs w:val="0"/>
          <w:sz w:val="24"/>
        </w:rPr>
        <w:t>9．投标文件的语言</w:t>
      </w:r>
      <w:bookmarkEnd w:id="68"/>
      <w:bookmarkEnd w:id="69"/>
      <w:bookmarkEnd w:id="70"/>
      <w:r>
        <w:rPr>
          <w:rFonts w:hint="eastAsia"/>
          <w:sz w:val="24"/>
          <w:szCs w:val="24"/>
        </w:rPr>
        <w:t>（实质性要求）</w:t>
      </w:r>
    </w:p>
    <w:p>
      <w:pPr>
        <w:tabs>
          <w:tab w:val="left" w:pos="1134"/>
        </w:tabs>
        <w:spacing w:before="156" w:beforeLines="50" w:after="156" w:afterLines="50" w:line="400" w:lineRule="exact"/>
        <w:ind w:firstLine="480" w:firstLineChars="200"/>
        <w:jc w:val="left"/>
        <w:rPr>
          <w:rFonts w:ascii="宋体"/>
          <w:sz w:val="24"/>
        </w:rPr>
      </w:pPr>
      <w:bookmarkStart w:id="71" w:name="_Toc183682353"/>
      <w:bookmarkStart w:id="72" w:name="_Toc217446044"/>
      <w:bookmarkStart w:id="73" w:name="_Toc183582216"/>
      <w:r>
        <w:rPr>
          <w:rFonts w:hint="eastAsia" w:ascii="宋体"/>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before="156" w:beforeLines="50" w:after="156" w:afterLines="50" w:line="400" w:lineRule="exact"/>
        <w:ind w:firstLine="480" w:firstLineChars="200"/>
        <w:jc w:val="left"/>
        <w:rPr>
          <w:rFonts w:ascii="宋体"/>
          <w:sz w:val="24"/>
        </w:rPr>
      </w:pPr>
      <w:r>
        <w:rPr>
          <w:rFonts w:hint="eastAsia" w:ascii="宋体"/>
          <w:sz w:val="24"/>
        </w:rPr>
        <w:t>9.2 翻译的中文资料与外文资料如果出现差异和矛盾时，以中文为准。</w:t>
      </w:r>
    </w:p>
    <w:p>
      <w:pPr>
        <w:spacing w:before="156" w:beforeLines="50" w:after="156" w:afterLines="50" w:line="400" w:lineRule="exact"/>
        <w:ind w:firstLine="480" w:firstLineChars="200"/>
        <w:rPr>
          <w:rFonts w:ascii="宋体" w:hAnsi="宋体" w:cs="宋体"/>
          <w:sz w:val="24"/>
        </w:rPr>
      </w:pPr>
      <w:r>
        <w:rPr>
          <w:rFonts w:hint="eastAsia" w:ascii="宋体" w:hAnsi="宋体" w:cs="宋体"/>
          <w:sz w:val="24"/>
        </w:rPr>
        <w:t>9.3 如因未翻译的后果由投标人承担。</w:t>
      </w:r>
    </w:p>
    <w:p>
      <w:pPr>
        <w:pStyle w:val="4"/>
        <w:spacing w:before="156" w:beforeLines="50" w:after="156" w:afterLines="50" w:line="400" w:lineRule="exact"/>
        <w:ind w:firstLine="482" w:firstLineChars="200"/>
        <w:rPr>
          <w:rFonts w:ascii="宋体"/>
          <w:sz w:val="24"/>
        </w:rPr>
      </w:pPr>
      <w:r>
        <w:rPr>
          <w:rFonts w:hint="eastAsia" w:ascii="宋体"/>
          <w:sz w:val="24"/>
        </w:rPr>
        <w:t>10．计量单位</w:t>
      </w:r>
      <w:bookmarkEnd w:id="71"/>
      <w:bookmarkEnd w:id="72"/>
      <w:bookmarkEnd w:id="73"/>
      <w:r>
        <w:rPr>
          <w:rFonts w:hint="eastAsia"/>
          <w:sz w:val="24"/>
          <w:szCs w:val="24"/>
        </w:rPr>
        <w:t>（实质性要求）</w:t>
      </w:r>
    </w:p>
    <w:p>
      <w:pPr>
        <w:spacing w:before="156" w:beforeLines="50" w:after="156" w:afterLines="50" w:line="400" w:lineRule="exact"/>
        <w:ind w:firstLine="470" w:firstLineChars="196"/>
        <w:rPr>
          <w:rFonts w:ascii="宋体"/>
          <w:sz w:val="24"/>
        </w:rPr>
      </w:pPr>
      <w:r>
        <w:rPr>
          <w:rFonts w:hint="eastAsia" w:ascii="宋体"/>
          <w:sz w:val="24"/>
        </w:rPr>
        <w:t>除招标文件中另有规定外，本次采购项目所有合同项下的投标均采用国家法定的计量单位。</w:t>
      </w:r>
    </w:p>
    <w:p>
      <w:pPr>
        <w:pStyle w:val="4"/>
        <w:spacing w:before="156" w:beforeLines="50" w:after="156" w:afterLines="50" w:line="400" w:lineRule="exact"/>
        <w:ind w:firstLine="482" w:firstLineChars="200"/>
        <w:rPr>
          <w:rFonts w:ascii="宋体"/>
          <w:sz w:val="24"/>
        </w:rPr>
      </w:pPr>
      <w:bookmarkStart w:id="74" w:name="_Toc217446045"/>
      <w:r>
        <w:rPr>
          <w:rFonts w:hint="eastAsia" w:ascii="宋体"/>
          <w:sz w:val="24"/>
        </w:rPr>
        <w:t>11. 投标货币</w:t>
      </w:r>
      <w:bookmarkEnd w:id="74"/>
      <w:r>
        <w:rPr>
          <w:rFonts w:hint="eastAsia" w:ascii="宋体"/>
          <w:sz w:val="24"/>
        </w:rPr>
        <w:t>（实质性要求）</w:t>
      </w:r>
    </w:p>
    <w:p>
      <w:pPr>
        <w:spacing w:before="156" w:beforeLines="50" w:after="156" w:afterLines="50" w:line="400" w:lineRule="exact"/>
        <w:ind w:firstLine="470" w:firstLineChars="196"/>
        <w:rPr>
          <w:rFonts w:ascii="宋体"/>
          <w:sz w:val="24"/>
        </w:rPr>
      </w:pPr>
      <w:r>
        <w:rPr>
          <w:rFonts w:hint="eastAsia" w:ascii="宋体"/>
          <w:sz w:val="24"/>
        </w:rPr>
        <w:t>本次招标项目的投标均以人民币报价。</w:t>
      </w:r>
    </w:p>
    <w:p>
      <w:pPr>
        <w:pStyle w:val="4"/>
        <w:spacing w:before="156" w:beforeLines="50" w:after="156" w:afterLines="50" w:line="400" w:lineRule="exact"/>
        <w:ind w:firstLine="482" w:firstLineChars="200"/>
        <w:rPr>
          <w:rFonts w:ascii="宋体"/>
          <w:sz w:val="24"/>
        </w:rPr>
      </w:pPr>
      <w:bookmarkStart w:id="75" w:name="_Toc217446046"/>
      <w:r>
        <w:rPr>
          <w:rFonts w:hint="eastAsia" w:ascii="宋体"/>
          <w:sz w:val="24"/>
        </w:rPr>
        <w:t>12. 联合体投标</w:t>
      </w:r>
      <w:bookmarkEnd w:id="75"/>
    </w:p>
    <w:p>
      <w:pPr>
        <w:spacing w:before="156" w:beforeLines="50" w:after="156" w:afterLines="50" w:line="400" w:lineRule="exact"/>
        <w:ind w:firstLine="470" w:firstLineChars="196"/>
        <w:rPr>
          <w:rFonts w:ascii="宋体"/>
          <w:sz w:val="24"/>
        </w:rPr>
      </w:pPr>
      <w:bookmarkStart w:id="76" w:name="_Toc217446047"/>
      <w:r>
        <w:rPr>
          <w:rFonts w:hint="eastAsia" w:ascii="宋体"/>
          <w:sz w:val="24"/>
        </w:rPr>
        <w:t>12.1 本项目不接受联合体投标。</w:t>
      </w:r>
    </w:p>
    <w:p>
      <w:pPr>
        <w:pStyle w:val="4"/>
        <w:spacing w:before="156" w:beforeLines="50" w:after="156" w:afterLines="50" w:line="400" w:lineRule="exact"/>
        <w:ind w:firstLine="482" w:firstLineChars="200"/>
        <w:rPr>
          <w:rFonts w:ascii="宋体"/>
          <w:sz w:val="24"/>
        </w:rPr>
      </w:pPr>
      <w:bookmarkStart w:id="77" w:name="_Toc308164797"/>
      <w:r>
        <w:rPr>
          <w:rFonts w:hint="eastAsia" w:ascii="宋体"/>
          <w:sz w:val="24"/>
        </w:rPr>
        <w:t>13. 知识产权</w:t>
      </w:r>
      <w:bookmarkEnd w:id="76"/>
      <w:bookmarkEnd w:id="77"/>
      <w:r>
        <w:rPr>
          <w:rFonts w:hint="eastAsia" w:ascii="宋体"/>
          <w:sz w:val="24"/>
        </w:rPr>
        <w:t>（实质性要求）</w:t>
      </w:r>
    </w:p>
    <w:p>
      <w:pPr>
        <w:spacing w:before="156" w:beforeLines="50" w:after="156" w:afterLines="50" w:line="400" w:lineRule="exact"/>
        <w:ind w:firstLine="470" w:firstLineChars="196"/>
        <w:rPr>
          <w:rFonts w:ascii="宋体"/>
          <w:sz w:val="24"/>
        </w:rPr>
      </w:pPr>
      <w:bookmarkStart w:id="78" w:name="_Toc183682354"/>
      <w:bookmarkStart w:id="79" w:name="_Toc217446048"/>
      <w:bookmarkStart w:id="80" w:name="_Toc308164798"/>
      <w:bookmarkStart w:id="81" w:name="_Toc183582217"/>
      <w:r>
        <w:rPr>
          <w:rFonts w:hint="eastAsia" w:ascii="宋体"/>
          <w:sz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before="156" w:beforeLines="50" w:after="156" w:afterLines="50" w:line="400" w:lineRule="exact"/>
        <w:ind w:firstLine="470" w:firstLineChars="196"/>
        <w:rPr>
          <w:rFonts w:ascii="宋体"/>
          <w:sz w:val="24"/>
        </w:rPr>
      </w:pPr>
      <w:r>
        <w:rPr>
          <w:rFonts w:hint="eastAsia" w:ascii="宋体"/>
          <w:sz w:val="24"/>
        </w:rPr>
        <w:t>13.2 招标人享有本项目实施过程中产生的知识成果及知识产权。</w:t>
      </w:r>
    </w:p>
    <w:p>
      <w:pPr>
        <w:spacing w:before="156" w:beforeLines="50" w:after="156" w:afterLines="50" w:line="400" w:lineRule="exact"/>
        <w:ind w:firstLine="470" w:firstLineChars="196"/>
        <w:rPr>
          <w:rFonts w:ascii="宋体"/>
          <w:sz w:val="24"/>
        </w:rPr>
      </w:pPr>
      <w:r>
        <w:rPr>
          <w:rFonts w:hint="eastAsia" w:ascii="宋体"/>
          <w:sz w:val="24"/>
        </w:rPr>
        <w:t>13.3 投标人如欲在项目实施过程中采用自有知识成果， 投标人需提供开发接口和开发手册等技术文档，并承诺提供无限期技术支持，招标人享有永久使用权（含招标人委托第三方在该项目后续开发的使用权）。</w:t>
      </w:r>
    </w:p>
    <w:p>
      <w:pPr>
        <w:spacing w:before="156" w:beforeLines="50" w:after="156" w:afterLines="50" w:line="400" w:lineRule="exact"/>
        <w:ind w:firstLine="470" w:firstLineChars="196"/>
        <w:rPr>
          <w:rFonts w:ascii="宋体"/>
          <w:sz w:val="24"/>
        </w:rPr>
      </w:pPr>
      <w:r>
        <w:rPr>
          <w:rFonts w:hint="eastAsia" w:ascii="宋体"/>
          <w:sz w:val="24"/>
        </w:rPr>
        <w:t xml:space="preserve">13.4 如采用投标人所不拥有的知识产权，则在投标报价中必须包含合法获取该知识产权的相关费用。 </w:t>
      </w:r>
    </w:p>
    <w:p>
      <w:pPr>
        <w:pStyle w:val="4"/>
        <w:spacing w:before="156" w:beforeLines="50" w:after="156" w:afterLines="50" w:line="400" w:lineRule="exact"/>
        <w:ind w:firstLine="482" w:firstLineChars="200"/>
        <w:rPr>
          <w:rFonts w:ascii="宋体"/>
          <w:sz w:val="24"/>
        </w:rPr>
      </w:pPr>
      <w:r>
        <w:rPr>
          <w:rFonts w:hint="eastAsia" w:ascii="宋体"/>
          <w:sz w:val="24"/>
        </w:rPr>
        <w:t>14．投标文件的组成</w:t>
      </w:r>
      <w:bookmarkEnd w:id="78"/>
      <w:bookmarkEnd w:id="79"/>
      <w:bookmarkEnd w:id="80"/>
      <w:bookmarkEnd w:id="81"/>
    </w:p>
    <w:p>
      <w:pPr>
        <w:spacing w:before="156" w:beforeLines="50" w:after="156" w:afterLines="50" w:line="400" w:lineRule="exact"/>
        <w:ind w:firstLine="480" w:firstLineChars="200"/>
        <w:rPr>
          <w:rFonts w:ascii="宋体"/>
          <w:sz w:val="24"/>
        </w:rPr>
      </w:pPr>
      <w:bookmarkStart w:id="82" w:name="_Toc308164799"/>
      <w:bookmarkStart w:id="83" w:name="_Toc217446049"/>
      <w:bookmarkStart w:id="84" w:name="_Toc183582218"/>
      <w:bookmarkStart w:id="85" w:name="_Toc183682355"/>
      <w:r>
        <w:rPr>
          <w:rFonts w:hint="eastAsia" w:ascii="宋体"/>
          <w:sz w:val="24"/>
        </w:rPr>
        <w:t>投标人应按照招标文件的规定和要求编制投标文件。投标人编写的投标文件应包括下列部分：</w:t>
      </w:r>
    </w:p>
    <w:p>
      <w:pPr>
        <w:spacing w:before="156" w:beforeLines="50" w:after="156" w:afterLines="50" w:line="400" w:lineRule="exact"/>
        <w:ind w:firstLine="472" w:firstLineChars="196"/>
        <w:rPr>
          <w:b/>
          <w:sz w:val="24"/>
        </w:rPr>
      </w:pPr>
      <w:r>
        <w:rPr>
          <w:b/>
          <w:sz w:val="24"/>
        </w:rPr>
        <w:t>A</w:t>
      </w:r>
      <w:r>
        <w:rPr>
          <w:rFonts w:hint="eastAsia"/>
          <w:b/>
          <w:sz w:val="24"/>
        </w:rPr>
        <w:t>、报价。</w:t>
      </w:r>
    </w:p>
    <w:p>
      <w:pPr>
        <w:spacing w:before="156" w:beforeLines="50" w:after="156" w:afterLines="50" w:line="400" w:lineRule="exact"/>
        <w:ind w:firstLine="470" w:firstLineChars="196"/>
        <w:rPr>
          <w:rFonts w:ascii="宋体"/>
          <w:sz w:val="24"/>
        </w:rPr>
      </w:pPr>
      <w:r>
        <w:rPr>
          <w:rFonts w:hint="eastAsia" w:ascii="宋体"/>
          <w:bCs/>
          <w:sz w:val="24"/>
        </w:rPr>
        <w:t>1、投标人应</w:t>
      </w:r>
      <w:r>
        <w:rPr>
          <w:rFonts w:hint="eastAsia" w:ascii="宋体"/>
          <w:sz w:val="24"/>
        </w:rPr>
        <w:t xml:space="preserve">按照招标文件要求填写“开标一览表”。 </w:t>
      </w:r>
    </w:p>
    <w:p>
      <w:pPr>
        <w:spacing w:before="50" w:after="50" w:line="400" w:lineRule="exact"/>
        <w:ind w:firstLine="472" w:firstLineChars="196"/>
        <w:rPr>
          <w:rFonts w:ascii="宋体"/>
          <w:b/>
          <w:sz w:val="24"/>
        </w:rPr>
      </w:pPr>
      <w:r>
        <w:rPr>
          <w:rFonts w:hint="eastAsia" w:ascii="宋体"/>
          <w:b/>
          <w:sz w:val="24"/>
        </w:rPr>
        <w:t>2、本次招标报价要求：（实质性要求）</w:t>
      </w:r>
    </w:p>
    <w:p>
      <w:pPr>
        <w:spacing w:before="50" w:after="50" w:line="400" w:lineRule="exact"/>
        <w:ind w:firstLine="470" w:firstLineChars="196"/>
        <w:rPr>
          <w:rFonts w:ascii="宋体"/>
          <w:sz w:val="24"/>
        </w:rPr>
      </w:pPr>
      <w:r>
        <w:rPr>
          <w:rFonts w:hint="eastAsia" w:ascii="宋体"/>
          <w:sz w:val="24"/>
        </w:rPr>
        <w:t>（1）投标人的报价是投标人响应招标项目要求的全部工作内容的体现，包括投标人完成本项目所需的一切费用。</w:t>
      </w:r>
    </w:p>
    <w:p>
      <w:pPr>
        <w:spacing w:before="50" w:after="50" w:line="400" w:lineRule="exact"/>
        <w:ind w:firstLine="470" w:firstLineChars="196"/>
        <w:rPr>
          <w:rFonts w:ascii="宋体"/>
          <w:sz w:val="24"/>
        </w:rPr>
      </w:pPr>
      <w:r>
        <w:rPr>
          <w:rFonts w:hint="eastAsia" w:ascii="宋体"/>
          <w:sz w:val="24"/>
        </w:rPr>
        <w:t>（2）投标人每种服务或产品只允许有一个报价，并且在合同履行过程中是固定不变的，任何有选择或可调整的报价将不予接受，并按无效投标处理。</w:t>
      </w:r>
    </w:p>
    <w:p>
      <w:pPr>
        <w:spacing w:before="156" w:beforeLines="50" w:after="156" w:afterLines="50" w:line="400" w:lineRule="exact"/>
        <w:ind w:firstLine="472" w:firstLineChars="196"/>
        <w:rPr>
          <w:b/>
          <w:sz w:val="24"/>
        </w:rPr>
      </w:pPr>
      <w:r>
        <w:rPr>
          <w:b/>
          <w:sz w:val="24"/>
        </w:rPr>
        <w:t>B</w:t>
      </w:r>
      <w:r>
        <w:rPr>
          <w:rFonts w:hint="eastAsia"/>
          <w:b/>
          <w:sz w:val="24"/>
        </w:rPr>
        <w:t>、商务。</w:t>
      </w:r>
    </w:p>
    <w:p>
      <w:pPr>
        <w:spacing w:before="156" w:beforeLines="50" w:after="156" w:afterLines="50" w:line="400" w:lineRule="exact"/>
        <w:ind w:left="508" w:leftChars="169" w:hanging="153" w:hangingChars="64"/>
        <w:rPr>
          <w:rFonts w:ascii="宋体"/>
          <w:sz w:val="24"/>
        </w:rPr>
      </w:pPr>
      <w:r>
        <w:rPr>
          <w:rFonts w:hint="eastAsia" w:ascii="宋体"/>
          <w:bCs/>
          <w:sz w:val="24"/>
          <w:szCs w:val="32"/>
        </w:rPr>
        <w:t>投标人应按照招标文件要求提供有关商务文件及优惠承诺。包括以下内容：</w:t>
      </w:r>
    </w:p>
    <w:p>
      <w:pPr>
        <w:spacing w:before="156" w:beforeLines="50" w:after="156" w:afterLines="50" w:line="400" w:lineRule="exact"/>
        <w:ind w:left="508" w:leftChars="169" w:hanging="153" w:hangingChars="64"/>
        <w:rPr>
          <w:rFonts w:ascii="宋体"/>
          <w:sz w:val="24"/>
        </w:rPr>
      </w:pPr>
      <w:r>
        <w:rPr>
          <w:rFonts w:hint="eastAsia" w:ascii="宋体"/>
          <w:sz w:val="24"/>
        </w:rPr>
        <w:t>（1）投标函；</w:t>
      </w:r>
    </w:p>
    <w:p>
      <w:pPr>
        <w:spacing w:before="156" w:beforeLines="50" w:after="156" w:afterLines="50" w:line="400" w:lineRule="exact"/>
        <w:ind w:left="508" w:leftChars="169" w:hanging="153" w:hangingChars="64"/>
        <w:rPr>
          <w:rFonts w:ascii="宋体"/>
          <w:sz w:val="24"/>
        </w:rPr>
      </w:pPr>
      <w:r>
        <w:rPr>
          <w:rFonts w:hint="eastAsia" w:ascii="宋体"/>
          <w:sz w:val="24"/>
        </w:rPr>
        <w:t>（2）证明投标人业绩和荣誉的有关材料；</w:t>
      </w:r>
    </w:p>
    <w:p>
      <w:pPr>
        <w:spacing w:before="156" w:beforeLines="50" w:after="156" w:afterLines="50" w:line="400" w:lineRule="exact"/>
        <w:ind w:left="508" w:leftChars="169" w:hanging="153" w:hangingChars="64"/>
        <w:rPr>
          <w:rFonts w:ascii="宋体"/>
          <w:sz w:val="24"/>
        </w:rPr>
      </w:pPr>
      <w:r>
        <w:rPr>
          <w:rFonts w:hint="eastAsia" w:ascii="宋体"/>
          <w:sz w:val="24"/>
        </w:rPr>
        <w:t>（3）商务应答表；</w:t>
      </w:r>
    </w:p>
    <w:p>
      <w:pPr>
        <w:spacing w:before="156" w:beforeLines="50" w:after="156" w:afterLines="50" w:line="400" w:lineRule="exact"/>
        <w:ind w:left="508" w:leftChars="169" w:hanging="153" w:hangingChars="64"/>
        <w:rPr>
          <w:rFonts w:ascii="宋体"/>
          <w:sz w:val="24"/>
        </w:rPr>
      </w:pPr>
      <w:r>
        <w:rPr>
          <w:rFonts w:hint="eastAsia" w:ascii="宋体"/>
          <w:sz w:val="24"/>
        </w:rPr>
        <w:t>（</w:t>
      </w:r>
      <w:r>
        <w:rPr>
          <w:rFonts w:ascii="宋体"/>
          <w:sz w:val="24"/>
        </w:rPr>
        <w:t>4</w:t>
      </w:r>
      <w:r>
        <w:rPr>
          <w:rFonts w:hint="eastAsia" w:ascii="宋体"/>
          <w:sz w:val="24"/>
        </w:rPr>
        <w:t>）其他投标人认为需要提供的文件和资料。</w:t>
      </w:r>
    </w:p>
    <w:p>
      <w:pPr>
        <w:spacing w:before="156" w:beforeLines="50" w:after="156" w:afterLines="50" w:line="400" w:lineRule="exact"/>
        <w:ind w:firstLine="472" w:firstLineChars="196"/>
        <w:rPr>
          <w:b/>
          <w:sz w:val="24"/>
        </w:rPr>
      </w:pPr>
      <w:r>
        <w:rPr>
          <w:b/>
          <w:sz w:val="24"/>
        </w:rPr>
        <w:t>C</w:t>
      </w:r>
      <w:r>
        <w:rPr>
          <w:rFonts w:hint="eastAsia"/>
          <w:b/>
          <w:sz w:val="24"/>
        </w:rPr>
        <w:t>、投标人资格证明文件</w:t>
      </w:r>
    </w:p>
    <w:p>
      <w:pPr>
        <w:spacing w:before="156" w:beforeLines="50" w:after="156" w:afterLines="50" w:line="400" w:lineRule="exact"/>
        <w:ind w:firstLine="480" w:firstLineChars="200"/>
        <w:rPr>
          <w:rFonts w:ascii="宋体"/>
          <w:sz w:val="24"/>
        </w:rPr>
      </w:pPr>
      <w:r>
        <w:rPr>
          <w:rFonts w:hint="eastAsia" w:ascii="宋体"/>
          <w:sz w:val="24"/>
        </w:rPr>
        <w:t>严格按照第四、五章要求提供相关资格、资质性及其他类似效力要求的相关证明材料。</w:t>
      </w:r>
    </w:p>
    <w:p>
      <w:pPr>
        <w:spacing w:before="156" w:beforeLines="50" w:after="156" w:afterLines="50" w:line="400" w:lineRule="exact"/>
        <w:ind w:firstLine="472" w:firstLineChars="196"/>
        <w:rPr>
          <w:b/>
          <w:sz w:val="24"/>
        </w:rPr>
      </w:pPr>
      <w:r>
        <w:rPr>
          <w:b/>
          <w:sz w:val="24"/>
        </w:rPr>
        <w:t>D</w:t>
      </w:r>
      <w:r>
        <w:rPr>
          <w:rFonts w:hint="eastAsia"/>
          <w:b/>
          <w:sz w:val="24"/>
        </w:rPr>
        <w:t>、技术服务。</w:t>
      </w:r>
    </w:p>
    <w:p>
      <w:pPr>
        <w:spacing w:before="156" w:beforeLines="50" w:after="156" w:afterLines="50" w:line="400" w:lineRule="exact"/>
        <w:ind w:firstLine="480" w:firstLineChars="200"/>
        <w:rPr>
          <w:sz w:val="24"/>
        </w:rPr>
      </w:pPr>
      <w:r>
        <w:rPr>
          <w:rFonts w:hint="eastAsia"/>
          <w:sz w:val="24"/>
        </w:rPr>
        <w:t>投标人按照招标文件要求做出的技术服务应答，主要是针对招标项目的技术服务要求做出的响应和满足。投标人的技术服务应答包括下列内容：</w:t>
      </w:r>
    </w:p>
    <w:p>
      <w:pPr>
        <w:spacing w:before="156" w:beforeLines="50" w:after="156" w:afterLines="50" w:line="400" w:lineRule="exact"/>
        <w:ind w:left="1" w:firstLine="352" w:firstLineChars="147"/>
        <w:rPr>
          <w:rFonts w:ascii="宋体"/>
          <w:sz w:val="24"/>
        </w:rPr>
      </w:pPr>
      <w:r>
        <w:rPr>
          <w:rFonts w:hint="eastAsia" w:ascii="宋体"/>
          <w:sz w:val="24"/>
        </w:rPr>
        <w:t>（1）技术服务方案、项目实施方案；</w:t>
      </w:r>
    </w:p>
    <w:p>
      <w:pPr>
        <w:spacing w:before="156" w:beforeLines="50" w:after="156" w:afterLines="50" w:line="400" w:lineRule="exact"/>
        <w:ind w:left="1" w:firstLine="352" w:firstLineChars="147"/>
        <w:rPr>
          <w:rFonts w:ascii="宋体"/>
          <w:sz w:val="24"/>
        </w:rPr>
      </w:pPr>
      <w:r>
        <w:rPr>
          <w:rFonts w:hint="eastAsia" w:ascii="宋体"/>
          <w:sz w:val="24"/>
        </w:rPr>
        <w:t>（2）验收标准和验收方法；</w:t>
      </w:r>
    </w:p>
    <w:p>
      <w:pPr>
        <w:spacing w:before="156" w:beforeLines="50" w:after="156" w:afterLines="50" w:line="400" w:lineRule="exact"/>
        <w:ind w:left="1" w:firstLine="352" w:firstLineChars="147"/>
        <w:rPr>
          <w:rFonts w:ascii="宋体"/>
          <w:sz w:val="24"/>
        </w:rPr>
      </w:pPr>
      <w:r>
        <w:rPr>
          <w:rFonts w:hint="eastAsia" w:ascii="宋体"/>
          <w:sz w:val="24"/>
        </w:rPr>
        <w:t>（3）技术服务应答表；</w:t>
      </w:r>
    </w:p>
    <w:p>
      <w:pPr>
        <w:spacing w:before="156" w:beforeLines="50" w:after="156" w:afterLines="50" w:line="400" w:lineRule="exact"/>
        <w:ind w:left="1" w:firstLine="352" w:firstLineChars="147"/>
        <w:rPr>
          <w:sz w:val="24"/>
        </w:rPr>
      </w:pPr>
      <w:r>
        <w:rPr>
          <w:rFonts w:hint="eastAsia"/>
          <w:sz w:val="24"/>
        </w:rPr>
        <w:t>（4）培训措施：说明培训内容及培训的时间、地点、目标、培训人数、收费标准和办法；</w:t>
      </w:r>
    </w:p>
    <w:p>
      <w:pPr>
        <w:spacing w:before="156" w:beforeLines="50" w:after="156" w:afterLines="50" w:line="400" w:lineRule="exact"/>
        <w:ind w:left="1" w:firstLine="352" w:firstLineChars="147"/>
        <w:rPr>
          <w:rFonts w:ascii="宋体"/>
          <w:sz w:val="24"/>
        </w:rPr>
      </w:pPr>
      <w:r>
        <w:rPr>
          <w:rFonts w:hint="eastAsia" w:ascii="宋体"/>
          <w:sz w:val="24"/>
        </w:rPr>
        <w:t>（5）投标人认为需要提供的文件和资料。</w:t>
      </w:r>
    </w:p>
    <w:p>
      <w:pPr>
        <w:spacing w:before="156" w:beforeLines="50" w:after="156" w:afterLines="50" w:line="400" w:lineRule="exact"/>
        <w:ind w:firstLine="482" w:firstLineChars="200"/>
        <w:rPr>
          <w:b/>
          <w:sz w:val="24"/>
        </w:rPr>
      </w:pPr>
      <w:r>
        <w:rPr>
          <w:b/>
          <w:sz w:val="24"/>
        </w:rPr>
        <w:t>E</w:t>
      </w:r>
      <w:r>
        <w:rPr>
          <w:rFonts w:hint="eastAsia"/>
          <w:b/>
          <w:sz w:val="24"/>
        </w:rPr>
        <w:t>、其它。</w:t>
      </w:r>
    </w:p>
    <w:p>
      <w:pPr>
        <w:spacing w:before="156" w:beforeLines="50" w:after="156" w:afterLines="50" w:line="400" w:lineRule="exact"/>
        <w:ind w:firstLine="480" w:firstLineChars="200"/>
        <w:rPr>
          <w:sz w:val="24"/>
        </w:rPr>
      </w:pPr>
      <w:r>
        <w:rPr>
          <w:rFonts w:hint="eastAsia"/>
          <w:sz w:val="24"/>
        </w:rPr>
        <w:t>投标人按照招标文件要求作出的其他应答和承诺。</w:t>
      </w:r>
    </w:p>
    <w:p>
      <w:pPr>
        <w:pStyle w:val="4"/>
        <w:tabs>
          <w:tab w:val="left" w:pos="3480"/>
        </w:tabs>
        <w:spacing w:before="156" w:beforeLines="50" w:after="156" w:afterLines="50" w:line="400" w:lineRule="exact"/>
        <w:ind w:firstLine="482" w:firstLineChars="200"/>
        <w:rPr>
          <w:rFonts w:ascii="宋体"/>
          <w:sz w:val="24"/>
        </w:rPr>
      </w:pPr>
      <w:r>
        <w:rPr>
          <w:rFonts w:hint="eastAsia" w:ascii="宋体"/>
          <w:sz w:val="24"/>
        </w:rPr>
        <w:t>15．投标文件格式</w:t>
      </w:r>
      <w:bookmarkEnd w:id="82"/>
      <w:bookmarkEnd w:id="83"/>
      <w:bookmarkEnd w:id="84"/>
      <w:bookmarkEnd w:id="85"/>
    </w:p>
    <w:p>
      <w:pPr>
        <w:tabs>
          <w:tab w:val="left" w:pos="7665"/>
        </w:tabs>
        <w:spacing w:before="156" w:beforeLines="50" w:after="156" w:afterLines="50" w:line="400" w:lineRule="exact"/>
        <w:ind w:left="13" w:leftChars="6" w:firstLine="480" w:firstLineChars="200"/>
        <w:rPr>
          <w:rFonts w:ascii="宋体"/>
          <w:sz w:val="24"/>
        </w:rPr>
      </w:pPr>
      <w:r>
        <w:rPr>
          <w:rFonts w:hint="eastAsia" w:ascii="宋体"/>
          <w:sz w:val="24"/>
        </w:rPr>
        <w:t>15.1 投标人应执行招标文件第三章的规定要求。第三章格式中“注”的内容，投标人可自行决定是否保留在投标文件中，未保留的视为投标人默认接受“注”的内容。</w:t>
      </w:r>
    </w:p>
    <w:p>
      <w:pPr>
        <w:tabs>
          <w:tab w:val="left" w:pos="7665"/>
        </w:tabs>
        <w:spacing w:before="156" w:beforeLines="50" w:after="156" w:afterLines="50" w:line="400" w:lineRule="exact"/>
        <w:ind w:left="13" w:leftChars="6" w:firstLine="480" w:firstLineChars="200"/>
        <w:rPr>
          <w:rFonts w:ascii="宋体"/>
          <w:sz w:val="24"/>
        </w:rPr>
      </w:pPr>
      <w:r>
        <w:rPr>
          <w:rFonts w:hint="eastAsia" w:ascii="宋体"/>
          <w:sz w:val="24"/>
        </w:rPr>
        <w:t>15.2 对于没有格式要求的投标文件由投标人自行编写。</w:t>
      </w:r>
    </w:p>
    <w:p>
      <w:pPr>
        <w:pStyle w:val="4"/>
        <w:spacing w:before="156" w:beforeLines="50" w:after="156" w:afterLines="50" w:line="400" w:lineRule="exact"/>
        <w:ind w:firstLine="482" w:firstLineChars="200"/>
        <w:rPr>
          <w:rFonts w:ascii="宋体"/>
          <w:sz w:val="24"/>
        </w:rPr>
      </w:pPr>
      <w:bookmarkStart w:id="86" w:name="_Toc183682360"/>
      <w:bookmarkStart w:id="87" w:name="_Toc183582223"/>
      <w:bookmarkStart w:id="88" w:name="_Toc217446050"/>
      <w:bookmarkStart w:id="89" w:name="_Toc308164800"/>
      <w:r>
        <w:rPr>
          <w:rFonts w:hint="eastAsia" w:ascii="宋体"/>
          <w:bCs w:val="0"/>
          <w:sz w:val="24"/>
        </w:rPr>
        <w:t>16．投标保证金</w:t>
      </w:r>
      <w:bookmarkEnd w:id="86"/>
      <w:bookmarkEnd w:id="87"/>
      <w:bookmarkEnd w:id="88"/>
      <w:bookmarkEnd w:id="89"/>
      <w:r>
        <w:rPr>
          <w:rFonts w:hint="eastAsia" w:ascii="宋体"/>
          <w:bCs w:val="0"/>
          <w:sz w:val="24"/>
        </w:rPr>
        <w:t>的退还</w:t>
      </w:r>
    </w:p>
    <w:p>
      <w:pPr>
        <w:tabs>
          <w:tab w:val="left" w:pos="1134"/>
        </w:tabs>
        <w:spacing w:before="156" w:beforeLines="50" w:after="156" w:afterLines="50" w:line="400" w:lineRule="exact"/>
        <w:ind w:firstLine="424" w:firstLineChars="177"/>
        <w:rPr>
          <w:rFonts w:ascii="宋体"/>
          <w:sz w:val="24"/>
        </w:rPr>
      </w:pPr>
      <w:r>
        <w:rPr>
          <w:rFonts w:hint="eastAsia" w:ascii="宋体"/>
          <w:sz w:val="24"/>
        </w:rPr>
        <w:t>16.</w:t>
      </w:r>
      <w:r>
        <w:rPr>
          <w:rFonts w:ascii="宋体"/>
          <w:sz w:val="24"/>
        </w:rPr>
        <w:t>1</w:t>
      </w:r>
      <w:r>
        <w:rPr>
          <w:rFonts w:hint="eastAsia" w:cs="宋体"/>
          <w:sz w:val="24"/>
        </w:rPr>
        <w:t>招标代理机构最迟将在书面合同签订后5日内向中标人和未中标的投标人退还投标保证金</w:t>
      </w:r>
      <w:r>
        <w:rPr>
          <w:rFonts w:hint="eastAsia"/>
          <w:bCs/>
          <w:sz w:val="24"/>
        </w:rPr>
        <w:t>（注：</w:t>
      </w:r>
      <w:r>
        <w:rPr>
          <w:rFonts w:hint="eastAsia" w:cs="宋体"/>
          <w:bCs/>
          <w:sz w:val="24"/>
        </w:rPr>
        <w:fldChar w:fldCharType="begin"/>
      </w:r>
      <w:r>
        <w:rPr>
          <w:rFonts w:hint="eastAsia" w:cs="宋体"/>
          <w:bCs/>
          <w:sz w:val="24"/>
        </w:rPr>
        <w:instrText xml:space="preserve"> = 1 \* GB3 \* MERGEFORMAT </w:instrText>
      </w:r>
      <w:r>
        <w:rPr>
          <w:rFonts w:hint="eastAsia" w:cs="宋体"/>
          <w:bCs/>
          <w:sz w:val="24"/>
        </w:rPr>
        <w:fldChar w:fldCharType="separate"/>
      </w:r>
      <w:r>
        <w:rPr>
          <w:rFonts w:hint="eastAsia" w:cs="宋体"/>
          <w:bCs/>
          <w:sz w:val="24"/>
        </w:rPr>
        <w:t>①</w:t>
      </w:r>
      <w:r>
        <w:rPr>
          <w:rFonts w:hint="eastAsia" w:cs="宋体"/>
          <w:bCs/>
          <w:sz w:val="24"/>
        </w:rPr>
        <w:fldChar w:fldCharType="end"/>
      </w:r>
      <w:r>
        <w:rPr>
          <w:rFonts w:hint="eastAsia" w:cs="宋体"/>
          <w:bCs/>
          <w:sz w:val="24"/>
        </w:rPr>
        <w:t>因投标人自身原因造成的保证金延迟退还或者投标人和招标代理机构书面协商可以延迟退还的，招标代理机构不承担相应责任；</w:t>
      </w:r>
      <w:r>
        <w:rPr>
          <w:rFonts w:hint="eastAsia" w:cs="宋体"/>
          <w:bCs/>
          <w:sz w:val="24"/>
        </w:rPr>
        <w:fldChar w:fldCharType="begin"/>
      </w:r>
      <w:r>
        <w:rPr>
          <w:rFonts w:hint="eastAsia" w:cs="宋体"/>
          <w:bCs/>
          <w:sz w:val="24"/>
        </w:rPr>
        <w:instrText xml:space="preserve"> = 2 \* GB3 \* MERGEFORMAT </w:instrText>
      </w:r>
      <w:r>
        <w:rPr>
          <w:rFonts w:hint="eastAsia" w:cs="宋体"/>
          <w:bCs/>
          <w:sz w:val="24"/>
        </w:rPr>
        <w:fldChar w:fldCharType="separate"/>
      </w:r>
      <w:r>
        <w:rPr>
          <w:rFonts w:hint="eastAsia" w:cs="宋体"/>
          <w:bCs/>
          <w:sz w:val="24"/>
        </w:rPr>
        <w:t>②</w:t>
      </w:r>
      <w:r>
        <w:rPr>
          <w:rFonts w:hint="eastAsia" w:cs="宋体"/>
          <w:bCs/>
          <w:sz w:val="24"/>
        </w:rPr>
        <w:fldChar w:fldCharType="end"/>
      </w:r>
      <w:r>
        <w:rPr>
          <w:rFonts w:hint="eastAsia"/>
          <w:bCs/>
          <w:sz w:val="24"/>
        </w:rPr>
        <w:t>投标人因涉嫌违法违规违纪的，按照规定应当不予退还保证金的，招标采购单位处理认定违法违规违纪行为期间不计入退还保证金时限之内。）</w:t>
      </w:r>
    </w:p>
    <w:p>
      <w:pPr>
        <w:spacing w:before="156" w:beforeLines="50" w:after="156" w:afterLines="50" w:line="400" w:lineRule="exact"/>
        <w:ind w:firstLine="480" w:firstLineChars="200"/>
        <w:rPr>
          <w:rFonts w:ascii="宋体"/>
          <w:b/>
          <w:sz w:val="24"/>
        </w:rPr>
      </w:pPr>
      <w:r>
        <w:rPr>
          <w:rFonts w:hint="eastAsia" w:ascii="宋体"/>
          <w:sz w:val="24"/>
        </w:rPr>
        <w:t>16.</w:t>
      </w:r>
      <w:r>
        <w:rPr>
          <w:rFonts w:ascii="宋体"/>
          <w:sz w:val="24"/>
        </w:rPr>
        <w:t>2</w:t>
      </w:r>
      <w:r>
        <w:rPr>
          <w:rFonts w:hint="eastAsia" w:ascii="宋体"/>
          <w:sz w:val="24"/>
        </w:rPr>
        <w:t>发生下列情形之一的，招标代理机构可以不予退还投标保证金：</w:t>
      </w:r>
      <w:r>
        <w:rPr>
          <w:rFonts w:hint="eastAsia"/>
          <w:b/>
          <w:sz w:val="24"/>
        </w:rPr>
        <w:t>（实质性要求）</w:t>
      </w:r>
    </w:p>
    <w:p>
      <w:pPr>
        <w:spacing w:before="156" w:beforeLines="50" w:after="156" w:afterLines="50" w:line="400" w:lineRule="exact"/>
        <w:ind w:firstLine="470" w:firstLineChars="196"/>
        <w:rPr>
          <w:sz w:val="24"/>
        </w:rPr>
      </w:pPr>
      <w:r>
        <w:rPr>
          <w:rFonts w:hint="eastAsia"/>
          <w:sz w:val="24"/>
        </w:rPr>
        <w:t>（</w:t>
      </w:r>
      <w:r>
        <w:rPr>
          <w:sz w:val="24"/>
        </w:rPr>
        <w:t>1</w:t>
      </w:r>
      <w:r>
        <w:rPr>
          <w:rFonts w:hint="eastAsia"/>
          <w:sz w:val="24"/>
        </w:rPr>
        <w:t>）在招标文件规定的投标截止时间后撤回投标的；</w:t>
      </w:r>
    </w:p>
    <w:p>
      <w:pPr>
        <w:spacing w:before="156" w:beforeLines="50" w:after="156" w:afterLines="50" w:line="400" w:lineRule="exact"/>
        <w:ind w:firstLine="470" w:firstLineChars="196"/>
        <w:rPr>
          <w:sz w:val="24"/>
        </w:rPr>
      </w:pPr>
      <w:r>
        <w:rPr>
          <w:rFonts w:hint="eastAsia"/>
          <w:sz w:val="24"/>
        </w:rPr>
        <w:t>（2）在招标人确定中标人以前放弃中标候选资格的；</w:t>
      </w:r>
    </w:p>
    <w:p>
      <w:pPr>
        <w:spacing w:before="156" w:beforeLines="50" w:after="156" w:afterLines="50" w:line="400" w:lineRule="exact"/>
        <w:ind w:firstLine="470" w:firstLineChars="196"/>
        <w:rPr>
          <w:sz w:val="24"/>
        </w:rPr>
      </w:pPr>
      <w:r>
        <w:rPr>
          <w:rFonts w:hint="eastAsia"/>
          <w:sz w:val="24"/>
        </w:rPr>
        <w:t>（3）中标后放弃中标、不领取或者不接收中标通知书的；</w:t>
      </w:r>
    </w:p>
    <w:p>
      <w:pPr>
        <w:spacing w:before="156" w:beforeLines="50" w:after="156" w:afterLines="50" w:line="400" w:lineRule="exact"/>
        <w:ind w:firstLine="470" w:firstLineChars="196"/>
        <w:rPr>
          <w:sz w:val="24"/>
        </w:rPr>
      </w:pPr>
      <w:r>
        <w:rPr>
          <w:rFonts w:hint="eastAsia"/>
          <w:sz w:val="24"/>
        </w:rPr>
        <w:t>（4）由于中标人的原因未能按照招标文件的规定与招标人签订合同的；</w:t>
      </w:r>
    </w:p>
    <w:p>
      <w:pPr>
        <w:spacing w:before="156" w:beforeLines="50" w:after="156" w:afterLines="50" w:line="400" w:lineRule="exact"/>
        <w:ind w:firstLine="470" w:firstLineChars="196"/>
        <w:rPr>
          <w:sz w:val="24"/>
        </w:rPr>
      </w:pPr>
      <w:r>
        <w:rPr>
          <w:rFonts w:hint="eastAsia"/>
          <w:sz w:val="24"/>
        </w:rPr>
        <w:t>（5）由于中标人的原因未能按照招标文件的规定交纳履约保证金的；</w:t>
      </w:r>
    </w:p>
    <w:p>
      <w:pPr>
        <w:spacing w:before="156" w:beforeLines="50" w:after="156" w:afterLines="50" w:line="400" w:lineRule="exact"/>
        <w:ind w:firstLine="470" w:firstLineChars="196"/>
        <w:rPr>
          <w:sz w:val="24"/>
        </w:rPr>
      </w:pPr>
      <w:r>
        <w:rPr>
          <w:rFonts w:hint="eastAsia"/>
          <w:sz w:val="24"/>
        </w:rPr>
        <w:t>（</w:t>
      </w:r>
      <w:r>
        <w:rPr>
          <w:sz w:val="24"/>
        </w:rPr>
        <w:t>6</w:t>
      </w:r>
      <w:r>
        <w:rPr>
          <w:rFonts w:hint="eastAsia"/>
          <w:sz w:val="24"/>
        </w:rPr>
        <w:t>）投标人弄虚作假骗取中标；</w:t>
      </w:r>
    </w:p>
    <w:p>
      <w:pPr>
        <w:spacing w:before="156" w:beforeLines="50" w:after="156" w:afterLines="50" w:line="400" w:lineRule="exact"/>
        <w:ind w:firstLine="470" w:firstLineChars="196"/>
        <w:rPr>
          <w:sz w:val="24"/>
        </w:rPr>
      </w:pPr>
      <w:r>
        <w:rPr>
          <w:rFonts w:hint="eastAsia"/>
          <w:sz w:val="24"/>
        </w:rPr>
        <w:t>（</w:t>
      </w:r>
      <w:r>
        <w:rPr>
          <w:sz w:val="24"/>
        </w:rPr>
        <w:t>7</w:t>
      </w:r>
      <w:r>
        <w:rPr>
          <w:rFonts w:hint="eastAsia"/>
          <w:sz w:val="24"/>
        </w:rPr>
        <w:t>）投标有效期内，投标人在本次招标采购活动中有违法、违规、违纪行为。</w:t>
      </w:r>
    </w:p>
    <w:p>
      <w:pPr>
        <w:spacing w:before="156" w:beforeLines="50" w:after="156" w:afterLines="50" w:line="400" w:lineRule="exact"/>
        <w:ind w:firstLine="470" w:firstLineChars="196"/>
        <w:rPr>
          <w:sz w:val="24"/>
        </w:rPr>
      </w:pPr>
      <w:r>
        <w:rPr>
          <w:rFonts w:hint="eastAsia"/>
          <w:sz w:val="24"/>
        </w:rPr>
        <w:t>（</w:t>
      </w:r>
      <w:r>
        <w:rPr>
          <w:sz w:val="24"/>
        </w:rPr>
        <w:t>8</w:t>
      </w:r>
      <w:r>
        <w:rPr>
          <w:rFonts w:hint="eastAsia"/>
          <w:sz w:val="24"/>
        </w:rPr>
        <w:t>）在招标文件规定的</w:t>
      </w:r>
      <w:r>
        <w:rPr>
          <w:rFonts w:ascii="宋体" w:hAnsi="宋体" w:cs="宋体"/>
          <w:kern w:val="0"/>
          <w:sz w:val="24"/>
        </w:rPr>
        <w:t>投标截止</w:t>
      </w:r>
      <w:r>
        <w:rPr>
          <w:rFonts w:hint="eastAsia" w:ascii="宋体" w:hAnsi="宋体" w:cs="宋体"/>
          <w:kern w:val="0"/>
          <w:sz w:val="24"/>
        </w:rPr>
        <w:t>时间</w:t>
      </w:r>
      <w:r>
        <w:rPr>
          <w:rFonts w:ascii="宋体" w:hAnsi="宋体" w:cs="宋体"/>
          <w:kern w:val="0"/>
          <w:sz w:val="24"/>
        </w:rPr>
        <w:t>后</w:t>
      </w:r>
      <w:r>
        <w:rPr>
          <w:rFonts w:hint="eastAsia" w:ascii="宋体" w:hAnsi="宋体" w:cs="宋体"/>
          <w:kern w:val="0"/>
          <w:sz w:val="24"/>
        </w:rPr>
        <w:t>，</w:t>
      </w:r>
      <w:r>
        <w:rPr>
          <w:rFonts w:ascii="宋体" w:hAnsi="宋体" w:cs="宋体"/>
          <w:kern w:val="0"/>
          <w:sz w:val="24"/>
        </w:rPr>
        <w:t>投标人撤销投标文件的</w:t>
      </w:r>
      <w:r>
        <w:rPr>
          <w:rFonts w:hint="eastAsia"/>
          <w:sz w:val="24"/>
        </w:rPr>
        <w:t>。</w:t>
      </w:r>
    </w:p>
    <w:p>
      <w:pPr>
        <w:pStyle w:val="4"/>
        <w:spacing w:before="156" w:beforeLines="50" w:after="156" w:afterLines="50" w:line="400" w:lineRule="exact"/>
        <w:ind w:firstLine="482" w:firstLineChars="200"/>
        <w:rPr>
          <w:rFonts w:ascii="宋体"/>
          <w:bCs w:val="0"/>
          <w:sz w:val="24"/>
        </w:rPr>
      </w:pPr>
      <w:bookmarkStart w:id="90" w:name="_Toc183682361"/>
      <w:bookmarkStart w:id="91" w:name="_Toc183582224"/>
      <w:bookmarkStart w:id="92" w:name="_Toc308164801"/>
      <w:bookmarkStart w:id="93" w:name="_Toc217446051"/>
      <w:r>
        <w:rPr>
          <w:rFonts w:hint="eastAsia" w:ascii="宋体"/>
          <w:bCs w:val="0"/>
          <w:sz w:val="24"/>
        </w:rPr>
        <w:t>17．投标有效期</w:t>
      </w:r>
      <w:bookmarkEnd w:id="90"/>
      <w:bookmarkEnd w:id="91"/>
      <w:bookmarkEnd w:id="92"/>
      <w:bookmarkEnd w:id="93"/>
      <w:r>
        <w:rPr>
          <w:rFonts w:hint="eastAsia"/>
          <w:sz w:val="24"/>
          <w:szCs w:val="24"/>
        </w:rPr>
        <w:t>（实质性要求）</w:t>
      </w:r>
    </w:p>
    <w:p>
      <w:pPr>
        <w:tabs>
          <w:tab w:val="left" w:pos="7665"/>
        </w:tabs>
        <w:spacing w:before="156" w:beforeLines="50" w:after="156" w:afterLines="50" w:line="400" w:lineRule="exact"/>
        <w:ind w:left="13" w:leftChars="6" w:firstLine="480" w:firstLineChars="200"/>
        <w:rPr>
          <w:rFonts w:ascii="宋体"/>
          <w:sz w:val="24"/>
        </w:rPr>
      </w:pPr>
      <w:r>
        <w:rPr>
          <w:rFonts w:hint="eastAsia" w:ascii="宋体"/>
          <w:sz w:val="24"/>
        </w:rPr>
        <w:t>17.1 本项目投标有效期为投标截止时间届满后</w:t>
      </w:r>
      <w:r>
        <w:rPr>
          <w:rFonts w:hint="eastAsia" w:ascii="宋体"/>
          <w:b/>
          <w:bCs/>
          <w:sz w:val="24"/>
        </w:rPr>
        <w:t>90</w:t>
      </w:r>
      <w:r>
        <w:rPr>
          <w:rFonts w:hint="eastAsia" w:ascii="宋体"/>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before="156" w:beforeLines="50" w:after="156" w:afterLines="50" w:line="400" w:lineRule="exact"/>
        <w:ind w:left="13" w:leftChars="6" w:firstLine="360" w:firstLineChars="150"/>
        <w:rPr>
          <w:rFonts w:ascii="宋体"/>
          <w:sz w:val="24"/>
        </w:rPr>
      </w:pPr>
      <w:r>
        <w:rPr>
          <w:rFonts w:hint="eastAsia" w:ascii="宋体"/>
          <w:sz w:val="24"/>
        </w:rPr>
        <w:t xml:space="preserve">17.2 因不可抗力事件，招标人可于投标有效期届满之前与投标人协商延长投标有效期。投标人拒绝延长投标有效期的，不得再参与该项目后续招标采购活动，但由此给投标人造成的损失，招标人可以自主决定是否可以给予适当补偿。投标人同意延长投标有效期的，不能修改投标文件。 </w:t>
      </w:r>
    </w:p>
    <w:p>
      <w:pPr>
        <w:tabs>
          <w:tab w:val="left" w:pos="7665"/>
        </w:tabs>
        <w:spacing w:before="156" w:beforeLines="50" w:after="156" w:afterLines="50" w:line="400" w:lineRule="exact"/>
        <w:ind w:left="13" w:leftChars="6" w:firstLine="360" w:firstLineChars="150"/>
        <w:rPr>
          <w:rFonts w:ascii="宋体"/>
          <w:sz w:val="24"/>
        </w:rPr>
      </w:pPr>
      <w:r>
        <w:rPr>
          <w:rFonts w:hint="eastAsia" w:ascii="宋体"/>
          <w:sz w:val="24"/>
        </w:rPr>
        <w:t>17.3 因招标人采购需求作出必要调整，招标人可于投标有效期届满之前与投标人协商延长投标有效期。投标人拒绝延长投标有效期的，不得再参与该项目后续招标采购活动，但由此给投标人造成的损失，招标人应当予以赔偿或者合理补偿。投标人同意延长投标有效期的，不能修改投标文件。</w:t>
      </w:r>
    </w:p>
    <w:p>
      <w:pPr>
        <w:pStyle w:val="4"/>
        <w:spacing w:before="156" w:beforeLines="50" w:after="156" w:afterLines="50" w:line="400" w:lineRule="exact"/>
        <w:ind w:firstLine="482" w:firstLineChars="200"/>
        <w:rPr>
          <w:rFonts w:ascii="宋体"/>
          <w:bCs w:val="0"/>
          <w:sz w:val="24"/>
        </w:rPr>
      </w:pPr>
      <w:bookmarkStart w:id="94" w:name="_Toc217446052"/>
      <w:bookmarkStart w:id="95" w:name="_Toc183682362"/>
      <w:bookmarkStart w:id="96" w:name="_Toc308164802"/>
      <w:bookmarkStart w:id="97" w:name="_Toc183582225"/>
      <w:bookmarkStart w:id="98" w:name="_Toc183582231"/>
      <w:bookmarkStart w:id="99" w:name="_Toc183682368"/>
      <w:bookmarkStart w:id="100" w:name="_Toc89075878"/>
      <w:bookmarkStart w:id="101" w:name="_Toc77400782"/>
      <w:bookmarkStart w:id="102" w:name="_Toc217446056"/>
      <w:bookmarkStart w:id="103" w:name="_Toc308164805"/>
      <w:r>
        <w:rPr>
          <w:rFonts w:hint="eastAsia" w:ascii="宋体"/>
          <w:bCs w:val="0"/>
          <w:sz w:val="24"/>
        </w:rPr>
        <w:t>18．投标文件的印制和签署</w:t>
      </w:r>
      <w:bookmarkEnd w:id="94"/>
      <w:bookmarkEnd w:id="95"/>
      <w:bookmarkEnd w:id="96"/>
      <w:bookmarkEnd w:id="97"/>
    </w:p>
    <w:p>
      <w:pPr>
        <w:tabs>
          <w:tab w:val="left" w:pos="1080"/>
        </w:tabs>
        <w:spacing w:before="156" w:beforeLines="50" w:after="156" w:afterLines="50" w:line="400" w:lineRule="exact"/>
        <w:ind w:firstLine="460" w:firstLineChars="192"/>
        <w:rPr>
          <w:rFonts w:ascii="宋体"/>
          <w:b/>
          <w:bCs/>
          <w:sz w:val="24"/>
        </w:rPr>
      </w:pPr>
      <w:r>
        <w:rPr>
          <w:rFonts w:hint="eastAsia" w:ascii="宋体"/>
          <w:sz w:val="24"/>
        </w:rPr>
        <w:t>18.1</w:t>
      </w:r>
      <w:r>
        <w:rPr>
          <w:rFonts w:hint="eastAsia" w:hAnsi="宋体"/>
          <w:sz w:val="24"/>
        </w:rPr>
        <w:t>投标人应按招标文件要求准备投标文件正本</w:t>
      </w:r>
      <w:r>
        <w:rPr>
          <w:rFonts w:hint="eastAsia" w:hAnsi="宋体"/>
          <w:sz w:val="24"/>
          <w:u w:val="single"/>
        </w:rPr>
        <w:t>壹</w:t>
      </w:r>
      <w:r>
        <w:rPr>
          <w:rFonts w:hint="eastAsia" w:hAnsi="宋体"/>
          <w:sz w:val="24"/>
        </w:rPr>
        <w:t>份、副本</w:t>
      </w:r>
      <w:r>
        <w:rPr>
          <w:rFonts w:hint="eastAsia" w:hAnsi="宋体"/>
          <w:bCs/>
          <w:sz w:val="24"/>
          <w:u w:val="single"/>
        </w:rPr>
        <w:t>肆</w:t>
      </w:r>
      <w:r>
        <w:rPr>
          <w:rFonts w:hint="eastAsia" w:hAnsi="宋体"/>
          <w:sz w:val="24"/>
        </w:rPr>
        <w:t>份。所有投标文件均应在其封面上清楚地标明“正本”或“副本”、</w:t>
      </w:r>
      <w:r>
        <w:rPr>
          <w:rFonts w:hint="eastAsia" w:ascii="宋体"/>
          <w:sz w:val="24"/>
        </w:rPr>
        <w:t>投标人名称、项目名称、招标编号及分包号（如涉及）字样</w:t>
      </w:r>
      <w:r>
        <w:rPr>
          <w:rFonts w:hint="eastAsia" w:hAnsi="宋体"/>
          <w:sz w:val="24"/>
        </w:rPr>
        <w:t>。若投标文件的正本与副本有不一致的内容，以正本为准。</w:t>
      </w:r>
      <w:r>
        <w:rPr>
          <w:rFonts w:hint="eastAsia" w:ascii="宋体"/>
          <w:b/>
          <w:bCs/>
          <w:sz w:val="24"/>
        </w:rPr>
        <w:t>（实质性要求）</w:t>
      </w:r>
    </w:p>
    <w:p>
      <w:pPr>
        <w:tabs>
          <w:tab w:val="left" w:pos="1080"/>
        </w:tabs>
        <w:spacing w:before="156" w:beforeLines="50" w:after="156" w:afterLines="50" w:line="400" w:lineRule="exact"/>
        <w:ind w:firstLine="460" w:firstLineChars="192"/>
        <w:rPr>
          <w:rFonts w:ascii="宋体"/>
          <w:sz w:val="24"/>
        </w:rPr>
      </w:pPr>
      <w:r>
        <w:rPr>
          <w:rFonts w:hint="eastAsia" w:ascii="宋体"/>
          <w:sz w:val="24"/>
        </w:rPr>
        <w:t>18.2</w:t>
      </w:r>
      <w:r>
        <w:rPr>
          <w:rFonts w:ascii="宋体"/>
          <w:sz w:val="24"/>
        </w:rPr>
        <w:t xml:space="preserve"> </w:t>
      </w:r>
      <w:r>
        <w:rPr>
          <w:rFonts w:hint="eastAsia" w:ascii="宋体"/>
          <w:sz w:val="24"/>
        </w:rPr>
        <w:t>投标人在制作投标文件时，应将“开标一览表”编制在投标文件正副本内，如有遗漏，将被视为无效投标</w:t>
      </w:r>
      <w:r>
        <w:rPr>
          <w:rFonts w:hint="eastAsia" w:ascii="宋体"/>
          <w:b/>
          <w:bCs/>
          <w:sz w:val="24"/>
        </w:rPr>
        <w:t>（实质性要求）。</w:t>
      </w:r>
    </w:p>
    <w:p>
      <w:pPr>
        <w:tabs>
          <w:tab w:val="left" w:pos="1080"/>
        </w:tabs>
        <w:spacing w:before="156" w:beforeLines="50" w:after="156" w:afterLines="50" w:line="400" w:lineRule="exact"/>
        <w:ind w:firstLine="460" w:firstLineChars="192"/>
        <w:rPr>
          <w:rFonts w:ascii="宋体"/>
          <w:sz w:val="24"/>
        </w:rPr>
      </w:pPr>
      <w:r>
        <w:rPr>
          <w:rFonts w:hint="eastAsia" w:ascii="宋体"/>
          <w:sz w:val="24"/>
        </w:rPr>
        <w:t>注：本项目不需要提供单独密封的“开标一览表”。若投标人提供有单独密封的“开标一览表”，该 “开标一览表”不作为开标、唱标及评标的依据，但投标人在规定的投标截止时间前，按招标文件要求补充、修改投标文件中“开标一览表”内容的除外。</w:t>
      </w:r>
    </w:p>
    <w:p>
      <w:pPr>
        <w:tabs>
          <w:tab w:val="left" w:pos="1080"/>
        </w:tabs>
        <w:spacing w:before="156" w:beforeLines="50" w:after="156" w:afterLines="50" w:line="400" w:lineRule="exact"/>
        <w:ind w:firstLine="460" w:firstLineChars="192"/>
        <w:rPr>
          <w:rFonts w:ascii="宋体"/>
          <w:sz w:val="24"/>
        </w:rPr>
      </w:pPr>
      <w:r>
        <w:rPr>
          <w:rFonts w:hint="eastAsia" w:ascii="宋体"/>
          <w:sz w:val="24"/>
        </w:rPr>
        <w:t>18.3投标人根据项目情况可以提供投标文件电子文档壹份。若电子文档与纸质文档有不一致的内容，以纸质文档为准。</w:t>
      </w:r>
    </w:p>
    <w:p>
      <w:pPr>
        <w:tabs>
          <w:tab w:val="left" w:pos="1095"/>
        </w:tabs>
        <w:spacing w:before="156" w:beforeLines="50" w:after="156" w:afterLines="50" w:line="400" w:lineRule="exact"/>
        <w:ind w:firstLine="460" w:firstLineChars="192"/>
        <w:rPr>
          <w:rFonts w:ascii="宋体"/>
          <w:sz w:val="24"/>
        </w:rPr>
      </w:pPr>
      <w:r>
        <w:rPr>
          <w:rFonts w:hint="eastAsia" w:ascii="宋体"/>
          <w:sz w:val="24"/>
        </w:rPr>
        <w:t>18.4 投标文件的正本和副本均需打印或用不褪色、不变质的墨水书写。投标文件副本可采用正本的复印件，电子文档可采用光盘或U盘制作。</w:t>
      </w:r>
    </w:p>
    <w:p>
      <w:pPr>
        <w:tabs>
          <w:tab w:val="left" w:pos="1095"/>
        </w:tabs>
        <w:spacing w:before="156" w:beforeLines="50" w:after="156" w:afterLines="50" w:line="400" w:lineRule="exact"/>
        <w:ind w:firstLine="460" w:firstLineChars="192"/>
        <w:rPr>
          <w:rFonts w:ascii="宋体"/>
          <w:sz w:val="24"/>
        </w:rPr>
      </w:pPr>
      <w:r>
        <w:rPr>
          <w:rFonts w:hint="eastAsia" w:ascii="宋体"/>
          <w:sz w:val="24"/>
        </w:rPr>
        <w:t>18.5 投标文件的打印和书写应清楚工整，任何行间插字、涂改或增删，应由投标人的法定代表人/单位负责人或其代理人签字或盖个人名章。</w:t>
      </w:r>
    </w:p>
    <w:p>
      <w:pPr>
        <w:tabs>
          <w:tab w:val="left" w:pos="1080"/>
        </w:tabs>
        <w:spacing w:before="156" w:beforeLines="50" w:after="156" w:afterLines="50" w:line="400" w:lineRule="exact"/>
        <w:ind w:firstLine="460" w:firstLineChars="192"/>
        <w:rPr>
          <w:rFonts w:ascii="宋体"/>
          <w:sz w:val="24"/>
        </w:rPr>
      </w:pPr>
      <w:r>
        <w:rPr>
          <w:rFonts w:hint="eastAsia" w:ascii="宋体"/>
          <w:sz w:val="24"/>
        </w:rPr>
        <w:t>18.6 投标文件正本和副本均应当采取胶装方式装订成册，不应散装或者活页装订。</w:t>
      </w:r>
    </w:p>
    <w:p>
      <w:pPr>
        <w:tabs>
          <w:tab w:val="left" w:pos="1080"/>
        </w:tabs>
        <w:spacing w:before="156" w:beforeLines="50" w:after="156" w:afterLines="50" w:line="400" w:lineRule="exact"/>
        <w:ind w:firstLine="460" w:firstLineChars="192"/>
        <w:rPr>
          <w:rFonts w:ascii="宋体"/>
          <w:sz w:val="24"/>
        </w:rPr>
      </w:pPr>
      <w:r>
        <w:rPr>
          <w:rFonts w:hint="eastAsia" w:ascii="宋体"/>
          <w:sz w:val="24"/>
        </w:rPr>
        <w:t>18.7 投标文件应根据招标文件的要求制作，签署、盖章和内容应完整。</w:t>
      </w:r>
    </w:p>
    <w:p>
      <w:pPr>
        <w:tabs>
          <w:tab w:val="left" w:pos="1080"/>
        </w:tabs>
        <w:spacing w:before="156" w:beforeLines="50" w:after="156" w:afterLines="50" w:line="400" w:lineRule="exact"/>
        <w:ind w:firstLine="460" w:firstLineChars="192"/>
        <w:rPr>
          <w:rFonts w:ascii="宋体"/>
          <w:sz w:val="24"/>
        </w:rPr>
      </w:pPr>
      <w:r>
        <w:rPr>
          <w:rFonts w:hint="eastAsia" w:ascii="宋体"/>
          <w:sz w:val="24"/>
        </w:rPr>
        <w:t>18.8 投标文件统一用A4幅面纸印制，逐页编码。</w:t>
      </w:r>
    </w:p>
    <w:p>
      <w:pPr>
        <w:tabs>
          <w:tab w:val="left" w:pos="1080"/>
        </w:tabs>
        <w:spacing w:before="156" w:beforeLines="50" w:after="156" w:afterLines="50" w:line="400" w:lineRule="exact"/>
        <w:ind w:firstLine="460" w:firstLineChars="192"/>
        <w:rPr>
          <w:rFonts w:ascii="宋体"/>
          <w:sz w:val="24"/>
        </w:rPr>
      </w:pPr>
      <w:r>
        <w:rPr>
          <w:rFonts w:hint="eastAsia" w:ascii="宋体"/>
          <w:sz w:val="24"/>
        </w:rPr>
        <w:t>18.9 本次招标要求的复印件是指对图文进行复制后的文件，包括扫描、复印、影印等方式复制的材料。</w:t>
      </w:r>
    </w:p>
    <w:p>
      <w:pPr>
        <w:pStyle w:val="4"/>
        <w:spacing w:before="156" w:beforeLines="50" w:after="156" w:afterLines="50" w:line="400" w:lineRule="exact"/>
        <w:ind w:firstLine="482" w:firstLineChars="200"/>
        <w:rPr>
          <w:rFonts w:ascii="宋体"/>
          <w:sz w:val="24"/>
          <w:szCs w:val="24"/>
        </w:rPr>
      </w:pPr>
      <w:bookmarkStart w:id="104" w:name="_Toc77400781"/>
      <w:bookmarkStart w:id="105" w:name="_Toc183582226"/>
      <w:bookmarkStart w:id="106" w:name="_Toc89075877"/>
      <w:bookmarkStart w:id="107" w:name="_Toc183682363"/>
      <w:bookmarkStart w:id="108" w:name="_Toc217446053"/>
      <w:bookmarkStart w:id="109" w:name="_Toc308164803"/>
      <w:r>
        <w:rPr>
          <w:rFonts w:hint="eastAsia" w:ascii="宋体"/>
          <w:bCs w:val="0"/>
          <w:sz w:val="24"/>
          <w:szCs w:val="24"/>
        </w:rPr>
        <w:t>19.</w:t>
      </w:r>
      <w:r>
        <w:rPr>
          <w:rFonts w:hint="eastAsia" w:ascii="宋体"/>
          <w:sz w:val="24"/>
          <w:szCs w:val="24"/>
        </w:rPr>
        <w:t>投标文件的密封和标</w:t>
      </w:r>
      <w:bookmarkEnd w:id="104"/>
      <w:bookmarkEnd w:id="105"/>
      <w:bookmarkEnd w:id="106"/>
      <w:bookmarkEnd w:id="107"/>
      <w:r>
        <w:rPr>
          <w:rFonts w:hint="eastAsia" w:ascii="宋体"/>
          <w:sz w:val="24"/>
          <w:szCs w:val="24"/>
        </w:rPr>
        <w:t>注</w:t>
      </w:r>
      <w:bookmarkEnd w:id="108"/>
      <w:bookmarkEnd w:id="109"/>
    </w:p>
    <w:p>
      <w:pPr>
        <w:tabs>
          <w:tab w:val="left" w:pos="1080"/>
        </w:tabs>
        <w:spacing w:before="156" w:beforeLines="50" w:after="156" w:afterLines="50" w:line="400" w:lineRule="exact"/>
        <w:ind w:firstLine="460" w:firstLineChars="192"/>
        <w:rPr>
          <w:rFonts w:ascii="宋体"/>
          <w:sz w:val="24"/>
        </w:rPr>
      </w:pPr>
      <w:bookmarkStart w:id="110" w:name="_Toc183582227"/>
      <w:bookmarkStart w:id="111" w:name="_Toc183682364"/>
      <w:bookmarkStart w:id="112" w:name="_Toc308164804"/>
      <w:bookmarkStart w:id="113" w:name="_Toc217446054"/>
      <w:r>
        <w:rPr>
          <w:rFonts w:hint="eastAsia" w:ascii="宋体"/>
          <w:sz w:val="24"/>
        </w:rPr>
        <w:t>19.1 投标文件（包括正本和副本）、投标文件</w:t>
      </w:r>
      <w:r>
        <w:rPr>
          <w:rFonts w:hint="eastAsia" w:hAnsi="宋体"/>
          <w:sz w:val="24"/>
        </w:rPr>
        <w:t>电子文档</w:t>
      </w:r>
      <w:r>
        <w:rPr>
          <w:rFonts w:hint="eastAsia" w:ascii="宋体"/>
          <w:sz w:val="24"/>
        </w:rPr>
        <w:t>均应当密封，且所有密封袋上至少应当注明投标人名称、招标编号、项目名称及分包号（如涉及）。</w:t>
      </w:r>
    </w:p>
    <w:p>
      <w:pPr>
        <w:pStyle w:val="4"/>
        <w:spacing w:before="156" w:beforeLines="50" w:after="156" w:afterLines="50" w:line="400" w:lineRule="exact"/>
        <w:ind w:firstLine="482" w:firstLineChars="200"/>
        <w:rPr>
          <w:rFonts w:ascii="宋体"/>
          <w:bCs w:val="0"/>
          <w:sz w:val="24"/>
          <w:szCs w:val="24"/>
        </w:rPr>
      </w:pPr>
      <w:r>
        <w:rPr>
          <w:rFonts w:hint="eastAsia" w:ascii="宋体"/>
          <w:bCs w:val="0"/>
          <w:sz w:val="24"/>
          <w:szCs w:val="24"/>
        </w:rPr>
        <w:t>20</w:t>
      </w:r>
      <w:r>
        <w:rPr>
          <w:rFonts w:hint="eastAsia" w:ascii="宋体"/>
          <w:bCs w:val="0"/>
          <w:sz w:val="28"/>
          <w:szCs w:val="28"/>
        </w:rPr>
        <w:t>．</w:t>
      </w:r>
      <w:r>
        <w:rPr>
          <w:rFonts w:hint="eastAsia" w:ascii="宋体"/>
          <w:bCs w:val="0"/>
          <w:sz w:val="24"/>
          <w:szCs w:val="24"/>
        </w:rPr>
        <w:t>投标文件的</w:t>
      </w:r>
      <w:bookmarkEnd w:id="110"/>
      <w:bookmarkEnd w:id="111"/>
      <w:r>
        <w:rPr>
          <w:rFonts w:hint="eastAsia" w:ascii="宋体"/>
          <w:bCs w:val="0"/>
          <w:sz w:val="24"/>
          <w:szCs w:val="24"/>
        </w:rPr>
        <w:t>递交</w:t>
      </w:r>
      <w:bookmarkEnd w:id="112"/>
      <w:bookmarkEnd w:id="113"/>
    </w:p>
    <w:p>
      <w:pPr>
        <w:tabs>
          <w:tab w:val="left" w:pos="1095"/>
        </w:tabs>
        <w:spacing w:before="156" w:beforeLines="50" w:after="156" w:afterLines="50" w:line="400" w:lineRule="exact"/>
        <w:ind w:firstLine="460" w:firstLineChars="192"/>
        <w:rPr>
          <w:rFonts w:ascii="宋体"/>
          <w:sz w:val="24"/>
        </w:rPr>
      </w:pPr>
      <w:r>
        <w:rPr>
          <w:rFonts w:hint="eastAsia" w:ascii="宋体"/>
          <w:sz w:val="24"/>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before="156" w:beforeLines="50" w:after="156" w:afterLines="50" w:line="400" w:lineRule="exact"/>
        <w:ind w:firstLine="460" w:firstLineChars="192"/>
        <w:rPr>
          <w:rFonts w:ascii="宋体"/>
          <w:sz w:val="24"/>
        </w:rPr>
      </w:pPr>
      <w:r>
        <w:rPr>
          <w:rFonts w:hint="eastAsia" w:ascii="宋体"/>
          <w:sz w:val="24"/>
        </w:rPr>
        <w:t xml:space="preserve">注：投标人在递交投标文件时，请用正楷填写本招标文件附件二“递交投标文件签收表”然后将签收表和投标文件一并递交给本招标代理机构项目工作人员。 </w:t>
      </w:r>
    </w:p>
    <w:p>
      <w:pPr>
        <w:tabs>
          <w:tab w:val="left" w:pos="1095"/>
        </w:tabs>
        <w:spacing w:before="156" w:beforeLines="50" w:after="156" w:afterLines="50" w:line="400" w:lineRule="exact"/>
        <w:ind w:firstLine="460" w:firstLineChars="192"/>
        <w:rPr>
          <w:rFonts w:ascii="宋体"/>
          <w:sz w:val="24"/>
        </w:rPr>
      </w:pPr>
      <w:r>
        <w:rPr>
          <w:rFonts w:hint="eastAsia" w:ascii="宋体"/>
          <w:sz w:val="24"/>
        </w:rPr>
        <w:t>20.2递交投标文件时，报名的潜在投标人名称、招标文件的文号和分包号应当与实际参与投标的企业名称、招标文件的文号和分包号一致。但是，如果只是封面文字错误，其它内容均一致的，可以在评标过程中当面予以澄清，以有效的澄清材料作为认定投标文件是否有效的依据。</w:t>
      </w:r>
    </w:p>
    <w:p>
      <w:pPr>
        <w:tabs>
          <w:tab w:val="left" w:pos="1095"/>
        </w:tabs>
        <w:spacing w:before="156" w:beforeLines="50" w:after="156" w:afterLines="50" w:line="400" w:lineRule="exact"/>
        <w:ind w:firstLine="460" w:firstLineChars="192"/>
        <w:rPr>
          <w:rFonts w:ascii="宋体"/>
          <w:sz w:val="24"/>
        </w:rPr>
      </w:pPr>
      <w:r>
        <w:rPr>
          <w:rFonts w:hint="eastAsia" w:ascii="宋体"/>
          <w:sz w:val="24"/>
        </w:rPr>
        <w:t>20.3本次招标不接收邮寄的投标文件。</w:t>
      </w:r>
    </w:p>
    <w:p>
      <w:pPr>
        <w:pStyle w:val="4"/>
        <w:spacing w:before="156" w:beforeLines="50" w:after="156" w:afterLines="50" w:line="400" w:lineRule="exact"/>
        <w:ind w:firstLine="482" w:firstLineChars="200"/>
        <w:rPr>
          <w:rFonts w:ascii="宋体"/>
          <w:bCs w:val="0"/>
          <w:sz w:val="24"/>
          <w:szCs w:val="24"/>
        </w:rPr>
      </w:pPr>
      <w:bookmarkStart w:id="114" w:name="_Toc183682365"/>
      <w:bookmarkStart w:id="115" w:name="_Toc183582228"/>
      <w:bookmarkStart w:id="116" w:name="_Toc217446055"/>
      <w:r>
        <w:rPr>
          <w:rFonts w:hint="eastAsia" w:ascii="宋体"/>
          <w:bCs w:val="0"/>
          <w:sz w:val="24"/>
          <w:szCs w:val="24"/>
        </w:rPr>
        <w:t>21．投标文件的补充、修改和撤</w:t>
      </w:r>
      <w:bookmarkEnd w:id="114"/>
      <w:bookmarkEnd w:id="115"/>
      <w:r>
        <w:rPr>
          <w:rFonts w:hint="eastAsia" w:ascii="宋体"/>
          <w:bCs w:val="0"/>
          <w:sz w:val="24"/>
          <w:szCs w:val="24"/>
        </w:rPr>
        <w:t>回</w:t>
      </w:r>
      <w:bookmarkEnd w:id="116"/>
    </w:p>
    <w:p>
      <w:pPr>
        <w:tabs>
          <w:tab w:val="left" w:pos="1095"/>
        </w:tabs>
        <w:spacing w:line="400" w:lineRule="exact"/>
        <w:ind w:firstLine="460" w:firstLineChars="192"/>
        <w:rPr>
          <w:rFonts w:ascii="宋体"/>
          <w:sz w:val="24"/>
        </w:rPr>
      </w:pPr>
      <w:r>
        <w:rPr>
          <w:rFonts w:hint="eastAsia" w:ascii="宋体"/>
          <w:sz w:val="24"/>
        </w:rPr>
        <w:t>21.1 投标人在递交了投标文件后，可以补充</w:t>
      </w:r>
      <w:r>
        <w:rPr>
          <w:rFonts w:ascii="宋体"/>
          <w:sz w:val="24"/>
        </w:rPr>
        <w:t>、</w:t>
      </w:r>
      <w:r>
        <w:rPr>
          <w:rFonts w:hint="eastAsia" w:ascii="宋体"/>
          <w:sz w:val="24"/>
        </w:rPr>
        <w:t>修改或撤回其投标文件，但必须在规定的投标截止时间前，以书面形式通知采购代理机构。</w:t>
      </w:r>
    </w:p>
    <w:p>
      <w:pPr>
        <w:tabs>
          <w:tab w:val="left" w:pos="1095"/>
        </w:tabs>
        <w:spacing w:line="400" w:lineRule="exact"/>
        <w:ind w:firstLine="460" w:firstLineChars="192"/>
        <w:rPr>
          <w:rFonts w:ascii="宋体"/>
          <w:b/>
          <w:bCs/>
          <w:sz w:val="24"/>
        </w:rPr>
      </w:pPr>
      <w:r>
        <w:rPr>
          <w:rFonts w:hint="eastAsia" w:ascii="宋体"/>
          <w:sz w:val="24"/>
        </w:rPr>
        <w:t>21.2 投标人补充</w:t>
      </w:r>
      <w:r>
        <w:rPr>
          <w:rFonts w:ascii="宋体"/>
          <w:sz w:val="24"/>
        </w:rPr>
        <w:t>、</w:t>
      </w:r>
      <w:r>
        <w:rPr>
          <w:rFonts w:hint="eastAsia" w:ascii="宋体"/>
          <w:sz w:val="24"/>
        </w:rPr>
        <w:t>修改的内容材料，应由其法定代表人/单位负责人或授权代表签署并盖单位公章（鲜章）。补充</w:t>
      </w:r>
      <w:r>
        <w:rPr>
          <w:rFonts w:ascii="宋体"/>
          <w:sz w:val="24"/>
        </w:rPr>
        <w:t>、</w:t>
      </w:r>
      <w:r>
        <w:rPr>
          <w:rFonts w:hint="eastAsia" w:ascii="宋体"/>
          <w:sz w:val="24"/>
        </w:rPr>
        <w:t>修改的内容材料的封面上须至少注明投标人名称、项目编号、项目名称、分包号（如有分包），并明确标注“补充”或“修改”字样。</w:t>
      </w:r>
      <w:r>
        <w:rPr>
          <w:rFonts w:hint="eastAsia" w:ascii="宋体"/>
          <w:b/>
          <w:bCs/>
          <w:sz w:val="24"/>
        </w:rPr>
        <w:t>（实质性要求）</w:t>
      </w:r>
    </w:p>
    <w:p>
      <w:pPr>
        <w:tabs>
          <w:tab w:val="left" w:pos="1095"/>
        </w:tabs>
        <w:spacing w:line="400" w:lineRule="exact"/>
        <w:ind w:firstLine="460" w:firstLineChars="192"/>
        <w:rPr>
          <w:rFonts w:ascii="宋体"/>
          <w:sz w:val="24"/>
        </w:rPr>
      </w:pPr>
      <w:r>
        <w:rPr>
          <w:rFonts w:hint="eastAsia" w:ascii="宋体"/>
          <w:sz w:val="24"/>
        </w:rPr>
        <w:t>21.3</w:t>
      </w:r>
      <w:r>
        <w:rPr>
          <w:rFonts w:ascii="宋体"/>
          <w:sz w:val="24"/>
        </w:rPr>
        <w:t xml:space="preserve"> </w:t>
      </w:r>
      <w:r>
        <w:rPr>
          <w:rFonts w:hint="eastAsia" w:ascii="宋体"/>
          <w:sz w:val="24"/>
        </w:rPr>
        <w:t>投标人补充</w:t>
      </w:r>
      <w:r>
        <w:rPr>
          <w:rFonts w:ascii="宋体"/>
          <w:sz w:val="24"/>
        </w:rPr>
        <w:t>、</w:t>
      </w:r>
      <w:r>
        <w:rPr>
          <w:rFonts w:hint="eastAsia" w:ascii="宋体"/>
          <w:sz w:val="24"/>
        </w:rPr>
        <w:t>修改的内容材料应该进行密封和标注。密封袋上至少应当注明投标人名称、项目编号、项目名称及分包号（如有分包），并在密封袋上标注“补充”或“修改”字样。</w:t>
      </w:r>
    </w:p>
    <w:p>
      <w:pPr>
        <w:tabs>
          <w:tab w:val="left" w:pos="1095"/>
        </w:tabs>
        <w:spacing w:line="400" w:lineRule="exact"/>
        <w:ind w:firstLine="460" w:firstLineChars="192"/>
        <w:rPr>
          <w:rFonts w:ascii="宋体"/>
          <w:sz w:val="24"/>
        </w:rPr>
      </w:pPr>
      <w:r>
        <w:rPr>
          <w:rFonts w:hint="eastAsia" w:ascii="宋体"/>
          <w:sz w:val="24"/>
        </w:rPr>
        <w:t>21.4 在投标截止时间之后，投标人不得对其递交的投标文件做任何修改，撤回投标的，将按照有关规定进行相应处理。</w:t>
      </w:r>
    </w:p>
    <w:p>
      <w:pPr>
        <w:pStyle w:val="3"/>
        <w:spacing w:before="156" w:beforeLines="50" w:after="156" w:afterLines="50" w:line="400" w:lineRule="exact"/>
        <w:jc w:val="center"/>
      </w:pPr>
      <w:r>
        <w:rPr>
          <w:rFonts w:hint="eastAsia"/>
        </w:rPr>
        <w:t>五、开标和中标</w:t>
      </w:r>
      <w:bookmarkEnd w:id="98"/>
      <w:bookmarkEnd w:id="99"/>
      <w:bookmarkEnd w:id="100"/>
      <w:bookmarkEnd w:id="101"/>
      <w:bookmarkEnd w:id="102"/>
      <w:bookmarkEnd w:id="103"/>
    </w:p>
    <w:p>
      <w:pPr>
        <w:pStyle w:val="4"/>
        <w:spacing w:before="156" w:beforeLines="50" w:after="156" w:afterLines="50" w:line="400" w:lineRule="exact"/>
        <w:ind w:firstLine="482" w:firstLineChars="200"/>
        <w:rPr>
          <w:rFonts w:ascii="宋体"/>
          <w:bCs w:val="0"/>
          <w:sz w:val="24"/>
        </w:rPr>
      </w:pPr>
      <w:bookmarkStart w:id="117" w:name="_Toc183682369"/>
      <w:bookmarkStart w:id="118" w:name="_Toc308164806"/>
      <w:bookmarkStart w:id="119" w:name="_Toc183582232"/>
      <w:bookmarkStart w:id="120" w:name="_Toc217446057"/>
      <w:bookmarkStart w:id="121" w:name="_Toc217446064"/>
      <w:bookmarkStart w:id="122" w:name="_Toc308164810"/>
      <w:bookmarkStart w:id="123" w:name="_Toc183582240"/>
      <w:bookmarkStart w:id="124" w:name="_Toc183682377"/>
      <w:r>
        <w:rPr>
          <w:rFonts w:hint="eastAsia" w:ascii="宋体"/>
          <w:bCs w:val="0"/>
          <w:sz w:val="24"/>
        </w:rPr>
        <w:t>22．开标</w:t>
      </w:r>
      <w:bookmarkEnd w:id="117"/>
      <w:bookmarkEnd w:id="118"/>
      <w:bookmarkEnd w:id="119"/>
      <w:bookmarkEnd w:id="120"/>
    </w:p>
    <w:p>
      <w:pPr>
        <w:spacing w:before="156" w:beforeLines="50" w:after="156" w:afterLines="50" w:line="400" w:lineRule="exact"/>
        <w:ind w:firstLine="480" w:firstLineChars="200"/>
        <w:rPr>
          <w:rFonts w:ascii="宋体"/>
          <w:sz w:val="24"/>
        </w:rPr>
      </w:pPr>
      <w:r>
        <w:rPr>
          <w:rFonts w:hint="eastAsia" w:ascii="宋体"/>
          <w:sz w:val="24"/>
        </w:rPr>
        <w:t>22.1 开标在招标文件规定的时间和地点公开进行，招标人、投标人应派代表参加并签到以证明其出席。开标由招标代理机构主持，邀请投标人参加。评标委员会成员不参加开标活动。</w:t>
      </w:r>
    </w:p>
    <w:p>
      <w:pPr>
        <w:spacing w:before="156" w:beforeLines="50" w:after="156" w:afterLines="50" w:line="400" w:lineRule="exact"/>
        <w:ind w:firstLine="480" w:firstLineChars="200"/>
        <w:rPr>
          <w:rFonts w:ascii="宋体"/>
          <w:sz w:val="24"/>
        </w:rPr>
      </w:pPr>
      <w:r>
        <w:rPr>
          <w:rFonts w:hint="eastAsia" w:ascii="宋体"/>
          <w:sz w:val="24"/>
        </w:rPr>
        <w:t>22.2 开标时，可根据具体情况邀请招标人有关监督管理部门代表对开标活动进行现场监督。投标人少于3个的，不得开标。</w:t>
      </w:r>
    </w:p>
    <w:p>
      <w:pPr>
        <w:spacing w:line="400" w:lineRule="exact"/>
        <w:ind w:firstLine="480" w:firstLineChars="200"/>
        <w:rPr>
          <w:rFonts w:ascii="宋体"/>
          <w:sz w:val="24"/>
        </w:rPr>
      </w:pPr>
      <w:r>
        <w:rPr>
          <w:rFonts w:hint="eastAsia" w:ascii="宋体"/>
          <w:sz w:val="24"/>
        </w:rPr>
        <w:t>22.3 开标时，由投标人或者其推选的代表检查其自己递交的投标文件的密封情况，经确认无误后，由招标工作人员将投标人的投标文件当众拆封，并由唱标人员按照招标文件规定的内容进行宣读。</w:t>
      </w:r>
    </w:p>
    <w:p>
      <w:pPr>
        <w:spacing w:before="156" w:beforeLines="50" w:after="156" w:afterLines="50" w:line="400" w:lineRule="exact"/>
        <w:ind w:firstLine="480" w:firstLineChars="200"/>
        <w:rPr>
          <w:rFonts w:ascii="宋体"/>
          <w:sz w:val="24"/>
        </w:rPr>
      </w:pPr>
      <w:r>
        <w:rPr>
          <w:rFonts w:hint="eastAsia" w:ascii="宋体"/>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代表，要求开标现场记录人员予以记录，并在评标时予以认定处理，但不得干扰、阻挠开标工作的正常进行。</w:t>
      </w:r>
    </w:p>
    <w:p>
      <w:pPr>
        <w:spacing w:before="156" w:beforeLines="50" w:after="156" w:afterLines="50" w:line="400" w:lineRule="exact"/>
        <w:ind w:firstLine="480" w:firstLineChars="200"/>
        <w:rPr>
          <w:rFonts w:ascii="宋体"/>
          <w:sz w:val="24"/>
        </w:rPr>
      </w:pPr>
      <w:r>
        <w:rPr>
          <w:rFonts w:hint="eastAsia" w:ascii="宋体"/>
          <w:sz w:val="24"/>
        </w:rPr>
        <w:t>22.4 投标文件中相关内容与“开标一览表”不一致的，以“开标一览表”为准。对不同文字文本投标文件的解释发生异议的，以中文文本为准。</w:t>
      </w:r>
    </w:p>
    <w:p>
      <w:pPr>
        <w:spacing w:line="400" w:lineRule="exact"/>
        <w:ind w:firstLine="480" w:firstLineChars="200"/>
        <w:rPr>
          <w:rFonts w:ascii="宋体"/>
          <w:sz w:val="24"/>
        </w:rPr>
      </w:pPr>
      <w:r>
        <w:rPr>
          <w:rFonts w:hint="eastAsia" w:ascii="宋体"/>
          <w:sz w:val="24"/>
        </w:rPr>
        <w:t>22.5 所有投标唱标完毕，如投标人代表对宣读的内容有异议的，应在获得开标会主持人同意后当场提出。如确实属于唱标人员宣读错了的，当场予以更正。</w:t>
      </w:r>
    </w:p>
    <w:p>
      <w:pPr>
        <w:spacing w:before="156" w:beforeLines="50" w:after="156" w:afterLines="50" w:line="400" w:lineRule="exact"/>
        <w:ind w:firstLine="480" w:firstLineChars="200"/>
        <w:rPr>
          <w:rFonts w:ascii="宋体"/>
          <w:sz w:val="24"/>
        </w:rPr>
      </w:pPr>
      <w:r>
        <w:rPr>
          <w:rFonts w:hint="eastAsia" w:ascii="宋体"/>
          <w:sz w:val="24"/>
        </w:rPr>
        <w:t>22.6 投标人未参加开标的，视同认可开标结果。</w:t>
      </w:r>
    </w:p>
    <w:p>
      <w:pPr>
        <w:pStyle w:val="4"/>
        <w:spacing w:before="156" w:beforeLines="50" w:after="156" w:afterLines="50" w:line="400" w:lineRule="exact"/>
        <w:ind w:firstLine="482" w:firstLineChars="200"/>
        <w:rPr>
          <w:rFonts w:ascii="宋体"/>
          <w:sz w:val="24"/>
        </w:rPr>
      </w:pPr>
      <w:bookmarkStart w:id="125" w:name="_Toc308164807"/>
      <w:bookmarkStart w:id="126" w:name="_Toc217446058"/>
      <w:r>
        <w:rPr>
          <w:rFonts w:hint="eastAsia" w:ascii="宋体"/>
          <w:sz w:val="24"/>
        </w:rPr>
        <w:t>23. 开标程序</w:t>
      </w:r>
      <w:bookmarkEnd w:id="125"/>
      <w:bookmarkEnd w:id="126"/>
    </w:p>
    <w:p>
      <w:pPr>
        <w:spacing w:before="156" w:beforeLines="50" w:after="156" w:afterLines="50" w:line="400" w:lineRule="exact"/>
        <w:ind w:firstLine="480" w:firstLineChars="200"/>
        <w:rPr>
          <w:rFonts w:ascii="宋体"/>
          <w:sz w:val="24"/>
        </w:rPr>
      </w:pPr>
      <w:r>
        <w:rPr>
          <w:rFonts w:hint="eastAsia" w:ascii="宋体"/>
          <w:sz w:val="24"/>
        </w:rPr>
        <w:t>23.1 开标会主持人按照招标文件规定的开标时间宣布开标，按照规定要求主持开标会。开标将按以下程序进行：</w:t>
      </w:r>
    </w:p>
    <w:p>
      <w:pPr>
        <w:spacing w:before="156" w:beforeLines="50" w:after="156" w:afterLines="50" w:line="400" w:lineRule="exact"/>
        <w:ind w:firstLine="480" w:firstLineChars="200"/>
        <w:rPr>
          <w:rFonts w:ascii="宋体"/>
          <w:sz w:val="24"/>
        </w:rPr>
      </w:pPr>
      <w:r>
        <w:rPr>
          <w:rFonts w:hint="eastAsia" w:ascii="宋体"/>
          <w:sz w:val="24"/>
        </w:rPr>
        <w:t>（1）宣布开标会开始。当众宣布参加开标会主持人、唱标人、会议记录人以及根据情况邀请的现场监督人等工作人员，根据“投标人签到表”宣布参加投标的单位名单。</w:t>
      </w:r>
    </w:p>
    <w:p>
      <w:pPr>
        <w:spacing w:before="156" w:beforeLines="50" w:after="156" w:afterLines="50" w:line="400" w:lineRule="exact"/>
        <w:ind w:firstLine="480" w:firstLineChars="200"/>
        <w:rPr>
          <w:rFonts w:ascii="宋体"/>
          <w:sz w:val="24"/>
        </w:rPr>
      </w:pPr>
      <w:r>
        <w:rPr>
          <w:rFonts w:hint="eastAsia" w:ascii="宋体"/>
          <w:sz w:val="24"/>
        </w:rPr>
        <w:t>（2）根据投标人或者其推选的代表对投标文件密封的检查结果，当众宣布投标文件的密封情况。</w:t>
      </w:r>
    </w:p>
    <w:p>
      <w:pPr>
        <w:spacing w:before="156" w:beforeLines="50" w:after="156" w:afterLines="50" w:line="400" w:lineRule="exact"/>
        <w:ind w:firstLine="480" w:firstLineChars="200"/>
        <w:rPr>
          <w:rFonts w:ascii="宋体"/>
          <w:sz w:val="24"/>
        </w:rPr>
      </w:pPr>
      <w:r>
        <w:rPr>
          <w:rFonts w:hint="eastAsia" w:ascii="宋体"/>
          <w:sz w:val="24"/>
        </w:rPr>
        <w:t>（3）开标唱标。主持人宣布开标后，由现场工作人员按任意顺序对投标人的投标文件当众进行拆封，由唱标人员宣读投标人名称、投标价格（价格折扣）、或招标文件允许提供的备选投标方案。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before="156" w:beforeLines="50" w:after="156" w:afterLines="50" w:line="400" w:lineRule="exact"/>
        <w:ind w:firstLine="480" w:firstLineChars="200"/>
        <w:rPr>
          <w:rFonts w:ascii="宋体"/>
          <w:sz w:val="24"/>
        </w:rPr>
      </w:pPr>
      <w:r>
        <w:rPr>
          <w:rFonts w:hint="eastAsia" w:ascii="宋体"/>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pPr>
        <w:pStyle w:val="4"/>
        <w:spacing w:before="156" w:beforeLines="50" w:after="156" w:afterLines="50" w:line="400" w:lineRule="exact"/>
        <w:ind w:firstLine="482" w:firstLineChars="200"/>
        <w:rPr>
          <w:rFonts w:ascii="宋体"/>
          <w:sz w:val="24"/>
        </w:rPr>
      </w:pPr>
      <w:bookmarkStart w:id="127" w:name="_Toc183682375"/>
      <w:bookmarkStart w:id="128" w:name="_Toc183582238"/>
      <w:bookmarkStart w:id="129" w:name="_Toc217446063"/>
      <w:bookmarkStart w:id="130" w:name="_Toc308164809"/>
      <w:r>
        <w:rPr>
          <w:rFonts w:hint="eastAsia" w:ascii="宋体"/>
          <w:sz w:val="24"/>
        </w:rPr>
        <w:t>24．开评标过程存档</w:t>
      </w:r>
    </w:p>
    <w:p>
      <w:pPr>
        <w:spacing w:before="156" w:beforeLines="50" w:after="156" w:afterLines="50" w:line="400" w:lineRule="exact"/>
        <w:ind w:firstLine="480" w:firstLineChars="200"/>
        <w:rPr>
          <w:rFonts w:ascii="宋体"/>
          <w:sz w:val="24"/>
        </w:rPr>
      </w:pPr>
      <w:r>
        <w:rPr>
          <w:rFonts w:hint="eastAsia" w:ascii="宋体"/>
          <w:sz w:val="24"/>
        </w:rPr>
        <w:t>开标和评标过程进行全过程电子监控，并将电子监控资料存储介质留存归档。</w:t>
      </w:r>
    </w:p>
    <w:p>
      <w:pPr>
        <w:pStyle w:val="4"/>
        <w:spacing w:before="156" w:beforeLines="50" w:after="156" w:afterLines="50" w:line="400" w:lineRule="exact"/>
        <w:ind w:firstLine="482" w:firstLineChars="200"/>
        <w:rPr>
          <w:rFonts w:ascii="宋体"/>
          <w:sz w:val="24"/>
        </w:rPr>
      </w:pPr>
      <w:r>
        <w:rPr>
          <w:rFonts w:hint="eastAsia" w:ascii="宋体"/>
          <w:sz w:val="24"/>
        </w:rPr>
        <w:t>25.评标情况公告</w:t>
      </w:r>
    </w:p>
    <w:p>
      <w:pPr>
        <w:spacing w:before="156" w:beforeLines="50" w:after="156" w:afterLines="50" w:line="400" w:lineRule="exact"/>
        <w:ind w:firstLine="480" w:firstLineChars="200"/>
        <w:rPr>
          <w:rFonts w:ascii="宋体"/>
          <w:sz w:val="24"/>
        </w:rPr>
      </w:pPr>
      <w:r>
        <w:rPr>
          <w:rFonts w:hint="eastAsia" w:ascii="宋体"/>
          <w:sz w:val="24"/>
        </w:rPr>
        <w:t>本项目的中标候选人公示等将在《中国招标投标公共服务平台》上予以公告。</w:t>
      </w:r>
    </w:p>
    <w:p>
      <w:pPr>
        <w:pStyle w:val="4"/>
        <w:spacing w:before="156" w:beforeLines="50" w:after="156" w:afterLines="50" w:line="400" w:lineRule="exact"/>
        <w:ind w:firstLine="482" w:firstLineChars="200"/>
        <w:rPr>
          <w:rFonts w:ascii="宋体"/>
          <w:sz w:val="24"/>
        </w:rPr>
      </w:pPr>
      <w:r>
        <w:rPr>
          <w:rFonts w:hint="eastAsia" w:ascii="宋体"/>
          <w:sz w:val="24"/>
        </w:rPr>
        <w:t>26.招标人确定中标人过程中，发现中标候选人有下列不符合中标条件情形之一的，应当不予确定其为中标人：</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（1）中标候选人放弃中标的；</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（2）中标候选人被查实存在影响中标结果的违法、违规、违纪行为的；</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（3）中标候选人因不可抗力，不能履行合同的；</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（4）中标候选人的经营、财务状况发生较大变化或者存在违法行为，招标人认为可能影响其履约能力的；</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（5）中标候选人不按照招标文件要求提交履约保证金；</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（6）中标候选人无偿赠与或者低于成本价竞标的；</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（7）中标候选人在招标采购活动弄虚作假，以骗取中标的；</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（8</w:t>
      </w:r>
      <w:r>
        <w:rPr>
          <w:rFonts w:ascii="宋体"/>
          <w:sz w:val="24"/>
        </w:rPr>
        <w:t>）</w:t>
      </w:r>
      <w:r>
        <w:rPr>
          <w:rFonts w:hint="eastAsia" w:ascii="宋体"/>
          <w:sz w:val="24"/>
        </w:rPr>
        <w:t>中标候选人恶意串通。</w:t>
      </w:r>
    </w:p>
    <w:p>
      <w:pPr>
        <w:tabs>
          <w:tab w:val="left" w:pos="7665"/>
        </w:tabs>
        <w:spacing w:before="156" w:beforeLines="50" w:after="156" w:afterLines="50" w:line="400" w:lineRule="exact"/>
        <w:ind w:firstLine="480" w:firstLineChars="200"/>
        <w:rPr>
          <w:rFonts w:ascii="宋体"/>
          <w:sz w:val="24"/>
        </w:rPr>
      </w:pPr>
      <w:r>
        <w:rPr>
          <w:rFonts w:hint="eastAsia" w:ascii="宋体"/>
          <w:sz w:val="24"/>
        </w:rPr>
        <w:t>注：出现本条第（4）种情形的，应当由原评标委员会按照招标文件规定的标准和方法审查确认。</w:t>
      </w:r>
    </w:p>
    <w:p>
      <w:pPr>
        <w:pStyle w:val="4"/>
        <w:spacing w:before="156" w:beforeLines="50" w:after="156" w:afterLines="50" w:line="400" w:lineRule="exact"/>
        <w:ind w:firstLine="482" w:firstLineChars="200"/>
        <w:rPr>
          <w:rFonts w:ascii="宋体"/>
          <w:bCs w:val="0"/>
          <w:sz w:val="24"/>
          <w:szCs w:val="24"/>
        </w:rPr>
      </w:pPr>
      <w:r>
        <w:rPr>
          <w:rFonts w:hint="eastAsia" w:ascii="宋体"/>
          <w:bCs w:val="0"/>
          <w:sz w:val="24"/>
          <w:szCs w:val="24"/>
        </w:rPr>
        <w:t>27.中标通知</w:t>
      </w:r>
      <w:bookmarkEnd w:id="127"/>
      <w:bookmarkEnd w:id="128"/>
      <w:r>
        <w:rPr>
          <w:rFonts w:hint="eastAsia" w:ascii="宋体"/>
          <w:bCs w:val="0"/>
          <w:sz w:val="24"/>
          <w:szCs w:val="24"/>
        </w:rPr>
        <w:t>书</w:t>
      </w:r>
      <w:bookmarkEnd w:id="129"/>
      <w:bookmarkEnd w:id="130"/>
    </w:p>
    <w:p>
      <w:pPr>
        <w:tabs>
          <w:tab w:val="left" w:pos="7665"/>
        </w:tabs>
        <w:spacing w:before="156" w:beforeLines="50" w:after="156" w:afterLines="50" w:line="400" w:lineRule="exact"/>
        <w:ind w:firstLine="480" w:firstLineChars="200"/>
        <w:rPr>
          <w:rFonts w:ascii="宋体"/>
          <w:sz w:val="24"/>
        </w:rPr>
      </w:pPr>
      <w:r>
        <w:rPr>
          <w:rFonts w:hint="eastAsia" w:ascii="宋体"/>
          <w:sz w:val="24"/>
        </w:rPr>
        <w:t>27</w:t>
      </w:r>
      <w:r>
        <w:rPr>
          <w:rFonts w:hint="eastAsia" w:ascii="宋体"/>
          <w:bCs/>
          <w:sz w:val="24"/>
        </w:rPr>
        <w:t>.</w:t>
      </w:r>
      <w:r>
        <w:rPr>
          <w:rFonts w:hint="eastAsia" w:ascii="宋体"/>
          <w:sz w:val="24"/>
        </w:rPr>
        <w:t>1 中标通知书为签订本次采购合同的依据之一，是合同的有效组成部分。</w:t>
      </w:r>
    </w:p>
    <w:p>
      <w:pPr>
        <w:tabs>
          <w:tab w:val="left" w:pos="7665"/>
        </w:tabs>
        <w:spacing w:before="156" w:beforeLines="50" w:after="156" w:afterLines="50" w:line="400" w:lineRule="exact"/>
        <w:ind w:firstLine="480"/>
        <w:rPr>
          <w:rFonts w:ascii="宋体"/>
          <w:sz w:val="24"/>
        </w:rPr>
      </w:pPr>
      <w:r>
        <w:rPr>
          <w:rFonts w:hint="eastAsia" w:ascii="宋体"/>
          <w:sz w:val="24"/>
        </w:rPr>
        <w:t>27.2 中标通知书对招标人和中标人均具有法律效力。中标通知书发出后，招标人改变中标结果，或者中标人无正当理由放弃中标的，应当承担相应的法律责任和后果。</w:t>
      </w:r>
    </w:p>
    <w:p>
      <w:pPr>
        <w:tabs>
          <w:tab w:val="left" w:pos="7665"/>
        </w:tabs>
        <w:spacing w:before="156" w:beforeLines="50" w:after="156" w:afterLines="50" w:line="400" w:lineRule="exact"/>
        <w:ind w:firstLine="480"/>
        <w:rPr>
          <w:rFonts w:ascii="宋体"/>
          <w:sz w:val="24"/>
        </w:rPr>
      </w:pPr>
      <w:r>
        <w:rPr>
          <w:rFonts w:hint="eastAsia" w:ascii="宋体"/>
          <w:sz w:val="24"/>
        </w:rPr>
        <w:t>27．3中标人的投标文件本应作为无效投标处理或者有本项目规定的中标无效情形的，招标人在认定以后，将宣布发出的中标通知书无效，并收回发出的中标通知书（中标人也应当缴回），招标人可以依次重新确定中标人或者重新开展招标采购活动。</w:t>
      </w:r>
    </w:p>
    <w:p>
      <w:pPr>
        <w:tabs>
          <w:tab w:val="left" w:pos="7665"/>
        </w:tabs>
        <w:spacing w:before="156" w:beforeLines="50" w:after="156" w:afterLines="50" w:line="400" w:lineRule="exact"/>
        <w:ind w:firstLine="480"/>
        <w:rPr>
          <w:rFonts w:ascii="宋体"/>
          <w:sz w:val="24"/>
        </w:rPr>
      </w:pPr>
      <w:r>
        <w:rPr>
          <w:rFonts w:hint="eastAsia" w:ascii="宋体"/>
          <w:sz w:val="24"/>
        </w:rPr>
        <w:t>27.4中标公告发出后，中标人自行领取中标通知书的，可凭有效身份证明证件到招标代理机构办理。（详见须知附表中联系方式）</w:t>
      </w:r>
    </w:p>
    <w:p>
      <w:pPr>
        <w:pStyle w:val="3"/>
        <w:spacing w:before="156" w:beforeLines="50" w:after="156" w:afterLines="50" w:line="400" w:lineRule="exact"/>
        <w:jc w:val="center"/>
        <w:rPr>
          <w:rFonts w:ascii="黑体"/>
          <w:szCs w:val="28"/>
        </w:rPr>
      </w:pPr>
      <w:r>
        <w:rPr>
          <w:rFonts w:hint="eastAsia" w:ascii="黑体"/>
          <w:szCs w:val="28"/>
        </w:rPr>
        <w:t>六、签订及履行合同和验收</w:t>
      </w:r>
      <w:bookmarkEnd w:id="121"/>
      <w:bookmarkEnd w:id="122"/>
    </w:p>
    <w:p>
      <w:pPr>
        <w:pStyle w:val="4"/>
        <w:spacing w:before="156" w:beforeLines="50" w:after="156" w:afterLines="50" w:line="400" w:lineRule="exact"/>
        <w:ind w:firstLine="482" w:firstLineChars="200"/>
        <w:rPr>
          <w:rFonts w:ascii="宋体"/>
          <w:b w:val="0"/>
          <w:sz w:val="24"/>
          <w:szCs w:val="24"/>
        </w:rPr>
      </w:pPr>
      <w:bookmarkStart w:id="131" w:name="_Toc308164811"/>
      <w:bookmarkStart w:id="132" w:name="_Toc217446065"/>
      <w:r>
        <w:rPr>
          <w:rFonts w:hint="eastAsia" w:ascii="宋体"/>
          <w:sz w:val="24"/>
        </w:rPr>
        <w:t>28.</w:t>
      </w:r>
      <w:r>
        <w:rPr>
          <w:rFonts w:hint="eastAsia" w:ascii="宋体"/>
          <w:sz w:val="24"/>
          <w:szCs w:val="24"/>
        </w:rPr>
        <w:t>签订合同</w:t>
      </w:r>
      <w:bookmarkEnd w:id="131"/>
      <w:bookmarkEnd w:id="132"/>
    </w:p>
    <w:p>
      <w:pPr>
        <w:spacing w:before="156" w:beforeLines="50" w:after="156" w:afterLines="50" w:line="400" w:lineRule="exact"/>
        <w:ind w:firstLine="480" w:firstLineChars="200"/>
        <w:rPr>
          <w:rFonts w:ascii="宋体"/>
          <w:sz w:val="24"/>
        </w:rPr>
      </w:pPr>
      <w:r>
        <w:rPr>
          <w:rFonts w:hint="eastAsia" w:ascii="宋体"/>
          <w:sz w:val="24"/>
        </w:rPr>
        <w:t>28.1 招标人和中标人应当自中标通知书发出之日起三十日内，按照招标文件和中标人的投标文件订立书面合同。由于中标人的原因逾期未与招标人签订采购合同的，将视为放弃中标，取消其中标资格并将按相关规定进行处理。</w:t>
      </w:r>
    </w:p>
    <w:p>
      <w:pPr>
        <w:spacing w:before="156" w:beforeLines="50" w:after="156" w:afterLines="50" w:line="400" w:lineRule="exact"/>
        <w:ind w:firstLine="420" w:firstLineChars="175"/>
        <w:rPr>
          <w:rFonts w:ascii="宋体"/>
          <w:sz w:val="24"/>
        </w:rPr>
      </w:pPr>
      <w:r>
        <w:rPr>
          <w:rFonts w:hint="eastAsia" w:ascii="宋体"/>
          <w:sz w:val="24"/>
        </w:rPr>
        <w:t>28.2 招标人不得向中标人提出任何不合理的要求，作为签订合同的条件，不得与中标人私下订立背离合同实质性内容的任何协议，所签订的合同不得对招标文件和中标人投标文件确定的事项进行实质性修改。</w:t>
      </w:r>
      <w:r>
        <w:rPr>
          <w:rFonts w:ascii="宋体" w:hAnsi="宋体" w:cs="宋体"/>
          <w:kern w:val="0"/>
          <w:sz w:val="24"/>
        </w:rPr>
        <w:t>合同的标的、价款、质量、履行期限等主要条款应当与招标文件和中标人的投标文件的内容一致</w:t>
      </w:r>
      <w:r>
        <w:rPr>
          <w:rFonts w:hint="eastAsia" w:ascii="宋体" w:hAnsi="宋体" w:cs="宋体"/>
          <w:kern w:val="0"/>
          <w:sz w:val="24"/>
        </w:rPr>
        <w:t>。</w:t>
      </w:r>
    </w:p>
    <w:p>
      <w:pPr>
        <w:spacing w:before="156" w:beforeLines="50" w:after="156" w:afterLines="50" w:line="400" w:lineRule="exact"/>
        <w:ind w:firstLine="420" w:firstLineChars="175"/>
        <w:rPr>
          <w:rFonts w:ascii="宋体"/>
          <w:sz w:val="24"/>
        </w:rPr>
      </w:pPr>
      <w:r>
        <w:rPr>
          <w:rFonts w:hint="eastAsia" w:ascii="宋体"/>
          <w:sz w:val="24"/>
        </w:rPr>
        <w:t>28.3 中标人拒绝与招标人签订合同的，招标人可以按照评审报告推荐的中标候选人名单排序，确定下一候选人为中标人，也可以重新开展招标采购活动。</w:t>
      </w:r>
    </w:p>
    <w:p>
      <w:pPr>
        <w:spacing w:before="156" w:beforeLines="50" w:after="156" w:afterLines="50" w:line="400" w:lineRule="exact"/>
        <w:ind w:firstLine="420" w:firstLineChars="175"/>
        <w:rPr>
          <w:rFonts w:ascii="宋体"/>
          <w:sz w:val="24"/>
        </w:rPr>
      </w:pPr>
      <w:r>
        <w:rPr>
          <w:rFonts w:hint="eastAsia" w:ascii="宋体"/>
          <w:sz w:val="24"/>
        </w:rPr>
        <w:t>28.4 中标人在合同签订之后三个工作日内，将签订的合同（一式壹份）送招标代理机构。中标人应及时到招标代理机构办理。（详见须知附表中联系方式）</w:t>
      </w:r>
    </w:p>
    <w:p>
      <w:pPr>
        <w:pStyle w:val="3"/>
        <w:spacing w:before="156" w:beforeLines="50" w:after="156" w:afterLines="50" w:line="400" w:lineRule="exact"/>
        <w:ind w:firstLine="482" w:firstLineChars="200"/>
        <w:rPr>
          <w:rFonts w:ascii="宋体" w:eastAsia="宋体"/>
          <w:sz w:val="24"/>
          <w:szCs w:val="24"/>
        </w:rPr>
      </w:pPr>
      <w:r>
        <w:rPr>
          <w:rFonts w:hint="eastAsia" w:ascii="宋体" w:eastAsia="宋体"/>
          <w:sz w:val="24"/>
          <w:szCs w:val="24"/>
        </w:rPr>
        <w:t>29. 合同分包（实质性要求）</w:t>
      </w:r>
    </w:p>
    <w:p>
      <w:pPr>
        <w:spacing w:before="156" w:beforeLines="50" w:after="156" w:afterLines="50" w:line="400" w:lineRule="exact"/>
        <w:ind w:firstLine="480" w:firstLineChars="200"/>
        <w:rPr>
          <w:rFonts w:ascii="宋体"/>
          <w:sz w:val="24"/>
        </w:rPr>
      </w:pPr>
      <w:r>
        <w:rPr>
          <w:rFonts w:hint="eastAsia" w:ascii="宋体"/>
          <w:sz w:val="24"/>
        </w:rPr>
        <w:t>29.1 经招标人同意，中标人可以依法采取分包方式履行合同。这种要求应当在合同签订之前征得招标人同意，并且分包商履行的分包项目的技术要求等，必须与中标的一致。</w:t>
      </w:r>
    </w:p>
    <w:p>
      <w:pPr>
        <w:spacing w:before="156" w:beforeLines="50" w:after="156" w:afterLines="50" w:line="400" w:lineRule="exact"/>
        <w:ind w:firstLine="480" w:firstLineChars="200"/>
        <w:rPr>
          <w:rFonts w:ascii="宋体"/>
          <w:sz w:val="24"/>
        </w:rPr>
      </w:pPr>
      <w:r>
        <w:rPr>
          <w:rFonts w:hint="eastAsia" w:ascii="宋体"/>
          <w:sz w:val="24"/>
        </w:rPr>
        <w:t>分包履行合同的部分应当为本次招标采购项目的非主体、非关键性工作，不属于中标人的主要合同义务。投标人根据招标文件的规定和本项目的实际情况，拟在中标后将中标项目的非主体、非关键性工作分包的，应当在投标文件中载明分包承担主体，分包承担主体应当具备相应资质条件且不得再次分包。</w:t>
      </w:r>
    </w:p>
    <w:p>
      <w:pPr>
        <w:spacing w:before="156" w:beforeLines="50" w:after="156" w:afterLines="50" w:line="400" w:lineRule="exact"/>
        <w:ind w:firstLine="480" w:firstLineChars="200"/>
        <w:rPr>
          <w:rFonts w:ascii="宋体"/>
          <w:sz w:val="24"/>
        </w:rPr>
      </w:pPr>
      <w:r>
        <w:rPr>
          <w:rFonts w:hint="eastAsia" w:ascii="宋体"/>
          <w:sz w:val="24"/>
        </w:rPr>
        <w:t>29.2 采购合同实行分包履行的，中标人应当就分包项目向招标人负责，接受分包的主体就分包项目承担连带责任。</w:t>
      </w:r>
    </w:p>
    <w:p>
      <w:pPr>
        <w:pStyle w:val="3"/>
        <w:spacing w:before="156" w:beforeLines="50" w:after="156" w:afterLines="50" w:line="400" w:lineRule="exact"/>
        <w:ind w:firstLine="482" w:firstLineChars="200"/>
        <w:rPr>
          <w:rFonts w:ascii="宋体" w:eastAsia="宋体"/>
          <w:sz w:val="24"/>
          <w:szCs w:val="24"/>
        </w:rPr>
      </w:pPr>
      <w:r>
        <w:rPr>
          <w:rFonts w:hint="eastAsia" w:ascii="宋体" w:eastAsia="宋体"/>
          <w:sz w:val="24"/>
          <w:szCs w:val="24"/>
        </w:rPr>
        <w:t>30.合同转包（实质性要求）</w:t>
      </w:r>
    </w:p>
    <w:p>
      <w:pPr>
        <w:spacing w:before="156" w:beforeLines="50" w:after="156" w:afterLines="50" w:line="400" w:lineRule="exact"/>
        <w:ind w:firstLine="540" w:firstLineChars="225"/>
        <w:rPr>
          <w:rFonts w:ascii="宋体"/>
          <w:sz w:val="24"/>
        </w:rPr>
      </w:pPr>
      <w:r>
        <w:rPr>
          <w:rFonts w:hint="eastAsia" w:ascii="宋体"/>
          <w:sz w:val="24"/>
        </w:rPr>
        <w:t>本项目严禁中标人将任何采购合同义务转包。本项目所称转包，是指中标人将采购合同义务转让给第三人，并退出现有采购合同当事人双方的权利义务关系，受让人（即第三人）成为采购合同的另一方当事人的行为。</w:t>
      </w:r>
    </w:p>
    <w:p>
      <w:pPr>
        <w:spacing w:before="156" w:beforeLines="50" w:after="156" w:afterLines="50" w:line="400" w:lineRule="exact"/>
        <w:ind w:firstLine="540" w:firstLineChars="225"/>
        <w:rPr>
          <w:rFonts w:ascii="宋体"/>
          <w:sz w:val="24"/>
        </w:rPr>
      </w:pPr>
      <w:r>
        <w:rPr>
          <w:rFonts w:hint="eastAsia" w:ascii="宋体"/>
          <w:sz w:val="24"/>
        </w:rPr>
        <w:t>中标人转包的，视同拒绝履行采购合同义务，将依法追究法律责任。</w:t>
      </w:r>
    </w:p>
    <w:p>
      <w:pPr>
        <w:pStyle w:val="4"/>
        <w:spacing w:before="156" w:beforeLines="50" w:after="156" w:afterLines="50" w:line="400" w:lineRule="exact"/>
        <w:ind w:firstLine="482" w:firstLineChars="200"/>
        <w:rPr>
          <w:rFonts w:ascii="宋体"/>
          <w:b w:val="0"/>
          <w:sz w:val="24"/>
          <w:szCs w:val="24"/>
        </w:rPr>
      </w:pPr>
      <w:bookmarkStart w:id="133" w:name="_Toc217446068"/>
      <w:bookmarkStart w:id="134" w:name="_Toc308164812"/>
      <w:r>
        <w:rPr>
          <w:rFonts w:hint="eastAsia" w:ascii="宋体"/>
          <w:sz w:val="24"/>
          <w:szCs w:val="24"/>
        </w:rPr>
        <w:t>31</w:t>
      </w:r>
      <w:r>
        <w:rPr>
          <w:rFonts w:hint="eastAsia" w:ascii="宋体"/>
          <w:b w:val="0"/>
          <w:sz w:val="24"/>
          <w:szCs w:val="24"/>
        </w:rPr>
        <w:t xml:space="preserve">. </w:t>
      </w:r>
      <w:r>
        <w:rPr>
          <w:rFonts w:hint="eastAsia" w:ascii="宋体"/>
          <w:sz w:val="24"/>
          <w:szCs w:val="24"/>
        </w:rPr>
        <w:t>履约保证金</w:t>
      </w:r>
      <w:bookmarkEnd w:id="133"/>
      <w:bookmarkEnd w:id="134"/>
      <w:r>
        <w:rPr>
          <w:rFonts w:hint="eastAsia" w:ascii="宋体"/>
          <w:sz w:val="24"/>
          <w:szCs w:val="24"/>
        </w:rPr>
        <w:t>（实质性要求）</w:t>
      </w:r>
    </w:p>
    <w:p>
      <w:pPr>
        <w:spacing w:before="156" w:beforeLines="50" w:after="156" w:afterLines="50" w:line="400" w:lineRule="exact"/>
        <w:ind w:firstLine="480" w:firstLineChars="200"/>
        <w:rPr>
          <w:rFonts w:ascii="宋体"/>
          <w:sz w:val="24"/>
        </w:rPr>
      </w:pPr>
      <w:r>
        <w:rPr>
          <w:rFonts w:hint="eastAsia" w:ascii="宋体"/>
          <w:sz w:val="24"/>
        </w:rPr>
        <w:t>31.1 中标人应在合同签订之前交纳招标文件规定数额的履约保证金。</w:t>
      </w:r>
    </w:p>
    <w:p>
      <w:pPr>
        <w:spacing w:before="156" w:beforeLines="50" w:after="156" w:afterLines="50" w:line="400" w:lineRule="exact"/>
        <w:ind w:firstLine="480" w:firstLineChars="200"/>
        <w:rPr>
          <w:rFonts w:ascii="宋体"/>
          <w:sz w:val="24"/>
        </w:rPr>
      </w:pPr>
      <w:r>
        <w:rPr>
          <w:rFonts w:hint="eastAsia" w:ascii="宋体"/>
          <w:sz w:val="24"/>
        </w:rPr>
        <w:t>31.2 如果中标人在规定的合同签订时间内，没有按照招标文件的规定交纳履约保证金，且又无正当理由的，将视为放弃中标。</w:t>
      </w:r>
    </w:p>
    <w:p>
      <w:pPr>
        <w:spacing w:before="156" w:beforeLines="50" w:after="156" w:afterLines="50" w:line="400" w:lineRule="exact"/>
        <w:ind w:firstLine="480" w:firstLineChars="200"/>
        <w:rPr>
          <w:rFonts w:ascii="宋体"/>
          <w:sz w:val="24"/>
        </w:rPr>
      </w:pPr>
      <w:r>
        <w:rPr>
          <w:rFonts w:hint="eastAsia" w:ascii="宋体"/>
          <w:sz w:val="24"/>
        </w:rPr>
        <w:t>31.3</w:t>
      </w:r>
      <w:r>
        <w:rPr>
          <w:rFonts w:ascii="宋体"/>
          <w:sz w:val="24"/>
        </w:rPr>
        <w:t xml:space="preserve"> </w:t>
      </w:r>
      <w:r>
        <w:rPr>
          <w:rFonts w:hint="eastAsia" w:ascii="宋体"/>
          <w:sz w:val="24"/>
        </w:rPr>
        <w:t>中标人不履行与招标人订立的合同的，履约保证金不予退还，给招标人造成的损失超过履约保证金数额的，还应当对超过部分予以赔偿.</w:t>
      </w:r>
    </w:p>
    <w:p>
      <w:pPr>
        <w:pStyle w:val="4"/>
        <w:spacing w:before="156" w:beforeLines="50" w:after="156" w:afterLines="50" w:line="400" w:lineRule="exact"/>
        <w:ind w:firstLine="482" w:firstLineChars="200"/>
        <w:rPr>
          <w:rFonts w:ascii="宋体"/>
          <w:b w:val="0"/>
          <w:sz w:val="24"/>
          <w:szCs w:val="24"/>
        </w:rPr>
      </w:pPr>
      <w:bookmarkStart w:id="135" w:name="_Toc217446069"/>
      <w:bookmarkStart w:id="136" w:name="_Toc308164813"/>
      <w:r>
        <w:rPr>
          <w:rFonts w:hint="eastAsia" w:ascii="宋体"/>
          <w:sz w:val="24"/>
          <w:szCs w:val="24"/>
        </w:rPr>
        <w:t>32. 履行合同</w:t>
      </w:r>
      <w:bookmarkEnd w:id="135"/>
      <w:bookmarkEnd w:id="136"/>
    </w:p>
    <w:p>
      <w:pPr>
        <w:spacing w:before="156" w:beforeLines="50" w:after="156" w:afterLines="50" w:line="400" w:lineRule="exact"/>
        <w:ind w:firstLine="480" w:firstLineChars="200"/>
        <w:rPr>
          <w:rFonts w:ascii="宋体"/>
          <w:sz w:val="24"/>
        </w:rPr>
      </w:pPr>
      <w:r>
        <w:rPr>
          <w:rFonts w:hint="eastAsia" w:ascii="宋体"/>
          <w:sz w:val="24"/>
        </w:rPr>
        <w:t>32.1 中标人与招标人签订合同后，合同双方应严格执行合同条款，履行合同规定的义务，保证合同的顺利完成。</w:t>
      </w:r>
    </w:p>
    <w:p>
      <w:pPr>
        <w:spacing w:before="156" w:beforeLines="50" w:after="156" w:afterLines="50" w:line="400" w:lineRule="exact"/>
        <w:ind w:firstLine="480" w:firstLineChars="200"/>
        <w:rPr>
          <w:rFonts w:ascii="宋体"/>
          <w:sz w:val="24"/>
        </w:rPr>
      </w:pPr>
      <w:r>
        <w:rPr>
          <w:rFonts w:hint="eastAsia" w:ascii="宋体"/>
          <w:sz w:val="24"/>
        </w:rPr>
        <w:t>32.2 在合同履行过程中，如发生合同纠纷，合同双方应按照《合同法》的有关规定进行处理。</w:t>
      </w:r>
    </w:p>
    <w:p>
      <w:pPr>
        <w:pStyle w:val="4"/>
        <w:spacing w:before="156" w:beforeLines="50" w:after="156" w:afterLines="50" w:line="400" w:lineRule="exact"/>
        <w:ind w:firstLine="482" w:firstLineChars="200"/>
        <w:rPr>
          <w:rFonts w:ascii="宋体"/>
          <w:b w:val="0"/>
          <w:sz w:val="24"/>
          <w:szCs w:val="24"/>
        </w:rPr>
      </w:pPr>
      <w:bookmarkStart w:id="137" w:name="_Toc217446070"/>
      <w:bookmarkStart w:id="138" w:name="_Toc308164814"/>
      <w:r>
        <w:rPr>
          <w:rFonts w:hint="eastAsia" w:ascii="宋体"/>
          <w:sz w:val="24"/>
          <w:szCs w:val="24"/>
        </w:rPr>
        <w:t>33. 验收</w:t>
      </w:r>
      <w:bookmarkEnd w:id="137"/>
      <w:bookmarkEnd w:id="138"/>
    </w:p>
    <w:p>
      <w:pPr>
        <w:spacing w:before="156" w:beforeLines="50" w:after="156" w:afterLines="50" w:line="400" w:lineRule="exact"/>
        <w:ind w:firstLine="480" w:firstLineChars="200"/>
        <w:rPr>
          <w:rFonts w:ascii="宋体"/>
          <w:sz w:val="24"/>
        </w:rPr>
      </w:pPr>
      <w:r>
        <w:rPr>
          <w:rFonts w:hint="eastAsia" w:ascii="宋体"/>
          <w:sz w:val="24"/>
        </w:rPr>
        <w:t>33.1本项目招标人将严格按照本项目招标文件的要求或中标人投标文件的承诺及响应内容进行验收。</w:t>
      </w:r>
    </w:p>
    <w:p>
      <w:pPr>
        <w:spacing w:before="156" w:beforeLines="50" w:after="156" w:afterLines="50" w:line="400" w:lineRule="exact"/>
        <w:ind w:firstLine="480" w:firstLineChars="200"/>
        <w:rPr>
          <w:rFonts w:ascii="宋体"/>
          <w:sz w:val="24"/>
        </w:rPr>
      </w:pPr>
      <w:r>
        <w:rPr>
          <w:rFonts w:hint="eastAsia" w:ascii="宋体"/>
          <w:sz w:val="24"/>
        </w:rPr>
        <w:t>33.2 验收结果合格的，中标人凭验收报告办理相关手续；验收结果不合格的，履约保证金将不予退还，也将不予支付项目合同资金。</w:t>
      </w:r>
      <w:bookmarkStart w:id="139" w:name="_Toc217446071"/>
    </w:p>
    <w:p>
      <w:pPr>
        <w:pStyle w:val="4"/>
        <w:spacing w:before="156" w:beforeLines="50" w:after="156" w:afterLines="50" w:line="400" w:lineRule="exact"/>
        <w:ind w:firstLine="482" w:firstLineChars="200"/>
        <w:rPr>
          <w:rFonts w:ascii="宋体"/>
          <w:sz w:val="24"/>
          <w:szCs w:val="24"/>
        </w:rPr>
      </w:pPr>
      <w:bookmarkStart w:id="140" w:name="_Toc308164818"/>
      <w:bookmarkStart w:id="141" w:name="_Toc217446077"/>
      <w:r>
        <w:rPr>
          <w:rFonts w:hint="eastAsia" w:ascii="宋体"/>
          <w:sz w:val="24"/>
          <w:szCs w:val="24"/>
        </w:rPr>
        <w:t>34.资金支付</w:t>
      </w:r>
      <w:bookmarkEnd w:id="140"/>
      <w:bookmarkEnd w:id="141"/>
    </w:p>
    <w:p>
      <w:pPr>
        <w:spacing w:before="156" w:beforeLines="50" w:after="156" w:afterLines="50" w:line="400" w:lineRule="exact"/>
        <w:ind w:firstLine="480" w:firstLineChars="200"/>
        <w:rPr>
          <w:rFonts w:ascii="宋体"/>
          <w:sz w:val="24"/>
        </w:rPr>
      </w:pPr>
      <w:r>
        <w:rPr>
          <w:rFonts w:hint="eastAsia" w:ascii="宋体"/>
          <w:sz w:val="24"/>
        </w:rPr>
        <w:t>招标人将按照本项目采购合同规定，及时向中标人支付项目合同资金。本项目合同资金付款详见第六章商务要求中付款方式。</w:t>
      </w:r>
    </w:p>
    <w:bookmarkEnd w:id="123"/>
    <w:bookmarkEnd w:id="124"/>
    <w:bookmarkEnd w:id="139"/>
    <w:p>
      <w:pPr>
        <w:pStyle w:val="3"/>
        <w:spacing w:before="156" w:beforeLines="50" w:after="156" w:afterLines="50" w:line="400" w:lineRule="exact"/>
        <w:jc w:val="center"/>
        <w:rPr>
          <w:szCs w:val="28"/>
        </w:rPr>
      </w:pPr>
      <w:bookmarkStart w:id="142" w:name="_Toc217446074"/>
      <w:bookmarkStart w:id="143" w:name="_Toc308164815"/>
      <w:bookmarkStart w:id="144" w:name="_Toc183682380"/>
      <w:bookmarkStart w:id="145" w:name="_Toc183582243"/>
      <w:r>
        <w:rPr>
          <w:rFonts w:hint="eastAsia"/>
          <w:szCs w:val="28"/>
        </w:rPr>
        <w:t>七、投标纪律要求</w:t>
      </w:r>
      <w:bookmarkEnd w:id="142"/>
      <w:bookmarkEnd w:id="143"/>
    </w:p>
    <w:p>
      <w:pPr>
        <w:pStyle w:val="4"/>
        <w:spacing w:before="156" w:beforeLines="50" w:after="156" w:afterLines="50" w:line="400" w:lineRule="exact"/>
        <w:ind w:firstLine="482" w:firstLineChars="200"/>
        <w:rPr>
          <w:rFonts w:ascii="宋体"/>
          <w:bCs w:val="0"/>
          <w:sz w:val="24"/>
          <w:szCs w:val="24"/>
        </w:rPr>
      </w:pPr>
      <w:bookmarkStart w:id="146" w:name="_Toc308164816"/>
      <w:bookmarkStart w:id="147" w:name="_Toc217446075"/>
      <w:r>
        <w:rPr>
          <w:rFonts w:hint="eastAsia" w:ascii="宋体"/>
          <w:sz w:val="24"/>
        </w:rPr>
        <w:t xml:space="preserve">35. </w:t>
      </w:r>
      <w:r>
        <w:rPr>
          <w:rFonts w:hint="eastAsia" w:ascii="宋体"/>
          <w:bCs w:val="0"/>
          <w:sz w:val="24"/>
          <w:szCs w:val="24"/>
        </w:rPr>
        <w:t>投标人</w:t>
      </w:r>
      <w:bookmarkEnd w:id="146"/>
      <w:bookmarkEnd w:id="147"/>
      <w:r>
        <w:rPr>
          <w:rFonts w:hint="eastAsia" w:ascii="宋体"/>
          <w:bCs w:val="0"/>
          <w:sz w:val="24"/>
          <w:szCs w:val="24"/>
        </w:rPr>
        <w:t>纪律要求</w:t>
      </w:r>
    </w:p>
    <w:p>
      <w:pPr>
        <w:pStyle w:val="12"/>
        <w:spacing w:before="156" w:beforeLines="50" w:after="156" w:afterLines="50" w:line="400" w:lineRule="exact"/>
        <w:ind w:firstLine="480"/>
        <w:rPr>
          <w:rFonts w:ascii="宋体"/>
          <w:sz w:val="24"/>
        </w:rPr>
      </w:pPr>
      <w:r>
        <w:rPr>
          <w:rFonts w:hint="eastAsia" w:ascii="宋体"/>
          <w:sz w:val="24"/>
        </w:rPr>
        <w:t>投标人应当遵循公平竞争的原则，不得恶意串通，不得相互串通投标报价，不得排挤其他投标人的公平竞争，不得损害招标人或者其他投标人的合法权益。</w:t>
      </w:r>
    </w:p>
    <w:p>
      <w:pPr>
        <w:pStyle w:val="12"/>
        <w:spacing w:before="156" w:beforeLines="50" w:after="156" w:afterLines="50" w:line="400" w:lineRule="exact"/>
        <w:ind w:firstLine="480"/>
        <w:rPr>
          <w:rFonts w:ascii="宋体"/>
          <w:sz w:val="24"/>
        </w:rPr>
      </w:pPr>
      <w:r>
        <w:rPr>
          <w:rFonts w:hint="eastAsia" w:ascii="宋体"/>
          <w:sz w:val="24"/>
        </w:rPr>
        <w:t>在评标过程中发现投标人有上述情形的，评标委员会应当认定其投标无效，并书面报告招标采购单位。</w:t>
      </w:r>
    </w:p>
    <w:p>
      <w:pPr>
        <w:spacing w:before="156" w:beforeLines="50" w:after="156" w:afterLines="50" w:line="400" w:lineRule="exact"/>
        <w:ind w:firstLine="480" w:firstLineChars="200"/>
        <w:rPr>
          <w:rFonts w:ascii="宋体"/>
          <w:sz w:val="24"/>
        </w:rPr>
      </w:pPr>
      <w:r>
        <w:rPr>
          <w:rFonts w:hint="eastAsia" w:ascii="宋体"/>
          <w:sz w:val="24"/>
        </w:rPr>
        <w:t>35.1 投标人参加本项目投标不得有下列情形：</w:t>
      </w:r>
    </w:p>
    <w:p>
      <w:pPr>
        <w:spacing w:before="156" w:beforeLines="50" w:after="156" w:afterLines="50" w:line="400" w:lineRule="exact"/>
        <w:ind w:firstLine="480" w:firstLineChars="200"/>
        <w:rPr>
          <w:rFonts w:ascii="宋体"/>
          <w:sz w:val="24"/>
        </w:rPr>
      </w:pPr>
      <w:r>
        <w:rPr>
          <w:rFonts w:hint="eastAsia" w:ascii="宋体"/>
          <w:sz w:val="24"/>
        </w:rPr>
        <w:t>（1）弄虚作假骗取中标；</w:t>
      </w:r>
    </w:p>
    <w:p>
      <w:pPr>
        <w:spacing w:before="156" w:beforeLines="50" w:after="156" w:afterLines="50" w:line="400" w:lineRule="exact"/>
        <w:ind w:firstLine="480" w:firstLineChars="200"/>
        <w:rPr>
          <w:rFonts w:ascii="宋体"/>
          <w:sz w:val="24"/>
        </w:rPr>
      </w:pPr>
      <w:r>
        <w:rPr>
          <w:rFonts w:hint="eastAsia" w:ascii="宋体"/>
          <w:sz w:val="24"/>
        </w:rPr>
        <w:t>（2）采取不正当手段诋毁、排挤其他投标人；</w:t>
      </w:r>
    </w:p>
    <w:p>
      <w:pPr>
        <w:spacing w:before="156" w:beforeLines="50" w:after="156" w:afterLines="50" w:line="400" w:lineRule="exact"/>
        <w:ind w:firstLine="480" w:firstLineChars="200"/>
        <w:rPr>
          <w:rFonts w:ascii="宋体"/>
          <w:sz w:val="24"/>
        </w:rPr>
      </w:pPr>
      <w:r>
        <w:rPr>
          <w:rFonts w:hint="eastAsia" w:ascii="宋体"/>
          <w:sz w:val="24"/>
        </w:rPr>
        <w:t>（3）与其他投标人串通投标；</w:t>
      </w:r>
    </w:p>
    <w:p>
      <w:pPr>
        <w:spacing w:before="156" w:beforeLines="50" w:after="156" w:afterLines="50" w:line="400" w:lineRule="exact"/>
        <w:ind w:firstLine="480" w:firstLineChars="200"/>
        <w:rPr>
          <w:rFonts w:ascii="宋体"/>
          <w:sz w:val="24"/>
        </w:rPr>
      </w:pPr>
      <w:r>
        <w:rPr>
          <w:rFonts w:hint="eastAsia" w:ascii="宋体"/>
          <w:sz w:val="24"/>
        </w:rPr>
        <w:t>（4）向招标采购单位、评标委员会成员行贿或者提供其他不正当利益；</w:t>
      </w:r>
    </w:p>
    <w:p>
      <w:pPr>
        <w:spacing w:before="156" w:beforeLines="50" w:after="156" w:afterLines="50" w:line="400" w:lineRule="exact"/>
        <w:ind w:firstLine="480" w:firstLineChars="200"/>
        <w:rPr>
          <w:rFonts w:ascii="宋体"/>
          <w:sz w:val="24"/>
        </w:rPr>
      </w:pPr>
      <w:r>
        <w:rPr>
          <w:rFonts w:hint="eastAsia" w:ascii="宋体"/>
          <w:sz w:val="24"/>
        </w:rPr>
        <w:t>（5）在招标过程中与招标采购单位进行协商谈判；</w:t>
      </w:r>
    </w:p>
    <w:p>
      <w:pPr>
        <w:spacing w:before="156" w:beforeLines="50" w:after="156" w:afterLines="50" w:line="400" w:lineRule="exact"/>
        <w:ind w:firstLine="480" w:firstLineChars="200"/>
        <w:rPr>
          <w:rFonts w:ascii="宋体"/>
          <w:sz w:val="24"/>
        </w:rPr>
      </w:pPr>
      <w:r>
        <w:rPr>
          <w:rFonts w:hint="eastAsia" w:ascii="宋体"/>
          <w:sz w:val="24"/>
        </w:rPr>
        <w:t>（6）中标后无正当理由拒不与招标人签订采购合同；</w:t>
      </w:r>
    </w:p>
    <w:p>
      <w:pPr>
        <w:spacing w:before="156" w:beforeLines="50" w:after="156" w:afterLines="50" w:line="400" w:lineRule="exact"/>
        <w:ind w:firstLine="480" w:firstLineChars="200"/>
        <w:rPr>
          <w:rFonts w:ascii="宋体"/>
          <w:sz w:val="24"/>
        </w:rPr>
      </w:pPr>
      <w:r>
        <w:rPr>
          <w:rFonts w:hint="eastAsia" w:ascii="宋体"/>
          <w:sz w:val="24"/>
        </w:rPr>
        <w:t>（7）未按照招标文件确定的事项签订采购合同；</w:t>
      </w:r>
    </w:p>
    <w:p>
      <w:pPr>
        <w:spacing w:before="156" w:beforeLines="50" w:after="156" w:afterLines="50" w:line="400" w:lineRule="exact"/>
        <w:ind w:firstLine="480" w:firstLineChars="200"/>
        <w:rPr>
          <w:rFonts w:ascii="宋体"/>
          <w:sz w:val="24"/>
        </w:rPr>
      </w:pPr>
      <w:r>
        <w:rPr>
          <w:rFonts w:hint="eastAsia" w:ascii="宋体"/>
          <w:sz w:val="24"/>
        </w:rPr>
        <w:t>（8）将采购合同转包或者违规分包；</w:t>
      </w:r>
    </w:p>
    <w:p>
      <w:pPr>
        <w:spacing w:before="156" w:beforeLines="50" w:after="156" w:afterLines="50" w:line="400" w:lineRule="exact"/>
        <w:ind w:firstLine="480" w:firstLineChars="200"/>
        <w:rPr>
          <w:rFonts w:ascii="宋体"/>
          <w:sz w:val="24"/>
        </w:rPr>
      </w:pPr>
      <w:r>
        <w:rPr>
          <w:rFonts w:hint="eastAsia" w:ascii="宋体"/>
          <w:sz w:val="24"/>
        </w:rPr>
        <w:t>（9）提供假冒伪劣产品；</w:t>
      </w:r>
    </w:p>
    <w:p>
      <w:pPr>
        <w:spacing w:before="156" w:beforeLines="50" w:after="156" w:afterLines="50" w:line="400" w:lineRule="exact"/>
        <w:ind w:firstLine="480" w:firstLineChars="200"/>
        <w:rPr>
          <w:rFonts w:ascii="宋体"/>
          <w:sz w:val="24"/>
        </w:rPr>
      </w:pPr>
      <w:r>
        <w:rPr>
          <w:rFonts w:hint="eastAsia" w:ascii="宋体"/>
          <w:sz w:val="24"/>
        </w:rPr>
        <w:t>（10）擅自变更、中止或者终止采购合同；</w:t>
      </w:r>
    </w:p>
    <w:p>
      <w:pPr>
        <w:spacing w:before="156" w:beforeLines="50" w:after="156" w:afterLines="50" w:line="400" w:lineRule="exact"/>
        <w:ind w:firstLine="480" w:firstLineChars="200"/>
        <w:rPr>
          <w:rFonts w:ascii="宋体"/>
          <w:sz w:val="24"/>
        </w:rPr>
      </w:pPr>
      <w:r>
        <w:rPr>
          <w:rFonts w:hint="eastAsia" w:ascii="宋体"/>
          <w:sz w:val="24"/>
        </w:rPr>
        <w:t>（11）不得以他人名义投标（使用通过受让或者租借等方式获取的资格、资质证书投标的）；</w:t>
      </w:r>
    </w:p>
    <w:p>
      <w:pPr>
        <w:spacing w:before="156" w:beforeLines="50" w:after="156" w:afterLines="50" w:line="400" w:lineRule="exact"/>
        <w:ind w:firstLine="480" w:firstLineChars="200"/>
        <w:rPr>
          <w:rFonts w:ascii="宋体"/>
          <w:sz w:val="24"/>
        </w:rPr>
      </w:pPr>
      <w:r>
        <w:rPr>
          <w:rFonts w:hint="eastAsia" w:ascii="宋体"/>
          <w:sz w:val="24"/>
        </w:rPr>
        <w:t>（12）拒绝有关部门的监督检查或者向监督检查部门提供虚假情况；</w:t>
      </w:r>
    </w:p>
    <w:p>
      <w:pPr>
        <w:spacing w:before="156" w:beforeLines="50" w:after="156" w:afterLines="50" w:line="400" w:lineRule="exact"/>
        <w:ind w:firstLine="480" w:firstLineChars="200"/>
        <w:rPr>
          <w:rFonts w:ascii="宋体"/>
          <w:sz w:val="24"/>
        </w:rPr>
      </w:pPr>
      <w:r>
        <w:rPr>
          <w:rFonts w:hint="eastAsia" w:ascii="宋体"/>
          <w:sz w:val="24"/>
        </w:rPr>
        <w:t>投标人有上述情形的，按照规定追究法律责任，具备（1）-（11）条情形之一的，同时将取消中标资格或者认定投标/中标无效。</w:t>
      </w:r>
      <w:bookmarkEnd w:id="62"/>
    </w:p>
    <w:p>
      <w:pPr>
        <w:spacing w:before="156" w:beforeLines="50" w:after="156" w:afterLines="50" w:line="400" w:lineRule="exact"/>
        <w:ind w:firstLine="480" w:firstLineChars="200"/>
        <w:rPr>
          <w:rFonts w:ascii="宋体"/>
          <w:sz w:val="24"/>
        </w:rPr>
      </w:pPr>
      <w:bookmarkStart w:id="148" w:name="PO_默认文件内容_23"/>
      <w:r>
        <w:rPr>
          <w:rFonts w:hint="eastAsia" w:ascii="宋体"/>
          <w:sz w:val="24"/>
        </w:rPr>
        <w:t>35.2 投标人有下列情形之一的，视为投标人串通投标，其投标无效：</w:t>
      </w:r>
    </w:p>
    <w:p>
      <w:pPr>
        <w:spacing w:before="156" w:beforeLines="50" w:after="156" w:afterLines="50" w:line="400" w:lineRule="exact"/>
        <w:ind w:firstLine="480" w:firstLineChars="200"/>
        <w:rPr>
          <w:rFonts w:ascii="宋体"/>
          <w:sz w:val="24"/>
        </w:rPr>
      </w:pPr>
      <w:r>
        <w:rPr>
          <w:rFonts w:hint="eastAsia" w:ascii="宋体"/>
          <w:sz w:val="24"/>
        </w:rPr>
        <w:t>（1）不同投标人的投标文件由同一单位或者个人编制；</w:t>
      </w:r>
    </w:p>
    <w:p>
      <w:pPr>
        <w:spacing w:before="156" w:beforeLines="50" w:after="156" w:afterLines="50" w:line="400" w:lineRule="exact"/>
        <w:ind w:firstLine="480" w:firstLineChars="200"/>
        <w:rPr>
          <w:rFonts w:ascii="宋体"/>
          <w:sz w:val="24"/>
        </w:rPr>
      </w:pPr>
      <w:r>
        <w:rPr>
          <w:rFonts w:hint="eastAsia" w:ascii="宋体"/>
          <w:sz w:val="24"/>
        </w:rPr>
        <w:t>（2）不同投标人委托同一单位或者个人办理投标事宜；</w:t>
      </w:r>
    </w:p>
    <w:p>
      <w:pPr>
        <w:spacing w:before="156" w:beforeLines="50" w:after="156" w:afterLines="50" w:line="400" w:lineRule="exact"/>
        <w:ind w:firstLine="480" w:firstLineChars="200"/>
        <w:rPr>
          <w:rFonts w:ascii="宋体"/>
          <w:sz w:val="24"/>
        </w:rPr>
      </w:pPr>
      <w:r>
        <w:rPr>
          <w:rFonts w:hint="eastAsia" w:ascii="宋体"/>
          <w:sz w:val="24"/>
        </w:rPr>
        <w:t>（3）不同投标人的投标文件载明的项目管理成员或者联系人员为同一人；</w:t>
      </w:r>
    </w:p>
    <w:p>
      <w:pPr>
        <w:spacing w:before="156" w:beforeLines="50" w:after="156" w:afterLines="50" w:line="400" w:lineRule="exact"/>
        <w:ind w:firstLine="480" w:firstLineChars="200"/>
        <w:rPr>
          <w:rFonts w:ascii="宋体"/>
          <w:sz w:val="24"/>
        </w:rPr>
      </w:pPr>
      <w:r>
        <w:rPr>
          <w:rFonts w:hint="eastAsia" w:ascii="宋体"/>
          <w:sz w:val="24"/>
        </w:rPr>
        <w:t>（4）不同投标人的投标文件异常一致或者投标报价呈规律性差异；</w:t>
      </w:r>
    </w:p>
    <w:p>
      <w:pPr>
        <w:spacing w:before="156" w:beforeLines="50" w:after="156" w:afterLines="50" w:line="400" w:lineRule="exact"/>
        <w:ind w:firstLine="480" w:firstLineChars="200"/>
        <w:rPr>
          <w:rFonts w:ascii="宋体"/>
          <w:sz w:val="24"/>
        </w:rPr>
      </w:pPr>
      <w:r>
        <w:rPr>
          <w:rFonts w:hint="eastAsia" w:ascii="宋体"/>
          <w:sz w:val="24"/>
        </w:rPr>
        <w:t>（5）不同投标人的投标文件相互混装；</w:t>
      </w:r>
    </w:p>
    <w:p>
      <w:pPr>
        <w:spacing w:before="156" w:beforeLines="50" w:after="156" w:afterLines="50" w:line="400" w:lineRule="exact"/>
        <w:ind w:firstLine="480" w:firstLineChars="200"/>
        <w:rPr>
          <w:rFonts w:ascii="宋体"/>
          <w:sz w:val="24"/>
        </w:rPr>
      </w:pPr>
      <w:r>
        <w:rPr>
          <w:rFonts w:hint="eastAsia" w:ascii="宋体"/>
          <w:sz w:val="24"/>
        </w:rPr>
        <w:t>（6）不同投标人的投标保证金从同一单位或者个人的账户转出。</w:t>
      </w:r>
    </w:p>
    <w:bookmarkEnd w:id="144"/>
    <w:bookmarkEnd w:id="145"/>
    <w:bookmarkEnd w:id="148"/>
    <w:p>
      <w:pPr>
        <w:spacing w:before="156" w:beforeLines="50" w:after="156" w:afterLines="50" w:line="400" w:lineRule="exact"/>
        <w:ind w:firstLine="480" w:firstLineChars="200"/>
        <w:rPr>
          <w:rFonts w:ascii="宋体"/>
          <w:sz w:val="24"/>
        </w:rPr>
      </w:pPr>
      <w:bookmarkStart w:id="149" w:name="PO_默认文件内容_34"/>
      <w:r>
        <w:rPr>
          <w:rFonts w:hint="eastAsia" w:ascii="宋体"/>
          <w:sz w:val="24"/>
        </w:rPr>
        <w:t>35.3投标人有下列情形之一的，属于弄虚作假的行为：</w:t>
      </w:r>
    </w:p>
    <w:p>
      <w:pPr>
        <w:spacing w:before="156" w:beforeLines="50" w:after="156" w:afterLines="50" w:line="400" w:lineRule="exact"/>
        <w:ind w:firstLine="480" w:firstLineChars="200"/>
        <w:rPr>
          <w:rFonts w:ascii="宋体"/>
          <w:sz w:val="24"/>
        </w:rPr>
      </w:pPr>
      <w:r>
        <w:rPr>
          <w:rFonts w:hint="eastAsia" w:ascii="宋体"/>
          <w:sz w:val="24"/>
        </w:rPr>
        <w:t>（1）使用伪造、变造的许可证件；</w:t>
      </w:r>
    </w:p>
    <w:p>
      <w:pPr>
        <w:spacing w:before="156" w:beforeLines="50" w:after="156" w:afterLines="50" w:line="400" w:lineRule="exact"/>
        <w:ind w:firstLine="480" w:firstLineChars="200"/>
        <w:rPr>
          <w:rFonts w:ascii="宋体"/>
          <w:sz w:val="24"/>
        </w:rPr>
      </w:pPr>
      <w:r>
        <w:rPr>
          <w:rFonts w:hint="eastAsia" w:ascii="宋体"/>
          <w:sz w:val="24"/>
        </w:rPr>
        <w:t>（2）提供虚假的财务状况或者业绩；</w:t>
      </w:r>
    </w:p>
    <w:p>
      <w:pPr>
        <w:spacing w:before="156" w:beforeLines="50" w:after="156" w:afterLines="50" w:line="400" w:lineRule="exact"/>
        <w:ind w:firstLine="480" w:firstLineChars="200"/>
        <w:rPr>
          <w:rFonts w:ascii="宋体"/>
          <w:sz w:val="24"/>
        </w:rPr>
      </w:pPr>
      <w:r>
        <w:rPr>
          <w:rFonts w:hint="eastAsia" w:ascii="宋体"/>
          <w:sz w:val="24"/>
        </w:rPr>
        <w:t>（3）提供虚假的项目负责人或者主要技术人员简历、劳动关系证明；</w:t>
      </w:r>
    </w:p>
    <w:p>
      <w:pPr>
        <w:spacing w:before="156" w:beforeLines="50" w:after="156" w:afterLines="50" w:line="400" w:lineRule="exact"/>
        <w:ind w:firstLine="480" w:firstLineChars="200"/>
        <w:rPr>
          <w:rFonts w:ascii="宋体"/>
          <w:sz w:val="24"/>
        </w:rPr>
      </w:pPr>
      <w:r>
        <w:rPr>
          <w:rFonts w:hint="eastAsia" w:ascii="宋体"/>
          <w:sz w:val="24"/>
        </w:rPr>
        <w:t>（4）提供虚假的信用状况；</w:t>
      </w:r>
    </w:p>
    <w:p>
      <w:pPr>
        <w:spacing w:before="156" w:beforeLines="50" w:after="156" w:afterLines="50" w:line="400" w:lineRule="exact"/>
        <w:ind w:firstLine="480" w:firstLineChars="200"/>
        <w:rPr>
          <w:rFonts w:ascii="宋体"/>
          <w:sz w:val="24"/>
        </w:rPr>
      </w:pPr>
      <w:r>
        <w:rPr>
          <w:rFonts w:hint="eastAsia" w:ascii="宋体"/>
          <w:sz w:val="24"/>
        </w:rPr>
        <w:t>（5）其他弄虚作假的行为。</w:t>
      </w:r>
    </w:p>
    <w:p>
      <w:pPr>
        <w:pStyle w:val="3"/>
        <w:spacing w:before="156" w:beforeLines="50" w:after="156" w:afterLines="50" w:line="400" w:lineRule="exact"/>
        <w:jc w:val="center"/>
        <w:rPr>
          <w:szCs w:val="28"/>
        </w:rPr>
      </w:pPr>
      <w:bookmarkStart w:id="150" w:name="_Toc217446078"/>
      <w:bookmarkStart w:id="151" w:name="_Hlk9079348"/>
      <w:bookmarkStart w:id="152" w:name="_Toc1368"/>
      <w:bookmarkStart w:id="153" w:name="_Toc217446083"/>
      <w:r>
        <w:rPr>
          <w:rFonts w:hint="eastAsia"/>
          <w:szCs w:val="28"/>
        </w:rPr>
        <w:t>八、异议</w:t>
      </w:r>
      <w:bookmarkEnd w:id="150"/>
      <w:bookmarkStart w:id="154" w:name="_Toc217446079"/>
      <w:r>
        <w:rPr>
          <w:rFonts w:hint="eastAsia"/>
          <w:szCs w:val="28"/>
        </w:rPr>
        <w:t>的处理</w:t>
      </w:r>
    </w:p>
    <w:bookmarkEnd w:id="154"/>
    <w:p>
      <w:pPr>
        <w:tabs>
          <w:tab w:val="left" w:pos="1095"/>
        </w:tabs>
        <w:spacing w:before="156" w:beforeLines="50" w:after="156" w:afterLines="50" w:line="400" w:lineRule="exact"/>
        <w:ind w:firstLine="460" w:firstLineChars="192"/>
        <w:rPr>
          <w:rFonts w:hAnsi="宋体"/>
          <w:sz w:val="24"/>
        </w:rPr>
      </w:pPr>
      <w:r>
        <w:rPr>
          <w:rFonts w:hint="eastAsia" w:hAnsi="宋体"/>
          <w:sz w:val="24"/>
        </w:rPr>
        <w:t>36、</w:t>
      </w:r>
      <w:r>
        <w:rPr>
          <w:rFonts w:hAnsi="宋体"/>
          <w:sz w:val="24"/>
        </w:rPr>
        <w:t>投标人对招标文件有异议的，</w:t>
      </w:r>
      <w:r>
        <w:rPr>
          <w:rFonts w:hint="eastAsia" w:hAnsi="宋体"/>
          <w:sz w:val="24"/>
        </w:rPr>
        <w:t>须按照“投标人须知附表”规定的时间和方式</w:t>
      </w:r>
      <w:r>
        <w:rPr>
          <w:rFonts w:hAnsi="宋体"/>
          <w:sz w:val="24"/>
        </w:rPr>
        <w:t>提出。招标人</w:t>
      </w:r>
      <w:r>
        <w:rPr>
          <w:rFonts w:hint="eastAsia" w:hAnsi="宋体"/>
          <w:sz w:val="24"/>
        </w:rPr>
        <w:t>将</w:t>
      </w:r>
      <w:r>
        <w:rPr>
          <w:rFonts w:hAnsi="宋体"/>
          <w:sz w:val="24"/>
        </w:rPr>
        <w:t>自收到异议之日起3日内作出答复</w:t>
      </w:r>
      <w:r>
        <w:rPr>
          <w:rFonts w:hint="eastAsia" w:hAnsi="宋体"/>
          <w:sz w:val="24"/>
        </w:rPr>
        <w:t>。否则视为完全认同本招标文件。</w:t>
      </w:r>
    </w:p>
    <w:p>
      <w:pPr>
        <w:tabs>
          <w:tab w:val="left" w:pos="1095"/>
        </w:tabs>
        <w:spacing w:before="156" w:beforeLines="50" w:after="156" w:afterLines="50" w:line="400" w:lineRule="exact"/>
        <w:ind w:firstLine="460" w:firstLineChars="192"/>
        <w:rPr>
          <w:rFonts w:hAnsi="宋体"/>
          <w:sz w:val="24"/>
        </w:rPr>
      </w:pPr>
      <w:r>
        <w:rPr>
          <w:rFonts w:hint="eastAsia" w:hAnsi="宋体"/>
          <w:sz w:val="24"/>
        </w:rPr>
        <w:t>37、</w:t>
      </w:r>
      <w:r>
        <w:rPr>
          <w:rFonts w:hAnsi="宋体"/>
          <w:sz w:val="24"/>
        </w:rPr>
        <w:t>投标人对</w:t>
      </w:r>
      <w:r>
        <w:rPr>
          <w:rFonts w:hint="eastAsia" w:hAnsi="宋体"/>
          <w:sz w:val="24"/>
        </w:rPr>
        <w:t>评标结果</w:t>
      </w:r>
      <w:r>
        <w:rPr>
          <w:rFonts w:hAnsi="宋体"/>
          <w:sz w:val="24"/>
        </w:rPr>
        <w:t>有异议的，</w:t>
      </w:r>
      <w:r>
        <w:rPr>
          <w:rFonts w:hint="eastAsia" w:hAnsi="宋体"/>
          <w:sz w:val="24"/>
        </w:rPr>
        <w:t>须按照“投标人须知附表”规定的时间和方式</w:t>
      </w:r>
      <w:r>
        <w:rPr>
          <w:rFonts w:hAnsi="宋体"/>
          <w:sz w:val="24"/>
        </w:rPr>
        <w:t>提出。招标人</w:t>
      </w:r>
      <w:r>
        <w:rPr>
          <w:rFonts w:hint="eastAsia" w:hAnsi="宋体"/>
          <w:sz w:val="24"/>
        </w:rPr>
        <w:t>将</w:t>
      </w:r>
      <w:r>
        <w:rPr>
          <w:rFonts w:hAnsi="宋体"/>
          <w:sz w:val="24"/>
        </w:rPr>
        <w:t>自收到异议之日起3日内作出答复</w:t>
      </w:r>
      <w:r>
        <w:rPr>
          <w:rFonts w:hint="eastAsia" w:hAnsi="宋体"/>
          <w:sz w:val="24"/>
        </w:rPr>
        <w:t>。否则视为认同评标结果。</w:t>
      </w:r>
    </w:p>
    <w:p>
      <w:pPr>
        <w:tabs>
          <w:tab w:val="left" w:pos="1095"/>
        </w:tabs>
        <w:spacing w:before="156" w:beforeLines="50" w:after="156" w:afterLines="50" w:line="400" w:lineRule="exact"/>
        <w:ind w:firstLine="460" w:firstLineChars="192"/>
        <w:rPr>
          <w:rFonts w:hAnsi="宋体"/>
          <w:sz w:val="24"/>
        </w:rPr>
      </w:pPr>
      <w:r>
        <w:rPr>
          <w:rFonts w:hint="eastAsia" w:hAnsi="宋体"/>
          <w:sz w:val="24"/>
        </w:rPr>
        <w:t>38、异议的接收和处理，招标代理机构将根据本招标文件的规定就招标人委托授权范围内的事项作出答复。</w:t>
      </w:r>
    </w:p>
    <w:p>
      <w:pPr>
        <w:tabs>
          <w:tab w:val="left" w:pos="1095"/>
        </w:tabs>
        <w:spacing w:before="156" w:beforeLines="50" w:after="156" w:afterLines="50" w:line="400" w:lineRule="exact"/>
        <w:ind w:firstLine="460" w:firstLineChars="192"/>
        <w:rPr>
          <w:rFonts w:hAnsi="宋体"/>
          <w:sz w:val="24"/>
        </w:rPr>
      </w:pPr>
    </w:p>
    <w:p>
      <w:pPr>
        <w:tabs>
          <w:tab w:val="left" w:pos="1095"/>
        </w:tabs>
        <w:spacing w:before="156" w:beforeLines="50" w:after="156" w:afterLines="50" w:line="400" w:lineRule="exact"/>
        <w:ind w:firstLine="460" w:firstLineChars="192"/>
        <w:rPr>
          <w:rFonts w:hAnsi="宋体"/>
          <w:sz w:val="24"/>
        </w:rPr>
      </w:pPr>
    </w:p>
    <w:p>
      <w:pPr>
        <w:tabs>
          <w:tab w:val="left" w:pos="1095"/>
        </w:tabs>
        <w:spacing w:before="156" w:beforeLines="50" w:after="156" w:afterLines="50" w:line="400" w:lineRule="exact"/>
        <w:ind w:firstLine="460" w:firstLineChars="192"/>
        <w:rPr>
          <w:rFonts w:hAnsi="宋体"/>
          <w:sz w:val="24"/>
        </w:rPr>
      </w:pPr>
    </w:p>
    <w:p>
      <w:pPr>
        <w:tabs>
          <w:tab w:val="left" w:pos="1095"/>
        </w:tabs>
        <w:spacing w:before="156" w:beforeLines="50" w:after="156" w:afterLines="50" w:line="400" w:lineRule="exact"/>
        <w:ind w:firstLine="460" w:firstLineChars="192"/>
        <w:rPr>
          <w:rFonts w:hAnsi="宋体"/>
          <w:sz w:val="24"/>
        </w:rPr>
      </w:pPr>
    </w:p>
    <w:p>
      <w:pPr>
        <w:tabs>
          <w:tab w:val="left" w:pos="1095"/>
        </w:tabs>
        <w:spacing w:before="156" w:beforeLines="50" w:after="156" w:afterLines="50" w:line="400" w:lineRule="exact"/>
        <w:ind w:firstLine="460" w:firstLineChars="192"/>
        <w:rPr>
          <w:rFonts w:hAnsi="宋体"/>
          <w:sz w:val="24"/>
        </w:rPr>
      </w:pPr>
    </w:p>
    <w:p>
      <w:pPr>
        <w:tabs>
          <w:tab w:val="left" w:pos="1095"/>
        </w:tabs>
        <w:spacing w:before="156" w:beforeLines="50" w:after="156" w:afterLines="50" w:line="400" w:lineRule="exact"/>
        <w:ind w:firstLine="460" w:firstLineChars="192"/>
        <w:rPr>
          <w:rFonts w:hAnsi="宋体"/>
          <w:sz w:val="24"/>
        </w:rPr>
      </w:pPr>
    </w:p>
    <w:bookmarkEnd w:id="151"/>
    <w:p>
      <w:pPr>
        <w:pStyle w:val="2"/>
        <w:spacing w:line="240" w:lineRule="atLeast"/>
        <w:jc w:val="center"/>
        <w:rPr>
          <w:rFonts w:ascii="华文中宋" w:hAnsi="华文中宋" w:eastAsia="华文中宋"/>
          <w:sz w:val="36"/>
          <w:szCs w:val="36"/>
        </w:rPr>
      </w:pPr>
      <w:bookmarkStart w:id="155" w:name="_Toc513065348"/>
      <w:r>
        <w:rPr>
          <w:rFonts w:hint="eastAsia" w:ascii="华文中宋" w:hAnsi="华文中宋" w:eastAsia="华文中宋"/>
          <w:sz w:val="36"/>
          <w:szCs w:val="36"/>
        </w:rPr>
        <w:t>第三章  投标文件格式</w:t>
      </w:r>
      <w:bookmarkEnd w:id="152"/>
      <w:bookmarkEnd w:id="155"/>
      <w:bookmarkStart w:id="156" w:name="_Toc308164821"/>
      <w:bookmarkStart w:id="157" w:name="_Toc217446082"/>
    </w:p>
    <w:p>
      <w:pPr>
        <w:widowControl/>
        <w:spacing w:line="360" w:lineRule="atLeast"/>
        <w:ind w:firstLine="470" w:firstLineChars="196"/>
        <w:outlineLvl w:val="1"/>
        <w:rPr>
          <w:rFonts w:ascii="宋体"/>
          <w:sz w:val="24"/>
        </w:rPr>
      </w:pPr>
      <w:r>
        <w:rPr>
          <w:rFonts w:hint="eastAsia" w:ascii="宋体"/>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outlineLvl w:val="1"/>
        <w:rPr>
          <w:rFonts w:ascii="宋体"/>
          <w:sz w:val="24"/>
        </w:rPr>
      </w:pPr>
      <w:r>
        <w:rPr>
          <w:rFonts w:hint="eastAsia" w:ascii="宋体"/>
          <w:sz w:val="24"/>
        </w:rPr>
        <w:t>二、本章所制投标文件格式有关表格中的备注栏，由投标人根据自身投标情况作解释性说明，不作为必填项（格式中明确将该格式作为实质性要求的除外）。</w:t>
      </w:r>
    </w:p>
    <w:p>
      <w:pPr>
        <w:widowControl/>
        <w:spacing w:line="360" w:lineRule="atLeast"/>
        <w:ind w:firstLine="470" w:firstLineChars="196"/>
        <w:outlineLvl w:val="1"/>
        <w:rPr>
          <w:rFonts w:ascii="宋体"/>
          <w:sz w:val="24"/>
        </w:rPr>
      </w:pPr>
      <w:r>
        <w:rPr>
          <w:rFonts w:hint="eastAsia" w:ascii="宋体"/>
          <w:sz w:val="24"/>
        </w:rPr>
        <w:t>三、本章所制投标文件格式中需要填写的相关内容事项，可能会与本项目无关，在不改变投标文件原义、不影响本项目采购需求的情况下，投标人可以不予填写，但应当注明。</w:t>
      </w:r>
    </w:p>
    <w:p>
      <w:pPr>
        <w:widowControl/>
        <w:spacing w:line="360" w:lineRule="atLeast"/>
        <w:ind w:firstLine="470" w:firstLineChars="196"/>
        <w:outlineLvl w:val="1"/>
        <w:rPr>
          <w:rFonts w:ascii="宋体"/>
          <w:sz w:val="24"/>
        </w:rPr>
      </w:pPr>
      <w:r>
        <w:rPr>
          <w:rFonts w:hint="eastAsia" w:ascii="宋体"/>
          <w:sz w:val="24"/>
        </w:rPr>
        <w:t>四、本章所制投标文件格式中要求盖章、签字的材料，不论投标人是否使用本章文件格式，均须按照要求盖章、签字。</w:t>
      </w:r>
    </w:p>
    <w:p>
      <w:pPr>
        <w:spacing w:line="360" w:lineRule="auto"/>
        <w:rPr>
          <w:rFonts w:ascii="华文中宋" w:hAnsi="华文中宋" w:eastAsia="华文中宋"/>
          <w:b/>
          <w:sz w:val="36"/>
        </w:rPr>
      </w:pPr>
    </w:p>
    <w:p>
      <w:pPr>
        <w:spacing w:line="360" w:lineRule="auto"/>
        <w:rPr>
          <w:rFonts w:ascii="华文中宋" w:hAnsi="华文中宋" w:eastAsia="华文中宋"/>
          <w:b/>
          <w:sz w:val="36"/>
        </w:rPr>
      </w:pPr>
    </w:p>
    <w:bookmarkEnd w:id="149"/>
    <w:p>
      <w:pPr>
        <w:tabs>
          <w:tab w:val="left" w:pos="900"/>
        </w:tabs>
        <w:spacing w:line="360" w:lineRule="auto"/>
        <w:jc w:val="center"/>
        <w:rPr>
          <w:rFonts w:ascii="黑体" w:eastAsia="黑体"/>
          <w:b/>
          <w:sz w:val="32"/>
          <w:szCs w:val="32"/>
        </w:rPr>
      </w:pPr>
      <w:r>
        <w:rPr>
          <w:rFonts w:hint="eastAsia" w:ascii="黑体" w:eastAsia="黑体"/>
          <w:b/>
          <w:sz w:val="32"/>
          <w:szCs w:val="32"/>
        </w:rPr>
        <w:br w:type="page"/>
      </w:r>
      <w:bookmarkEnd w:id="153"/>
      <w:bookmarkEnd w:id="156"/>
      <w:bookmarkEnd w:id="157"/>
      <w:bookmarkStart w:id="158" w:name="_Toc28495"/>
      <w:bookmarkStart w:id="159" w:name="PO_默认文件内容_26"/>
    </w:p>
    <w:p>
      <w:pPr>
        <w:spacing w:line="360" w:lineRule="auto"/>
        <w:rPr>
          <w:rFonts w:ascii="华文中宋" w:hAnsi="华文中宋" w:eastAsia="华文中宋"/>
          <w:b/>
          <w:sz w:val="32"/>
          <w:szCs w:val="32"/>
        </w:rPr>
      </w:pPr>
      <w:r>
        <w:rPr>
          <w:rFonts w:hint="eastAsia" w:ascii="华文中宋" w:hAnsi="华文中宋" w:eastAsia="华文中宋"/>
          <w:b/>
          <w:sz w:val="32"/>
          <w:szCs w:val="32"/>
        </w:rPr>
        <w:t>格式1</w:t>
      </w:r>
    </w:p>
    <w:p>
      <w:pPr>
        <w:pStyle w:val="3"/>
        <w:jc w:val="left"/>
        <w:rPr>
          <w:rFonts w:cs="黑体"/>
        </w:rPr>
      </w:pPr>
      <w:r>
        <w:rPr>
          <w:rFonts w:hint="eastAsia" w:cs="黑体"/>
        </w:rPr>
        <w:t>封面：</w:t>
      </w:r>
    </w:p>
    <w:p>
      <w:pPr>
        <w:spacing w:line="360" w:lineRule="auto"/>
        <w:jc w:val="right"/>
        <w:rPr>
          <w:rFonts w:ascii="华文中宋" w:hAnsi="华文中宋" w:eastAsia="华文中宋"/>
          <w:b/>
          <w:sz w:val="36"/>
        </w:rPr>
      </w:pPr>
      <w:r>
        <w:rPr>
          <w:rFonts w:ascii="华文中宋" w:hAnsi="华文中宋" w:eastAsia="华文中宋"/>
          <w:b/>
          <w:sz w:val="36"/>
        </w:rPr>
        <w:t>（正本/副本）</w:t>
      </w:r>
    </w:p>
    <w:p>
      <w:pPr>
        <w:spacing w:line="360" w:lineRule="auto"/>
        <w:rPr>
          <w:rFonts w:ascii="华文中宋" w:hAnsi="华文中宋" w:eastAsia="华文中宋"/>
          <w:b/>
          <w:sz w:val="32"/>
          <w:szCs w:val="32"/>
        </w:rPr>
      </w:pPr>
    </w:p>
    <w:p>
      <w:pPr>
        <w:spacing w:line="360" w:lineRule="auto"/>
        <w:jc w:val="center"/>
        <w:rPr>
          <w:rFonts w:ascii="华文中宋" w:hAnsi="华文中宋" w:eastAsia="华文中宋"/>
          <w:b/>
          <w:sz w:val="72"/>
          <w:u w:val="single"/>
        </w:rPr>
      </w:pPr>
      <w:r>
        <w:rPr>
          <w:rFonts w:hint="eastAsia" w:ascii="华文中宋" w:hAnsi="华文中宋" w:eastAsia="华文中宋"/>
          <w:b/>
          <w:sz w:val="40"/>
          <w:szCs w:val="48"/>
          <w:u w:val="single"/>
        </w:rPr>
        <w:t xml:space="preserve">                 （项目名称）</w:t>
      </w:r>
    </w:p>
    <w:p>
      <w:pPr>
        <w:spacing w:line="360" w:lineRule="auto"/>
        <w:rPr>
          <w:rFonts w:ascii="华文中宋" w:hAnsi="华文中宋" w:eastAsia="华文中宋"/>
          <w:b/>
          <w:sz w:val="52"/>
          <w:szCs w:val="52"/>
        </w:rPr>
      </w:pPr>
    </w:p>
    <w:p>
      <w:pPr>
        <w:spacing w:line="360" w:lineRule="auto"/>
        <w:jc w:val="center"/>
        <w:rPr>
          <w:rFonts w:ascii="华文中宋" w:hAnsi="华文中宋" w:eastAsia="华文中宋"/>
          <w:b/>
          <w:sz w:val="32"/>
          <w:szCs w:val="32"/>
        </w:rPr>
      </w:pPr>
      <w:r>
        <w:rPr>
          <w:rFonts w:hint="eastAsia" w:ascii="华文中宋" w:hAnsi="华文中宋" w:eastAsia="华文中宋"/>
          <w:b/>
          <w:sz w:val="52"/>
          <w:szCs w:val="52"/>
        </w:rPr>
        <w:t>投标文件</w:t>
      </w:r>
    </w:p>
    <w:p>
      <w:pPr>
        <w:spacing w:line="360" w:lineRule="auto"/>
        <w:rPr>
          <w:rFonts w:ascii="华文中宋" w:hAnsi="华文中宋" w:eastAsia="华文中宋"/>
          <w:b/>
          <w:sz w:val="36"/>
        </w:rPr>
      </w:pPr>
    </w:p>
    <w:p>
      <w:pPr>
        <w:spacing w:line="360" w:lineRule="auto"/>
        <w:rPr>
          <w:rFonts w:ascii="华文中宋" w:hAnsi="华文中宋" w:eastAsia="华文中宋"/>
          <w:b/>
          <w:sz w:val="36"/>
        </w:rPr>
      </w:pPr>
    </w:p>
    <w:p>
      <w:pPr>
        <w:spacing w:line="360" w:lineRule="auto"/>
        <w:jc w:val="left"/>
        <w:rPr>
          <w:rFonts w:ascii="华文中宋" w:hAnsi="华文中宋" w:eastAsia="华文中宋"/>
          <w:b/>
          <w:sz w:val="32"/>
          <w:u w:val="single"/>
        </w:rPr>
      </w:pPr>
      <w:r>
        <w:rPr>
          <w:rFonts w:hint="eastAsia" w:ascii="华文中宋" w:hAnsi="华文中宋" w:eastAsia="华文中宋"/>
          <w:b/>
          <w:sz w:val="32"/>
        </w:rPr>
        <w:t>投标人</w:t>
      </w:r>
      <w:r>
        <w:rPr>
          <w:rFonts w:ascii="华文中宋" w:hAnsi="华文中宋" w:eastAsia="华文中宋"/>
          <w:b/>
          <w:sz w:val="32"/>
        </w:rPr>
        <w:t>名称：</w:t>
      </w:r>
    </w:p>
    <w:p>
      <w:pPr>
        <w:spacing w:line="360" w:lineRule="auto"/>
        <w:jc w:val="left"/>
        <w:rPr>
          <w:rFonts w:ascii="华文中宋" w:hAnsi="华文中宋" w:eastAsia="华文中宋"/>
          <w:b/>
          <w:sz w:val="32"/>
          <w:u w:val="single"/>
        </w:rPr>
      </w:pPr>
      <w:r>
        <w:rPr>
          <w:rFonts w:hint="eastAsia" w:ascii="华文中宋" w:hAnsi="华文中宋" w:eastAsia="华文中宋"/>
          <w:b/>
          <w:sz w:val="32"/>
        </w:rPr>
        <w:t xml:space="preserve">招 标 </w:t>
      </w:r>
      <w:r>
        <w:rPr>
          <w:rFonts w:ascii="华文中宋" w:hAnsi="华文中宋" w:eastAsia="华文中宋"/>
          <w:b/>
          <w:sz w:val="32"/>
        </w:rPr>
        <w:t>编号：</w:t>
      </w:r>
    </w:p>
    <w:p>
      <w:pPr>
        <w:spacing w:line="360" w:lineRule="auto"/>
        <w:jc w:val="left"/>
        <w:rPr>
          <w:rFonts w:ascii="华文中宋" w:hAnsi="华文中宋" w:eastAsia="华文中宋"/>
          <w:b/>
          <w:sz w:val="32"/>
        </w:rPr>
      </w:pPr>
      <w:r>
        <w:rPr>
          <w:rFonts w:hint="eastAsia" w:ascii="华文中宋" w:hAnsi="华文中宋" w:eastAsia="华文中宋"/>
          <w:b/>
          <w:sz w:val="32"/>
        </w:rPr>
        <w:t xml:space="preserve">包 </w:t>
      </w:r>
      <w:r>
        <w:rPr>
          <w:rFonts w:ascii="华文中宋" w:hAnsi="华文中宋" w:eastAsia="华文中宋"/>
          <w:b/>
          <w:sz w:val="32"/>
        </w:rPr>
        <w:t xml:space="preserve">     </w:t>
      </w:r>
      <w:r>
        <w:rPr>
          <w:rFonts w:hint="eastAsia" w:ascii="华文中宋" w:hAnsi="华文中宋" w:eastAsia="华文中宋"/>
          <w:b/>
          <w:sz w:val="32"/>
        </w:rPr>
        <w:t>号</w:t>
      </w:r>
      <w:r>
        <w:rPr>
          <w:rFonts w:ascii="华文中宋" w:hAnsi="华文中宋" w:eastAsia="华文中宋"/>
          <w:b/>
          <w:sz w:val="32"/>
        </w:rPr>
        <w:t>：</w:t>
      </w:r>
    </w:p>
    <w:p>
      <w:pPr>
        <w:spacing w:line="360" w:lineRule="auto"/>
        <w:jc w:val="left"/>
        <w:rPr>
          <w:rFonts w:ascii="华文中宋" w:hAnsi="华文中宋" w:eastAsia="华文中宋"/>
          <w:b/>
          <w:sz w:val="32"/>
        </w:rPr>
      </w:pPr>
    </w:p>
    <w:p>
      <w:pPr>
        <w:spacing w:line="360" w:lineRule="auto"/>
        <w:jc w:val="left"/>
        <w:rPr>
          <w:rFonts w:ascii="华文中宋" w:hAnsi="华文中宋" w:eastAsia="华文中宋"/>
          <w:b/>
          <w:sz w:val="32"/>
          <w:u w:val="single"/>
        </w:rPr>
      </w:pPr>
    </w:p>
    <w:p>
      <w:pPr>
        <w:jc w:val="center"/>
        <w:rPr>
          <w:rFonts w:ascii="华文中宋" w:hAnsi="华文中宋" w:eastAsia="华文中宋"/>
          <w:b/>
          <w:bCs/>
          <w:sz w:val="28"/>
          <w:szCs w:val="28"/>
        </w:rPr>
      </w:pPr>
      <w:r>
        <w:rPr>
          <w:rFonts w:ascii="华文中宋" w:hAnsi="华文中宋" w:eastAsia="华文中宋"/>
          <w:b/>
          <w:bCs/>
          <w:sz w:val="28"/>
          <w:szCs w:val="28"/>
          <w:u w:val="single"/>
        </w:rPr>
        <w:t xml:space="preserve">        </w:t>
      </w:r>
      <w:r>
        <w:rPr>
          <w:rFonts w:ascii="华文中宋" w:hAnsi="华文中宋" w:eastAsia="华文中宋"/>
          <w:b/>
          <w:bCs/>
          <w:sz w:val="28"/>
          <w:szCs w:val="28"/>
        </w:rPr>
        <w:t>年</w:t>
      </w:r>
      <w:r>
        <w:rPr>
          <w:rFonts w:ascii="华文中宋" w:hAnsi="华文中宋" w:eastAsia="华文中宋"/>
          <w:b/>
          <w:bCs/>
          <w:sz w:val="28"/>
          <w:szCs w:val="28"/>
          <w:u w:val="single"/>
        </w:rPr>
        <w:t xml:space="preserve">        </w:t>
      </w:r>
      <w:r>
        <w:rPr>
          <w:rFonts w:ascii="华文中宋" w:hAnsi="华文中宋" w:eastAsia="华文中宋"/>
          <w:b/>
          <w:bCs/>
          <w:sz w:val="28"/>
          <w:szCs w:val="28"/>
        </w:rPr>
        <w:t>月</w:t>
      </w:r>
      <w:r>
        <w:rPr>
          <w:rFonts w:ascii="华文中宋" w:hAnsi="华文中宋" w:eastAsia="华文中宋"/>
          <w:b/>
          <w:bCs/>
          <w:sz w:val="28"/>
          <w:szCs w:val="28"/>
          <w:u w:val="single"/>
        </w:rPr>
        <w:t xml:space="preserve">        </w:t>
      </w:r>
      <w:r>
        <w:rPr>
          <w:rFonts w:ascii="华文中宋" w:hAnsi="华文中宋" w:eastAsia="华文中宋"/>
          <w:b/>
          <w:bCs/>
          <w:sz w:val="28"/>
          <w:szCs w:val="28"/>
        </w:rPr>
        <w:t>日</w:t>
      </w:r>
    </w:p>
    <w:p>
      <w:pPr>
        <w:jc w:val="center"/>
        <w:rPr>
          <w:rFonts w:ascii="华文中宋" w:hAnsi="华文中宋" w:eastAsia="华文中宋"/>
          <w:b/>
          <w:sz w:val="44"/>
          <w:szCs w:val="44"/>
        </w:rPr>
      </w:pPr>
      <w:r>
        <w:rPr>
          <w:rFonts w:ascii="华文中宋" w:hAnsi="华文中宋" w:eastAsia="华文中宋"/>
          <w:b/>
          <w:sz w:val="32"/>
        </w:rPr>
        <w:br w:type="page"/>
      </w:r>
      <w:bookmarkStart w:id="160" w:name="_Toc460503083"/>
      <w:bookmarkStart w:id="161" w:name="_Toc184704625"/>
      <w:r>
        <w:rPr>
          <w:rFonts w:hint="eastAsia" w:ascii="华文中宋" w:hAnsi="华文中宋" w:eastAsia="华文中宋"/>
          <w:b/>
          <w:sz w:val="44"/>
          <w:szCs w:val="44"/>
        </w:rPr>
        <w:t>目  录</w:t>
      </w:r>
    </w:p>
    <w:p>
      <w:pPr>
        <w:spacing w:line="400" w:lineRule="exact"/>
        <w:rPr>
          <w:b/>
          <w:sz w:val="24"/>
        </w:rPr>
      </w:pPr>
      <w:r>
        <w:rPr>
          <w:rFonts w:hint="eastAsia"/>
          <w:b/>
          <w:sz w:val="24"/>
        </w:rPr>
        <w:t>A、报价部分</w:t>
      </w:r>
    </w:p>
    <w:p>
      <w:pPr>
        <w:spacing w:line="400" w:lineRule="exact"/>
        <w:rPr>
          <w:sz w:val="24"/>
        </w:rPr>
      </w:pPr>
      <w:r>
        <w:rPr>
          <w:rFonts w:hint="eastAsia"/>
          <w:sz w:val="24"/>
        </w:rPr>
        <w:t>1、开标一览表</w:t>
      </w:r>
    </w:p>
    <w:p>
      <w:pPr>
        <w:spacing w:line="400" w:lineRule="exact"/>
        <w:rPr>
          <w:sz w:val="24"/>
        </w:rPr>
      </w:pPr>
      <w:r>
        <w:rPr>
          <w:rFonts w:hint="eastAsia"/>
          <w:sz w:val="24"/>
        </w:rPr>
        <w:t>2、分项报价明细表</w:t>
      </w:r>
    </w:p>
    <w:p>
      <w:pPr>
        <w:spacing w:line="400" w:lineRule="exact"/>
        <w:rPr>
          <w:b/>
          <w:sz w:val="24"/>
        </w:rPr>
      </w:pPr>
      <w:r>
        <w:rPr>
          <w:rFonts w:hint="eastAsia"/>
          <w:b/>
          <w:sz w:val="24"/>
        </w:rPr>
        <w:t>B、商务部分</w:t>
      </w:r>
    </w:p>
    <w:p>
      <w:pPr>
        <w:spacing w:line="400" w:lineRule="exact"/>
        <w:rPr>
          <w:sz w:val="24"/>
        </w:rPr>
      </w:pPr>
      <w:r>
        <w:rPr>
          <w:rFonts w:hint="eastAsia"/>
          <w:sz w:val="24"/>
        </w:rPr>
        <w:t>1、投标函</w:t>
      </w:r>
    </w:p>
    <w:p>
      <w:pPr>
        <w:spacing w:line="400" w:lineRule="exact"/>
        <w:rPr>
          <w:sz w:val="24"/>
        </w:rPr>
      </w:pPr>
      <w:r>
        <w:rPr>
          <w:rFonts w:hint="eastAsia"/>
          <w:sz w:val="24"/>
        </w:rPr>
        <w:t>2、法定代表人证明书或法定代表人授权书</w:t>
      </w:r>
    </w:p>
    <w:p>
      <w:pPr>
        <w:spacing w:line="400" w:lineRule="exact"/>
        <w:rPr>
          <w:sz w:val="24"/>
        </w:rPr>
      </w:pPr>
      <w:r>
        <w:rPr>
          <w:rFonts w:hint="eastAsia"/>
          <w:sz w:val="24"/>
        </w:rPr>
        <w:t>3、投标人基本情况表</w:t>
      </w:r>
    </w:p>
    <w:p>
      <w:pPr>
        <w:spacing w:line="400" w:lineRule="exact"/>
        <w:rPr>
          <w:sz w:val="24"/>
        </w:rPr>
      </w:pPr>
      <w:r>
        <w:rPr>
          <w:rFonts w:hint="eastAsia"/>
          <w:sz w:val="24"/>
        </w:rPr>
        <w:t>4、投标人本项目管理、技术、服务人员情况表</w:t>
      </w:r>
    </w:p>
    <w:p>
      <w:pPr>
        <w:spacing w:line="400" w:lineRule="exact"/>
        <w:rPr>
          <w:sz w:val="24"/>
        </w:rPr>
      </w:pPr>
      <w:r>
        <w:rPr>
          <w:rFonts w:hint="eastAsia"/>
          <w:sz w:val="24"/>
        </w:rPr>
        <w:t>5、商务应答表</w:t>
      </w:r>
    </w:p>
    <w:p>
      <w:pPr>
        <w:spacing w:line="400" w:lineRule="exact"/>
        <w:rPr>
          <w:sz w:val="24"/>
        </w:rPr>
      </w:pPr>
      <w:r>
        <w:rPr>
          <w:rFonts w:hint="eastAsia"/>
          <w:sz w:val="24"/>
        </w:rPr>
        <w:t>6、业绩和荣誉的有关材料</w:t>
      </w:r>
    </w:p>
    <w:p>
      <w:pPr>
        <w:spacing w:line="400" w:lineRule="exact"/>
        <w:rPr>
          <w:sz w:val="24"/>
        </w:rPr>
      </w:pPr>
      <w:r>
        <w:rPr>
          <w:rFonts w:hint="eastAsia"/>
          <w:sz w:val="24"/>
        </w:rPr>
        <w:t xml:space="preserve">  6.1类似项目业绩一览表</w:t>
      </w:r>
    </w:p>
    <w:p>
      <w:pPr>
        <w:spacing w:line="400" w:lineRule="exact"/>
        <w:rPr>
          <w:sz w:val="24"/>
        </w:rPr>
      </w:pPr>
      <w:r>
        <w:rPr>
          <w:rFonts w:hint="eastAsia"/>
          <w:sz w:val="24"/>
        </w:rPr>
        <w:t xml:space="preserve">  6.2荣誉</w:t>
      </w:r>
    </w:p>
    <w:p>
      <w:pPr>
        <w:spacing w:line="400" w:lineRule="exact"/>
        <w:rPr>
          <w:sz w:val="24"/>
        </w:rPr>
      </w:pPr>
      <w:r>
        <w:rPr>
          <w:rFonts w:hint="eastAsia"/>
          <w:sz w:val="24"/>
        </w:rPr>
        <w:t>8、投标人认为应该提供的其它材料</w:t>
      </w:r>
    </w:p>
    <w:p>
      <w:pPr>
        <w:spacing w:line="400" w:lineRule="exact"/>
        <w:rPr>
          <w:b/>
          <w:sz w:val="24"/>
        </w:rPr>
      </w:pPr>
      <w:r>
        <w:rPr>
          <w:rFonts w:hint="eastAsia"/>
          <w:b/>
          <w:sz w:val="24"/>
        </w:rPr>
        <w:t>C、供应商资格证明材料</w:t>
      </w:r>
    </w:p>
    <w:p>
      <w:pPr>
        <w:spacing w:line="400" w:lineRule="exact"/>
        <w:rPr>
          <w:sz w:val="24"/>
        </w:rPr>
      </w:pPr>
      <w:r>
        <w:rPr>
          <w:rFonts w:hint="eastAsia"/>
          <w:sz w:val="24"/>
        </w:rPr>
        <w:t>招标文件第五章规定的资格、资质性及其他具有类似效力要求的相关证明材料</w:t>
      </w:r>
    </w:p>
    <w:p>
      <w:pPr>
        <w:spacing w:line="400" w:lineRule="exact"/>
        <w:rPr>
          <w:b/>
          <w:sz w:val="24"/>
        </w:rPr>
      </w:pPr>
      <w:r>
        <w:rPr>
          <w:b/>
          <w:sz w:val="24"/>
        </w:rPr>
        <w:t>D</w:t>
      </w:r>
      <w:r>
        <w:rPr>
          <w:rFonts w:hint="eastAsia"/>
          <w:b/>
          <w:sz w:val="24"/>
        </w:rPr>
        <w:t>、技术服务部分</w:t>
      </w:r>
    </w:p>
    <w:p>
      <w:pPr>
        <w:spacing w:line="400" w:lineRule="exact"/>
        <w:rPr>
          <w:sz w:val="24"/>
        </w:rPr>
      </w:pPr>
      <w:r>
        <w:rPr>
          <w:rFonts w:hint="eastAsia"/>
          <w:sz w:val="24"/>
        </w:rPr>
        <w:t>1、项目服务及实施方案</w:t>
      </w:r>
    </w:p>
    <w:p>
      <w:pPr>
        <w:spacing w:line="400" w:lineRule="exact"/>
        <w:rPr>
          <w:sz w:val="24"/>
        </w:rPr>
      </w:pPr>
      <w:r>
        <w:rPr>
          <w:rFonts w:hint="eastAsia"/>
          <w:sz w:val="24"/>
        </w:rPr>
        <w:t>3、服务应答表</w:t>
      </w:r>
    </w:p>
    <w:p>
      <w:pPr>
        <w:spacing w:line="400" w:lineRule="exact"/>
        <w:rPr>
          <w:sz w:val="24"/>
        </w:rPr>
      </w:pPr>
      <w:r>
        <w:rPr>
          <w:rFonts w:hint="eastAsia"/>
          <w:sz w:val="24"/>
        </w:rPr>
        <w:t>4、验收标准和验收方法</w:t>
      </w:r>
    </w:p>
    <w:p>
      <w:pPr>
        <w:spacing w:line="400" w:lineRule="exact"/>
        <w:rPr>
          <w:sz w:val="24"/>
        </w:rPr>
      </w:pPr>
      <w:r>
        <w:rPr>
          <w:rFonts w:hint="eastAsia"/>
          <w:sz w:val="24"/>
        </w:rPr>
        <w:t>5、投标人认为应该提供的其它材料</w:t>
      </w:r>
    </w:p>
    <w:p>
      <w:pPr>
        <w:spacing w:line="400" w:lineRule="exact"/>
        <w:rPr>
          <w:b/>
          <w:sz w:val="24"/>
        </w:rPr>
      </w:pPr>
      <w:r>
        <w:rPr>
          <w:b/>
          <w:sz w:val="24"/>
        </w:rPr>
        <w:t>E</w:t>
      </w:r>
      <w:r>
        <w:rPr>
          <w:rFonts w:hint="eastAsia"/>
          <w:b/>
          <w:sz w:val="24"/>
        </w:rPr>
        <w:t>、其它</w:t>
      </w:r>
    </w:p>
    <w:p>
      <w:pPr>
        <w:rPr>
          <w:b/>
          <w:sz w:val="24"/>
        </w:rPr>
      </w:pPr>
    </w:p>
    <w:p>
      <w:pPr>
        <w:rPr>
          <w:b/>
          <w:sz w:val="24"/>
        </w:rPr>
      </w:pPr>
      <w:r>
        <w:rPr>
          <w:rFonts w:hint="eastAsia"/>
          <w:b/>
          <w:sz w:val="24"/>
        </w:rPr>
        <w:t>注：本目录仅供参考，投标人根据其投标文件情况自行编制，格式不限。</w:t>
      </w:r>
    </w:p>
    <w:p>
      <w:pPr>
        <w:rPr>
          <w:b/>
          <w:sz w:val="24"/>
        </w:rPr>
      </w:pPr>
    </w:p>
    <w:p>
      <w:pPr>
        <w:spacing w:line="360" w:lineRule="auto"/>
        <w:rPr>
          <w:rFonts w:ascii="华文中宋" w:hAnsi="华文中宋" w:eastAsia="华文中宋"/>
          <w:b/>
          <w:sz w:val="32"/>
          <w:szCs w:val="32"/>
        </w:rPr>
      </w:pPr>
      <w:r>
        <w:rPr>
          <w:rFonts w:hint="eastAsia" w:ascii="华文中宋" w:hAnsi="华文中宋" w:eastAsia="华文中宋"/>
          <w:b/>
          <w:sz w:val="32"/>
          <w:szCs w:val="32"/>
        </w:rPr>
        <w:t>格式2</w:t>
      </w:r>
    </w:p>
    <w:p>
      <w:pPr>
        <w:widowControl/>
        <w:spacing w:line="360" w:lineRule="atLeast"/>
        <w:jc w:val="center"/>
        <w:outlineLvl w:val="1"/>
        <w:rPr>
          <w:rFonts w:ascii="黑体" w:eastAsia="黑体"/>
          <w:b/>
          <w:sz w:val="32"/>
          <w:szCs w:val="32"/>
        </w:rPr>
      </w:pPr>
      <w:r>
        <w:rPr>
          <w:rFonts w:hint="eastAsia" w:ascii="黑体" w:eastAsia="黑体"/>
          <w:b/>
          <w:sz w:val="32"/>
          <w:szCs w:val="32"/>
        </w:rPr>
        <w:t>投 标 函</w:t>
      </w:r>
    </w:p>
    <w:p>
      <w:pPr>
        <w:spacing w:before="156" w:beforeLines="50" w:after="156" w:afterLines="50" w:line="360" w:lineRule="auto"/>
        <w:rPr>
          <w:rFonts w:ascii="宋体" w:hAnsi="宋体" w:cs="宋体"/>
          <w:bCs/>
          <w:sz w:val="24"/>
        </w:rPr>
      </w:pPr>
      <w:r>
        <w:rPr>
          <w:rFonts w:hint="eastAsia" w:ascii="宋体" w:hAnsi="宋体" w:cs="宋体"/>
          <w:bCs/>
          <w:sz w:val="24"/>
        </w:rPr>
        <w:t>四川国际招标有限责任公司：</w:t>
      </w:r>
    </w:p>
    <w:p>
      <w:pPr>
        <w:spacing w:before="156" w:beforeLines="50" w:after="156" w:afterLines="50" w:line="360" w:lineRule="auto"/>
        <w:ind w:firstLine="480" w:firstLineChars="200"/>
        <w:rPr>
          <w:rFonts w:ascii="宋体" w:hAnsi="宋体" w:cs="宋体"/>
          <w:bCs/>
          <w:sz w:val="24"/>
        </w:rPr>
      </w:pPr>
      <w:r>
        <w:rPr>
          <w:rFonts w:hint="eastAsia" w:ascii="宋体" w:hAnsi="宋体" w:cs="宋体"/>
          <w:bCs/>
          <w:sz w:val="24"/>
        </w:rPr>
        <w:t>我方全面研究了“</w:t>
      </w:r>
      <w:r>
        <w:rPr>
          <w:rFonts w:hint="eastAsia" w:ascii="宋体" w:hAnsi="宋体" w:cs="宋体"/>
          <w:bCs/>
          <w:sz w:val="24"/>
          <w:u w:val="single"/>
        </w:rPr>
        <w:t xml:space="preserve">         </w:t>
      </w:r>
      <w:r>
        <w:rPr>
          <w:rFonts w:hint="eastAsia" w:ascii="宋体" w:hAnsi="宋体" w:cs="宋体"/>
          <w:bCs/>
          <w:sz w:val="24"/>
        </w:rPr>
        <w:t>”项目（招标编号：</w:t>
      </w:r>
      <w:r>
        <w:rPr>
          <w:rFonts w:hint="eastAsia" w:ascii="宋体" w:hAnsi="宋体" w:cs="宋体"/>
          <w:bCs/>
          <w:sz w:val="24"/>
          <w:u w:val="single"/>
        </w:rPr>
        <w:t xml:space="preserve">         </w:t>
      </w:r>
      <w:r>
        <w:rPr>
          <w:rFonts w:hint="eastAsia" w:ascii="宋体" w:hAnsi="宋体" w:cs="宋体"/>
          <w:bCs/>
          <w:sz w:val="24"/>
        </w:rPr>
        <w:t>）招标文件，决定参加贵单位组织的本项目投标。我方授权</w:t>
      </w:r>
      <w:r>
        <w:rPr>
          <w:rFonts w:hint="eastAsia" w:ascii="宋体" w:hAnsi="宋体" w:cs="宋体"/>
          <w:bCs/>
          <w:sz w:val="24"/>
          <w:u w:val="single"/>
        </w:rPr>
        <w:t>（姓名、职务）</w:t>
      </w:r>
      <w:r>
        <w:rPr>
          <w:rFonts w:hint="eastAsia" w:ascii="宋体" w:hAnsi="宋体" w:cs="宋体"/>
          <w:bCs/>
          <w:sz w:val="24"/>
        </w:rPr>
        <w:t>代表我方</w:t>
      </w:r>
      <w:r>
        <w:rPr>
          <w:rFonts w:hint="eastAsia" w:ascii="宋体" w:hAnsi="宋体" w:cs="宋体"/>
          <w:bCs/>
          <w:sz w:val="24"/>
          <w:u w:val="single"/>
        </w:rPr>
        <w:t>（投标单位的名称）</w:t>
      </w:r>
      <w:r>
        <w:rPr>
          <w:rFonts w:hint="eastAsia" w:ascii="宋体" w:hAnsi="宋体" w:cs="宋体"/>
          <w:bCs/>
          <w:sz w:val="24"/>
        </w:rPr>
        <w:t>全权处理本项目投标的有关事宜。</w:t>
      </w:r>
    </w:p>
    <w:p>
      <w:pPr>
        <w:spacing w:before="156" w:beforeLines="50" w:after="156" w:afterLines="50" w:line="360" w:lineRule="auto"/>
        <w:ind w:firstLine="480" w:firstLineChars="200"/>
        <w:rPr>
          <w:rFonts w:ascii="宋体" w:hAnsi="宋体" w:cs="宋体"/>
          <w:bCs/>
          <w:sz w:val="24"/>
        </w:rPr>
      </w:pPr>
      <w:r>
        <w:rPr>
          <w:rFonts w:hint="eastAsia" w:ascii="宋体" w:hAnsi="宋体" w:cs="宋体"/>
          <w:bCs/>
          <w:sz w:val="24"/>
        </w:rPr>
        <w:t>一、我方自愿按照招标文件规定的各项要求向招标人提供所需服务，并按照我单位针对本项目提供的“开标一览表”中所报的价格执行。</w:t>
      </w:r>
    </w:p>
    <w:p>
      <w:pPr>
        <w:spacing w:before="156" w:beforeLines="50" w:after="156" w:afterLines="50" w:line="360" w:lineRule="auto"/>
        <w:ind w:firstLine="480" w:firstLineChars="200"/>
        <w:rPr>
          <w:rFonts w:ascii="宋体" w:hAnsi="宋体" w:cs="宋体"/>
          <w:bCs/>
          <w:sz w:val="24"/>
        </w:rPr>
      </w:pPr>
      <w:r>
        <w:rPr>
          <w:rFonts w:hint="eastAsia" w:ascii="宋体" w:hAnsi="宋体" w:cs="宋体"/>
          <w:bCs/>
          <w:sz w:val="24"/>
        </w:rPr>
        <w:t>二、一旦我方中标，我方将严格履行采购合同规定的责任和义务。</w:t>
      </w:r>
    </w:p>
    <w:p>
      <w:pPr>
        <w:spacing w:before="156" w:beforeLines="50" w:after="156" w:afterLines="50" w:line="360" w:lineRule="auto"/>
        <w:ind w:firstLine="480" w:firstLineChars="200"/>
        <w:rPr>
          <w:rFonts w:ascii="宋体" w:hAnsi="宋体" w:cs="宋体"/>
          <w:bCs/>
          <w:sz w:val="24"/>
        </w:rPr>
      </w:pPr>
      <w:r>
        <w:rPr>
          <w:rFonts w:hint="eastAsia" w:ascii="宋体" w:hAnsi="宋体" w:cs="宋体"/>
          <w:bCs/>
          <w:sz w:val="24"/>
        </w:rPr>
        <w:t>三、我方为本项目提交投标文件正本壹份，副本</w:t>
      </w:r>
      <w:r>
        <w:rPr>
          <w:rFonts w:hint="eastAsia" w:ascii="宋体" w:hAnsi="宋体" w:cs="宋体"/>
          <w:bCs/>
          <w:sz w:val="24"/>
          <w:u w:val="single"/>
        </w:rPr>
        <w:t xml:space="preserve">   </w:t>
      </w:r>
      <w:r>
        <w:rPr>
          <w:rFonts w:hint="eastAsia" w:ascii="宋体" w:hAnsi="宋体" w:cs="宋体"/>
          <w:bCs/>
          <w:sz w:val="24"/>
        </w:rPr>
        <w:t>份，电子文档</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份。</w:t>
      </w:r>
    </w:p>
    <w:p>
      <w:pPr>
        <w:spacing w:before="156" w:beforeLines="50" w:after="156" w:afterLines="50" w:line="360" w:lineRule="auto"/>
        <w:ind w:firstLine="480" w:firstLineChars="200"/>
        <w:rPr>
          <w:rFonts w:ascii="宋体" w:hAnsi="宋体" w:cs="宋体"/>
          <w:bCs/>
          <w:sz w:val="24"/>
        </w:rPr>
      </w:pPr>
      <w:r>
        <w:rPr>
          <w:rFonts w:hint="eastAsia" w:ascii="宋体" w:hAnsi="宋体" w:cs="宋体"/>
          <w:bCs/>
          <w:sz w:val="24"/>
        </w:rPr>
        <w:t>四、我方同意本次招标针投标有效期的相关要求，且承诺投标有效期为投标截止时间届满后</w:t>
      </w:r>
      <w:r>
        <w:rPr>
          <w:rFonts w:hint="eastAsia" w:ascii="宋体" w:hAnsi="宋体" w:cs="宋体"/>
          <w:bCs/>
          <w:sz w:val="24"/>
          <w:u w:val="single"/>
        </w:rPr>
        <w:t>90</w:t>
      </w:r>
      <w:r>
        <w:rPr>
          <w:rFonts w:hint="eastAsia" w:ascii="宋体" w:hAnsi="宋体" w:cs="宋体"/>
          <w:bCs/>
          <w:sz w:val="24"/>
        </w:rPr>
        <w:t>天。</w:t>
      </w:r>
    </w:p>
    <w:p>
      <w:pPr>
        <w:spacing w:before="156" w:beforeLines="50" w:after="156" w:afterLines="50" w:line="240" w:lineRule="auto"/>
        <w:rPr>
          <w:rFonts w:ascii="宋体" w:hAnsi="宋体" w:cs="宋体"/>
          <w:bCs/>
          <w:sz w:val="24"/>
        </w:rPr>
      </w:pPr>
    </w:p>
    <w:p>
      <w:pPr>
        <w:spacing w:before="156" w:beforeLines="50" w:after="156" w:afterLines="50" w:line="240" w:lineRule="auto"/>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法定代表人/单位负责人或代理人（签字或加盖个人名章）：</w:t>
      </w:r>
      <w:r>
        <w:rPr>
          <w:rFonts w:hint="eastAsia"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通讯地址：</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邮政编码：</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联系电话：</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传    真：</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日    期：</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日。</w:t>
      </w:r>
    </w:p>
    <w:p>
      <w:pPr>
        <w:spacing w:line="360" w:lineRule="auto"/>
        <w:rPr>
          <w:rFonts w:ascii="华文中宋" w:hAnsi="华文中宋" w:eastAsia="华文中宋"/>
          <w:b/>
          <w:sz w:val="32"/>
          <w:szCs w:val="32"/>
        </w:rPr>
      </w:pPr>
      <w:r>
        <w:rPr>
          <w:rFonts w:hint="eastAsia" w:ascii="华文中宋" w:hAnsi="华文中宋" w:eastAsia="华文中宋"/>
          <w:b/>
          <w:sz w:val="32"/>
          <w:szCs w:val="32"/>
        </w:rPr>
        <w:br w:type="page"/>
      </w:r>
      <w:r>
        <w:rPr>
          <w:rFonts w:hint="eastAsia" w:ascii="华文中宋" w:hAnsi="华文中宋" w:eastAsia="华文中宋"/>
          <w:b/>
          <w:sz w:val="32"/>
          <w:szCs w:val="32"/>
        </w:rPr>
        <w:t>格式3</w:t>
      </w:r>
    </w:p>
    <w:p>
      <w:pPr>
        <w:widowControl/>
        <w:spacing w:after="0" w:line="240" w:lineRule="auto"/>
        <w:jc w:val="center"/>
        <w:outlineLvl w:val="1"/>
        <w:rPr>
          <w:rFonts w:ascii="黑体" w:eastAsia="黑体"/>
          <w:b/>
          <w:sz w:val="32"/>
          <w:szCs w:val="32"/>
        </w:rPr>
      </w:pPr>
      <w:r>
        <w:rPr>
          <w:rFonts w:hint="eastAsia" w:ascii="黑体" w:eastAsia="黑体"/>
          <w:b/>
          <w:sz w:val="32"/>
          <w:szCs w:val="32"/>
        </w:rPr>
        <w:t>承诺函</w:t>
      </w:r>
    </w:p>
    <w:p>
      <w:pPr>
        <w:spacing w:before="156" w:beforeLines="50" w:after="156" w:afterLines="50" w:line="400" w:lineRule="exact"/>
        <w:rPr>
          <w:rFonts w:ascii="宋体" w:hAnsi="宋体" w:cs="宋体"/>
          <w:bCs/>
          <w:sz w:val="24"/>
        </w:rPr>
      </w:pPr>
      <w:r>
        <w:rPr>
          <w:rFonts w:hint="eastAsia" w:ascii="宋体" w:hAnsi="宋体" w:cs="宋体"/>
          <w:bCs/>
          <w:sz w:val="24"/>
        </w:rPr>
        <w:t>四川国际招标有限责任公司：</w:t>
      </w:r>
    </w:p>
    <w:p>
      <w:pPr>
        <w:spacing w:after="0" w:line="340" w:lineRule="exact"/>
        <w:ind w:firstLine="480" w:firstLineChars="200"/>
        <w:rPr>
          <w:rFonts w:ascii="宋体" w:hAnsi="宋体" w:cs="宋体"/>
          <w:bCs/>
          <w:sz w:val="24"/>
        </w:rPr>
      </w:pPr>
      <w:r>
        <w:rPr>
          <w:rFonts w:hint="eastAsia" w:ascii="宋体" w:hAnsi="宋体" w:cs="宋体"/>
          <w:bCs/>
          <w:sz w:val="24"/>
        </w:rPr>
        <w:t>我单位作为本次招标项目的投标人，根据招标文件要求，现郑重承诺如下：</w:t>
      </w:r>
    </w:p>
    <w:p>
      <w:pPr>
        <w:spacing w:after="0" w:line="340" w:lineRule="exact"/>
        <w:ind w:firstLine="480" w:firstLineChars="200"/>
        <w:rPr>
          <w:rFonts w:ascii="宋体" w:hAnsi="宋体" w:cs="宋体"/>
          <w:bCs/>
          <w:sz w:val="24"/>
        </w:rPr>
      </w:pPr>
      <w:r>
        <w:rPr>
          <w:rFonts w:hint="eastAsia" w:ascii="宋体" w:hAnsi="宋体" w:cs="宋体"/>
          <w:bCs/>
          <w:sz w:val="24"/>
        </w:rPr>
        <w:t>一、我单位已认真阅读并接受本项目招标文件第二章的全部实质性要求</w:t>
      </w:r>
      <w:r>
        <w:rPr>
          <w:rFonts w:ascii="宋体" w:hAnsi="宋体" w:cs="宋体"/>
          <w:bCs/>
          <w:sz w:val="24"/>
        </w:rPr>
        <w:t>，如对招标文件有异议，</w:t>
      </w:r>
      <w:r>
        <w:rPr>
          <w:rFonts w:hint="eastAsia" w:ascii="宋体" w:hAnsi="宋体" w:cs="宋体"/>
          <w:bCs/>
          <w:sz w:val="24"/>
        </w:rPr>
        <w:t>已</w:t>
      </w:r>
      <w:r>
        <w:rPr>
          <w:rFonts w:ascii="宋体" w:hAnsi="宋体" w:cs="宋体"/>
          <w:bCs/>
          <w:sz w:val="24"/>
        </w:rPr>
        <w:t>依法进行维权救济，不存在对招标文件有异议的同时又参加投标以求侥幸中标或者为实现其他非法目的的行为。</w:t>
      </w:r>
    </w:p>
    <w:p>
      <w:pPr>
        <w:spacing w:after="0" w:line="340" w:lineRule="exact"/>
        <w:ind w:firstLine="480" w:firstLineChars="200"/>
        <w:rPr>
          <w:rFonts w:ascii="宋体" w:hAnsi="宋体" w:cs="宋体"/>
          <w:bCs/>
          <w:sz w:val="24"/>
        </w:rPr>
      </w:pPr>
      <w:r>
        <w:rPr>
          <w:rFonts w:hint="eastAsia" w:ascii="宋体" w:hAnsi="宋体" w:cs="宋体"/>
          <w:bCs/>
          <w:sz w:val="24"/>
        </w:rPr>
        <w:t>二、参加本次招标采购活动，</w:t>
      </w:r>
      <w:r>
        <w:rPr>
          <w:rFonts w:ascii="宋体" w:hAnsi="宋体" w:cs="宋体"/>
          <w:bCs/>
          <w:sz w:val="24"/>
        </w:rPr>
        <w:t>我单位</w:t>
      </w:r>
      <w:r>
        <w:rPr>
          <w:rFonts w:hint="eastAsia" w:ascii="宋体" w:hAnsi="宋体" w:cs="宋体"/>
          <w:bCs/>
          <w:sz w:val="24"/>
        </w:rPr>
        <w:t>完全同意</w:t>
      </w:r>
      <w:r>
        <w:rPr>
          <w:rFonts w:ascii="宋体" w:hAnsi="宋体" w:cs="宋体"/>
          <w:bCs/>
          <w:sz w:val="24"/>
        </w:rPr>
        <w:t>招标文件第二章中关于</w:t>
      </w:r>
      <w:r>
        <w:rPr>
          <w:rFonts w:hint="eastAsia" w:ascii="宋体" w:hAnsi="宋体" w:cs="宋体"/>
          <w:bCs/>
          <w:sz w:val="24"/>
        </w:rPr>
        <w:t>“履约保证金”、“招标代理服务费”、“投标费用”、“投标保证金的退还”、“合同分包”、“合同转包”的</w:t>
      </w:r>
      <w:r>
        <w:rPr>
          <w:rFonts w:ascii="宋体" w:hAnsi="宋体" w:cs="宋体"/>
          <w:bCs/>
          <w:sz w:val="24"/>
        </w:rPr>
        <w:t>实质性要求</w:t>
      </w:r>
      <w:r>
        <w:rPr>
          <w:rFonts w:hint="eastAsia" w:ascii="宋体" w:hAnsi="宋体" w:cs="宋体"/>
          <w:bCs/>
          <w:sz w:val="24"/>
        </w:rPr>
        <w:t>，</w:t>
      </w:r>
      <w:r>
        <w:rPr>
          <w:rFonts w:ascii="宋体" w:hAnsi="宋体" w:cs="宋体"/>
          <w:bCs/>
          <w:sz w:val="24"/>
        </w:rPr>
        <w:t>并承诺严格按照招标文件要求</w:t>
      </w:r>
      <w:r>
        <w:rPr>
          <w:rFonts w:hint="eastAsia" w:ascii="宋体" w:hAnsi="宋体" w:cs="宋体"/>
          <w:bCs/>
          <w:sz w:val="24"/>
        </w:rPr>
        <w:t>履行</w:t>
      </w:r>
      <w:r>
        <w:rPr>
          <w:rFonts w:ascii="宋体" w:hAnsi="宋体" w:cs="宋体"/>
          <w:bCs/>
          <w:sz w:val="24"/>
        </w:rPr>
        <w:t>。</w:t>
      </w:r>
    </w:p>
    <w:p>
      <w:pPr>
        <w:spacing w:after="0" w:line="340" w:lineRule="exact"/>
        <w:ind w:firstLine="480" w:firstLineChars="200"/>
        <w:rPr>
          <w:rFonts w:ascii="宋体" w:hAnsi="宋体" w:cs="宋体"/>
          <w:bCs/>
          <w:sz w:val="24"/>
        </w:rPr>
      </w:pPr>
      <w:r>
        <w:rPr>
          <w:rFonts w:ascii="宋体" w:hAnsi="宋体" w:cs="宋体"/>
          <w:bCs/>
          <w:sz w:val="24"/>
        </w:rPr>
        <w:t>三</w:t>
      </w:r>
      <w:r>
        <w:rPr>
          <w:rFonts w:hint="eastAsia" w:ascii="宋体" w:hAnsi="宋体" w:cs="宋体"/>
          <w:bCs/>
          <w:sz w:val="24"/>
        </w:rPr>
        <w:t>、参加本次招标采购活动，我单位不存在与与招标人存在可能影响招标公正性的利害关系。</w:t>
      </w:r>
    </w:p>
    <w:p>
      <w:pPr>
        <w:spacing w:after="0" w:line="340" w:lineRule="exact"/>
        <w:ind w:firstLine="480" w:firstLineChars="200"/>
        <w:rPr>
          <w:rFonts w:ascii="宋体" w:hAnsi="宋体" w:cs="宋体"/>
          <w:bCs/>
          <w:sz w:val="24"/>
        </w:rPr>
      </w:pPr>
      <w:r>
        <w:rPr>
          <w:rFonts w:hint="eastAsia" w:ascii="宋体" w:hAnsi="宋体" w:cs="宋体"/>
          <w:bCs/>
          <w:sz w:val="24"/>
        </w:rPr>
        <w:t>四、我单位没有与单位负责人（及法定代表人）为同一人或者存在控股、管理关系的其它单位，同时参加本次招标项目中同一项目包的投标。</w:t>
      </w:r>
    </w:p>
    <w:p>
      <w:pPr>
        <w:spacing w:after="0" w:line="340" w:lineRule="exact"/>
        <w:ind w:firstLine="480" w:firstLineChars="200"/>
        <w:rPr>
          <w:rFonts w:ascii="宋体" w:hAnsi="宋体" w:cs="宋体"/>
          <w:bCs/>
          <w:sz w:val="24"/>
        </w:rPr>
      </w:pPr>
      <w:r>
        <w:rPr>
          <w:rFonts w:hint="eastAsia" w:ascii="宋体" w:hAnsi="宋体" w:cs="宋体"/>
          <w:bCs/>
          <w:sz w:val="24"/>
        </w:rPr>
        <w:t>五</w:t>
      </w:r>
      <w:r>
        <w:rPr>
          <w:rFonts w:ascii="宋体" w:hAnsi="宋体" w:cs="宋体"/>
          <w:bCs/>
          <w:sz w:val="24"/>
        </w:rPr>
        <w:t>、</w:t>
      </w:r>
      <w:r>
        <w:rPr>
          <w:rFonts w:hint="eastAsia" w:ascii="宋体" w:hAnsi="宋体" w:cs="宋体"/>
          <w:bCs/>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招标人享有本项目实施过程中产生的知识成果及知识产权。如我单位在项目实施过程中采用自有知识成果，我单位</w:t>
      </w:r>
      <w:r>
        <w:rPr>
          <w:rFonts w:ascii="宋体" w:hAnsi="宋体" w:cs="宋体"/>
          <w:bCs/>
          <w:sz w:val="24"/>
        </w:rPr>
        <w:t>承诺</w:t>
      </w:r>
      <w:r>
        <w:rPr>
          <w:rFonts w:hint="eastAsia" w:ascii="宋体" w:hAnsi="宋体" w:cs="宋体"/>
          <w:bCs/>
          <w:sz w:val="24"/>
        </w:rPr>
        <w:t>提供开发接口和开发手册等技术文档，并提供无限期技术支持，招标人享有永久使用权（含招标人委托第三方在该项目后续开发的使用权）。如我单位在项目实施过程中采用非自有的知识产权，则在投标报价中已包括合法获取该知识产权的相关费用。</w:t>
      </w:r>
    </w:p>
    <w:p>
      <w:pPr>
        <w:spacing w:after="0" w:line="340" w:lineRule="exact"/>
        <w:ind w:firstLine="480" w:firstLineChars="200"/>
        <w:rPr>
          <w:rFonts w:ascii="宋体" w:hAnsi="宋体" w:cs="宋体"/>
          <w:bCs/>
          <w:sz w:val="24"/>
        </w:rPr>
      </w:pPr>
      <w:r>
        <w:rPr>
          <w:rFonts w:hint="eastAsia" w:ascii="宋体" w:hAnsi="宋体" w:cs="宋体"/>
          <w:bCs/>
          <w:sz w:val="24"/>
        </w:rPr>
        <w:t>六、参加本次招标活动，我单位承诺完全符合以下资格要求：</w:t>
      </w:r>
    </w:p>
    <w:p>
      <w:pPr>
        <w:spacing w:after="0" w:line="340" w:lineRule="exact"/>
        <w:ind w:firstLine="480" w:firstLineChars="200"/>
        <w:rPr>
          <w:rFonts w:ascii="宋体" w:hAnsi="宋体" w:cs="宋体"/>
          <w:bCs/>
          <w:sz w:val="24"/>
        </w:rPr>
      </w:pPr>
      <w:r>
        <w:rPr>
          <w:rFonts w:hint="eastAsia" w:ascii="宋体" w:hAnsi="宋体" w:cs="宋体"/>
          <w:bCs/>
          <w:sz w:val="24"/>
        </w:rPr>
        <w:t>（一）具有独立承担民事责任的能力；</w:t>
      </w:r>
    </w:p>
    <w:p>
      <w:pPr>
        <w:spacing w:after="0" w:line="340" w:lineRule="exact"/>
        <w:ind w:firstLine="480" w:firstLineChars="200"/>
        <w:rPr>
          <w:rFonts w:ascii="宋体" w:hAnsi="宋体" w:cs="宋体"/>
          <w:bCs/>
          <w:sz w:val="24"/>
        </w:rPr>
      </w:pPr>
      <w:r>
        <w:rPr>
          <w:rFonts w:hint="eastAsia" w:ascii="宋体" w:hAnsi="宋体" w:cs="宋体"/>
          <w:bCs/>
          <w:sz w:val="24"/>
        </w:rPr>
        <w:t>（二）具有良好的商业信誉和健全的财务会计制度；</w:t>
      </w:r>
    </w:p>
    <w:p>
      <w:pPr>
        <w:spacing w:after="0" w:line="340" w:lineRule="exact"/>
        <w:ind w:firstLine="480" w:firstLineChars="200"/>
        <w:rPr>
          <w:rFonts w:ascii="宋体" w:hAnsi="宋体" w:cs="宋体"/>
          <w:bCs/>
          <w:sz w:val="24"/>
        </w:rPr>
      </w:pPr>
      <w:r>
        <w:rPr>
          <w:rFonts w:hint="eastAsia" w:ascii="宋体" w:hAnsi="宋体" w:cs="宋体"/>
          <w:bCs/>
          <w:sz w:val="24"/>
        </w:rPr>
        <w:t>（三）具有履行合同所必需的设备和专业技术能力；</w:t>
      </w:r>
    </w:p>
    <w:p>
      <w:pPr>
        <w:spacing w:after="0" w:line="340" w:lineRule="exact"/>
        <w:ind w:firstLine="480" w:firstLineChars="200"/>
        <w:rPr>
          <w:rFonts w:ascii="宋体" w:hAnsi="宋体" w:cs="宋体"/>
          <w:bCs/>
          <w:sz w:val="24"/>
        </w:rPr>
      </w:pPr>
      <w:r>
        <w:rPr>
          <w:rFonts w:hint="eastAsia" w:ascii="宋体" w:hAnsi="宋体" w:cs="宋体"/>
          <w:bCs/>
          <w:sz w:val="24"/>
        </w:rPr>
        <w:t>（四）有依法缴纳税收和社会保障资金的良好记录；</w:t>
      </w:r>
    </w:p>
    <w:p>
      <w:pPr>
        <w:spacing w:after="0" w:line="340" w:lineRule="exact"/>
        <w:ind w:firstLine="480" w:firstLineChars="200"/>
        <w:rPr>
          <w:rFonts w:ascii="宋体" w:hAnsi="宋体" w:cs="宋体"/>
          <w:bCs/>
          <w:sz w:val="24"/>
        </w:rPr>
      </w:pPr>
      <w:r>
        <w:rPr>
          <w:rFonts w:hint="eastAsia" w:ascii="宋体" w:hAnsi="宋体" w:cs="宋体"/>
          <w:bCs/>
          <w:sz w:val="24"/>
        </w:rPr>
        <w:t>（五）参加本次招标采购活动前三年内，在经营活动中没有重大违法记录；</w:t>
      </w:r>
    </w:p>
    <w:p>
      <w:pPr>
        <w:spacing w:after="0" w:line="340" w:lineRule="exact"/>
        <w:ind w:firstLine="480" w:firstLineChars="200"/>
        <w:rPr>
          <w:rFonts w:ascii="宋体" w:hAnsi="宋体" w:cs="宋体"/>
          <w:bCs/>
          <w:sz w:val="24"/>
        </w:rPr>
      </w:pPr>
      <w:r>
        <w:rPr>
          <w:rFonts w:hint="eastAsia" w:ascii="宋体" w:hAnsi="宋体" w:cs="宋体"/>
          <w:bCs/>
          <w:sz w:val="24"/>
        </w:rPr>
        <w:t>（六）我单位还符合法律、行政法规规定的其它强制性条件；</w:t>
      </w:r>
    </w:p>
    <w:p>
      <w:pPr>
        <w:spacing w:after="0" w:line="340" w:lineRule="exact"/>
        <w:ind w:firstLine="480" w:firstLineChars="200"/>
        <w:rPr>
          <w:rFonts w:ascii="宋体" w:hAnsi="宋体" w:cs="宋体"/>
          <w:bCs/>
          <w:sz w:val="24"/>
        </w:rPr>
      </w:pPr>
      <w:r>
        <w:rPr>
          <w:rFonts w:hint="eastAsia" w:ascii="宋体" w:hAnsi="宋体" w:cs="宋体"/>
          <w:bCs/>
          <w:sz w:val="24"/>
        </w:rPr>
        <w:t>七、投标文件中提供的能够给予我单位带来优惠、好处的任何材料资料和技术、服务、商务等响应承诺情况都是真实的、有效的、合法的。</w:t>
      </w:r>
    </w:p>
    <w:p>
      <w:pPr>
        <w:spacing w:after="0" w:line="340" w:lineRule="exact"/>
        <w:ind w:firstLine="480" w:firstLineChars="200"/>
        <w:rPr>
          <w:rFonts w:ascii="宋体" w:hAnsi="宋体" w:cs="宋体"/>
          <w:bCs/>
          <w:sz w:val="24"/>
        </w:rPr>
      </w:pPr>
      <w:r>
        <w:rPr>
          <w:rFonts w:hint="eastAsia" w:ascii="宋体" w:hAnsi="宋体" w:cs="宋体"/>
          <w:bCs/>
          <w:sz w:val="24"/>
        </w:rPr>
        <w:t>我单位对上述承诺的内容事项真实性负责。如经查实上述承诺的内容事项存在虚假，我单位愿意接受以提供虚假材料谋取中标追究法律责任。</w:t>
      </w:r>
    </w:p>
    <w:p>
      <w:pPr>
        <w:spacing w:after="0" w:line="340" w:lineRule="exact"/>
        <w:ind w:firstLine="480" w:firstLineChars="200"/>
        <w:rPr>
          <w:rFonts w:ascii="宋体" w:hAnsi="宋体" w:cs="宋体"/>
          <w:bCs/>
          <w:sz w:val="24"/>
        </w:rPr>
      </w:pPr>
    </w:p>
    <w:p>
      <w:pPr>
        <w:spacing w:after="0" w:line="340" w:lineRule="exact"/>
        <w:ind w:firstLine="480" w:firstLineChars="200"/>
        <w:rPr>
          <w:rFonts w:ascii="宋体" w:hAnsi="宋体" w:cs="宋体"/>
          <w:bCs/>
          <w:sz w:val="24"/>
        </w:rPr>
      </w:pPr>
      <w:r>
        <w:rPr>
          <w:rFonts w:hint="eastAsia" w:ascii="宋体" w:hAnsi="宋体" w:cs="宋体"/>
          <w:bCs/>
          <w:sz w:val="24"/>
        </w:rPr>
        <w:t>投标人名称：</w:t>
      </w:r>
      <w:r>
        <w:rPr>
          <w:rFonts w:ascii="宋体" w:hAnsi="宋体" w:cs="宋体"/>
          <w:bCs/>
          <w:sz w:val="24"/>
          <w:u w:val="single"/>
        </w:rPr>
        <w:t xml:space="preserve">                                   </w:t>
      </w:r>
      <w:r>
        <w:rPr>
          <w:rFonts w:hint="eastAsia" w:ascii="宋体" w:hAnsi="宋体" w:cs="宋体"/>
          <w:bCs/>
          <w:sz w:val="24"/>
          <w:u w:val="single"/>
        </w:rPr>
        <w:t>（加盖单位公章）</w:t>
      </w:r>
      <w:r>
        <w:rPr>
          <w:rFonts w:hint="eastAsia" w:ascii="宋体" w:hAnsi="宋体" w:cs="宋体"/>
          <w:bCs/>
          <w:sz w:val="24"/>
        </w:rPr>
        <w:t>。</w:t>
      </w:r>
    </w:p>
    <w:p>
      <w:pPr>
        <w:spacing w:after="0" w:line="340" w:lineRule="exact"/>
        <w:ind w:firstLine="480" w:firstLineChars="200"/>
        <w:rPr>
          <w:rFonts w:ascii="宋体" w:hAnsi="宋体" w:cs="宋体"/>
          <w:bCs/>
          <w:sz w:val="24"/>
        </w:rPr>
      </w:pPr>
      <w:r>
        <w:rPr>
          <w:rFonts w:hint="eastAsia" w:ascii="宋体" w:hAnsi="宋体" w:cs="宋体"/>
          <w:bCs/>
          <w:sz w:val="24"/>
        </w:rPr>
        <w:t>法定代表人/单位负责人或授权代表（签字或加盖个人名章）：</w:t>
      </w:r>
      <w:r>
        <w:rPr>
          <w:rFonts w:ascii="宋体" w:hAnsi="宋体" w:cs="宋体"/>
          <w:bCs/>
          <w:sz w:val="24"/>
          <w:u w:val="single"/>
        </w:rPr>
        <w:t xml:space="preserve">    </w:t>
      </w:r>
      <w:r>
        <w:rPr>
          <w:rFonts w:hint="eastAsia" w:ascii="宋体" w:hAnsi="宋体" w:cs="宋体"/>
          <w:bCs/>
          <w:sz w:val="24"/>
        </w:rPr>
        <w:t>。</w:t>
      </w:r>
    </w:p>
    <w:p>
      <w:pPr>
        <w:spacing w:after="0" w:line="340" w:lineRule="exact"/>
        <w:ind w:firstLine="480" w:firstLineChars="200"/>
        <w:rPr>
          <w:rFonts w:ascii="宋体" w:hAnsi="宋体" w:cs="宋体"/>
          <w:bCs/>
          <w:sz w:val="24"/>
        </w:rPr>
      </w:pPr>
      <w:r>
        <w:rPr>
          <w:rFonts w:hint="eastAsia" w:ascii="宋体" w:hAnsi="宋体" w:cs="宋体"/>
          <w:bCs/>
          <w:sz w:val="24"/>
        </w:rPr>
        <w:t>日    期：</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w:t>
      </w:r>
    </w:p>
    <w:p>
      <w:pPr>
        <w:spacing w:line="360" w:lineRule="auto"/>
        <w:rPr>
          <w:rFonts w:ascii="华文中宋" w:hAnsi="华文中宋" w:eastAsia="华文中宋"/>
          <w:b/>
          <w:sz w:val="32"/>
          <w:szCs w:val="32"/>
        </w:rPr>
      </w:pPr>
      <w:r>
        <w:rPr>
          <w:rFonts w:hint="eastAsia" w:ascii="宋体" w:hAnsi="宋体" w:cs="宋体"/>
          <w:bCs/>
          <w:sz w:val="24"/>
        </w:rPr>
        <w:br w:type="page"/>
      </w:r>
      <w:r>
        <w:rPr>
          <w:rFonts w:hint="eastAsia" w:ascii="华文中宋" w:hAnsi="华文中宋" w:eastAsia="华文中宋"/>
          <w:b/>
          <w:sz w:val="32"/>
          <w:szCs w:val="32"/>
        </w:rPr>
        <w:t>格式</w:t>
      </w:r>
      <w:r>
        <w:rPr>
          <w:rFonts w:ascii="华文中宋" w:hAnsi="华文中宋" w:eastAsia="华文中宋"/>
          <w:b/>
          <w:sz w:val="32"/>
          <w:szCs w:val="32"/>
        </w:rPr>
        <w:t>4</w:t>
      </w:r>
    </w:p>
    <w:p>
      <w:pPr>
        <w:pStyle w:val="3"/>
        <w:jc w:val="center"/>
      </w:pPr>
      <w:r>
        <w:rPr>
          <w:rFonts w:hint="eastAsia" w:cs="黑体"/>
        </w:rPr>
        <w:t>法定代表人</w:t>
      </w:r>
      <w:bookmarkEnd w:id="160"/>
      <w:bookmarkEnd w:id="161"/>
      <w:r>
        <w:rPr>
          <w:rFonts w:hint="eastAsia" w:cs="黑体"/>
        </w:rPr>
        <w:t>/单位负责人证明书</w:t>
      </w:r>
    </w:p>
    <w:p>
      <w:pPr>
        <w:spacing w:line="360" w:lineRule="auto"/>
        <w:ind w:firstLine="480" w:firstLineChars="200"/>
        <w:rPr>
          <w:rFonts w:ascii="宋体" w:hAnsi="宋体"/>
          <w:sz w:val="24"/>
        </w:rPr>
      </w:pPr>
      <w:r>
        <w:rPr>
          <w:rFonts w:hint="eastAsia" w:ascii="宋体" w:hAnsi="宋体"/>
          <w:sz w:val="24"/>
        </w:rPr>
        <w:t>投标单位名称：</w:t>
      </w:r>
    </w:p>
    <w:p>
      <w:pPr>
        <w:spacing w:line="360" w:lineRule="auto"/>
        <w:ind w:firstLine="480" w:firstLineChars="200"/>
        <w:rPr>
          <w:rFonts w:ascii="宋体" w:hAnsi="宋体"/>
          <w:sz w:val="24"/>
        </w:rPr>
      </w:pPr>
      <w:r>
        <w:rPr>
          <w:rFonts w:hint="eastAsia" w:ascii="宋体" w:hAnsi="宋体"/>
          <w:sz w:val="24"/>
        </w:rPr>
        <w:t>单位性质：</w:t>
      </w:r>
    </w:p>
    <w:p>
      <w:pPr>
        <w:spacing w:line="360" w:lineRule="auto"/>
        <w:ind w:firstLine="480" w:firstLineChars="200"/>
        <w:rPr>
          <w:rFonts w:ascii="宋体" w:hAnsi="宋体"/>
          <w:sz w:val="24"/>
        </w:rPr>
      </w:pPr>
      <w:r>
        <w:rPr>
          <w:rFonts w:hint="eastAsia" w:ascii="宋体" w:hAnsi="宋体"/>
          <w:sz w:val="24"/>
        </w:rPr>
        <w:t>成立时间：年月日</w:t>
      </w:r>
    </w:p>
    <w:p>
      <w:pPr>
        <w:spacing w:line="360" w:lineRule="auto"/>
        <w:ind w:firstLine="480" w:firstLineChars="200"/>
        <w:rPr>
          <w:rFonts w:ascii="宋体" w:hAnsi="宋体"/>
          <w:sz w:val="24"/>
        </w:rPr>
      </w:pPr>
      <w:r>
        <w:rPr>
          <w:rFonts w:hint="eastAsia" w:ascii="宋体" w:hAnsi="宋体"/>
          <w:sz w:val="24"/>
        </w:rPr>
        <w:t>经营期限：</w:t>
      </w:r>
    </w:p>
    <w:p>
      <w:pPr>
        <w:spacing w:line="360" w:lineRule="auto"/>
        <w:ind w:firstLine="480" w:firstLineChars="200"/>
        <w:rPr>
          <w:rFonts w:ascii="宋体" w:hAnsi="宋体"/>
          <w:sz w:val="24"/>
        </w:rPr>
      </w:pPr>
      <w:r>
        <w:rPr>
          <w:rFonts w:hint="eastAsia" w:ascii="宋体" w:hAnsi="宋体"/>
          <w:sz w:val="24"/>
        </w:rPr>
        <w:t>姓名：性别：年龄：职务：</w:t>
      </w:r>
    </w:p>
    <w:p>
      <w:pPr>
        <w:spacing w:line="360" w:lineRule="auto"/>
        <w:ind w:firstLine="480" w:firstLineChars="200"/>
        <w:rPr>
          <w:rFonts w:ascii="宋体" w:hAnsi="宋体"/>
          <w:sz w:val="24"/>
        </w:rPr>
      </w:pPr>
      <w:r>
        <w:rPr>
          <w:rFonts w:hint="eastAsia" w:ascii="宋体" w:hAnsi="宋体"/>
          <w:sz w:val="24"/>
        </w:rPr>
        <w:t>系（申请人名称）的法定代表人/单位负责人。</w:t>
      </w:r>
    </w:p>
    <w:p>
      <w:pPr>
        <w:spacing w:line="360" w:lineRule="auto"/>
        <w:ind w:firstLine="960" w:firstLineChars="400"/>
        <w:rPr>
          <w:rFonts w:ascii="宋体" w:hAnsi="宋体"/>
          <w:sz w:val="24"/>
        </w:rPr>
      </w:pPr>
    </w:p>
    <w:p>
      <w:pPr>
        <w:spacing w:line="360" w:lineRule="auto"/>
        <w:ind w:firstLine="960" w:firstLineChars="400"/>
        <w:rPr>
          <w:rFonts w:ascii="宋体" w:hAnsi="宋体"/>
          <w:sz w:val="24"/>
        </w:rPr>
      </w:pPr>
      <w:r>
        <w:rPr>
          <w:rFonts w:hint="eastAsia" w:ascii="宋体" w:hAnsi="宋体"/>
          <w:sz w:val="24"/>
        </w:rPr>
        <w:t>特此证明。</w:t>
      </w:r>
    </w:p>
    <w:p>
      <w:pPr>
        <w:spacing w:line="360" w:lineRule="auto"/>
        <w:ind w:firstLine="480" w:firstLineChars="200"/>
        <w:rPr>
          <w:rFonts w:ascii="宋体" w:hAnsi="宋体"/>
          <w:sz w:val="24"/>
        </w:rPr>
      </w:pPr>
    </w:p>
    <w:p>
      <w:pPr>
        <w:spacing w:line="480" w:lineRule="auto"/>
        <w:ind w:firstLine="480" w:firstLineChars="200"/>
        <w:rPr>
          <w:rFonts w:ascii="宋体" w:hAnsi="宋体"/>
          <w:sz w:val="24"/>
        </w:rPr>
      </w:pPr>
      <w:r>
        <w:rPr>
          <w:rFonts w:hint="eastAsia" w:ascii="宋体" w:hAnsi="宋体"/>
          <w:sz w:val="24"/>
        </w:rPr>
        <w:t>投标人名称：</w:t>
      </w:r>
      <w:r>
        <w:rPr>
          <w:rFonts w:hint="eastAsia" w:ascii="宋体" w:hAnsi="宋体"/>
          <w:sz w:val="24"/>
          <w:u w:val="single"/>
        </w:rPr>
        <w:t xml:space="preserve">（加盖单位公章）                                     </w:t>
      </w:r>
      <w:r>
        <w:rPr>
          <w:rFonts w:hint="eastAsia" w:ascii="宋体" w:hAnsi="宋体"/>
          <w:sz w:val="24"/>
        </w:rPr>
        <w:t>。</w:t>
      </w:r>
    </w:p>
    <w:p>
      <w:pPr>
        <w:spacing w:line="360" w:lineRule="auto"/>
        <w:ind w:firstLine="484" w:firstLineChars="202"/>
        <w:jc w:val="left"/>
        <w:rPr>
          <w:rFonts w:ascii="宋体" w:hAnsi="宋体"/>
          <w:sz w:val="24"/>
        </w:rPr>
      </w:pPr>
      <w:r>
        <w:rPr>
          <w:rFonts w:hint="eastAsia" w:ascii="宋体" w:hAnsi="宋体"/>
          <w:sz w:val="24"/>
        </w:rPr>
        <w:t>日    期：</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w:t>
      </w:r>
      <w:r>
        <w:rPr>
          <w:rFonts w:hint="eastAsia" w:ascii="宋体" w:hAnsi="宋体"/>
          <w:sz w:val="24"/>
        </w:rPr>
        <w:t>。</w:t>
      </w:r>
    </w:p>
    <w:p>
      <w:pPr>
        <w:spacing w:line="360" w:lineRule="auto"/>
        <w:ind w:firstLine="484" w:firstLineChars="202"/>
        <w:jc w:val="left"/>
        <w:rPr>
          <w:rFonts w:ascii="宋体" w:hAnsi="宋体"/>
          <w:sz w:val="24"/>
        </w:rPr>
      </w:pPr>
    </w:p>
    <w:p>
      <w:pPr>
        <w:spacing w:line="360" w:lineRule="auto"/>
        <w:ind w:firstLine="480" w:firstLineChars="200"/>
        <w:rPr>
          <w:rFonts w:ascii="宋体" w:hAnsi="宋体"/>
          <w:sz w:val="24"/>
        </w:rPr>
      </w:pPr>
      <w:r>
        <w:rPr>
          <w:rFonts w:hint="eastAsia" w:ascii="宋体" w:hAnsi="宋体"/>
          <w:sz w:val="24"/>
        </w:rPr>
        <w:t>注：1、投标人为法人单位时提供“法定代表人证明书”，投标人为其他组织时提供“单位负责人证明书”。</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、法定代表人/单位负责人直接参与投标并签署投标文件时才须提供；</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、应附法定代表人/单位负责人身份证（正反面）复印件；（提供身份证有困难的，也可提供户口本或军官证或护照等身份证明材料）</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华文中宋" w:hAnsi="华文中宋" w:eastAsia="华文中宋"/>
          <w:b/>
          <w:sz w:val="32"/>
          <w:szCs w:val="32"/>
        </w:rPr>
      </w:pPr>
      <w:r>
        <w:rPr>
          <w:rFonts w:hint="eastAsia" w:ascii="华文中宋" w:hAnsi="华文中宋" w:eastAsia="华文中宋"/>
          <w:b/>
          <w:sz w:val="32"/>
          <w:szCs w:val="32"/>
        </w:rPr>
        <w:t>格式5</w:t>
      </w:r>
    </w:p>
    <w:p>
      <w:pPr>
        <w:pStyle w:val="3"/>
        <w:jc w:val="center"/>
        <w:rPr>
          <w:rFonts w:cs="黑体"/>
        </w:rPr>
      </w:pPr>
      <w:r>
        <w:rPr>
          <w:rFonts w:hint="eastAsia" w:cs="黑体"/>
        </w:rPr>
        <w:t>法定代表人/单位负责人授权书</w:t>
      </w:r>
    </w:p>
    <w:p>
      <w:pPr>
        <w:spacing w:line="480" w:lineRule="auto"/>
        <w:rPr>
          <w:rFonts w:ascii="宋体" w:hAnsi="宋体"/>
          <w:sz w:val="24"/>
        </w:rPr>
      </w:pPr>
      <w:r>
        <w:rPr>
          <w:rFonts w:hint="eastAsia" w:ascii="宋体" w:hAnsi="宋体"/>
          <w:sz w:val="24"/>
        </w:rPr>
        <w:t>四川国际招标有限责任公司：</w:t>
      </w:r>
    </w:p>
    <w:p>
      <w:pPr>
        <w:spacing w:line="48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（投标人名称）</w:t>
      </w:r>
      <w:r>
        <w:rPr>
          <w:rFonts w:hint="eastAsia" w:ascii="宋体" w:hAnsi="宋体"/>
          <w:sz w:val="24"/>
        </w:rPr>
        <w:t>的</w:t>
      </w:r>
      <w:r>
        <w:rPr>
          <w:rFonts w:hint="eastAsia" w:ascii="宋体" w:hAnsi="宋体"/>
          <w:sz w:val="24"/>
          <w:u w:val="single"/>
        </w:rPr>
        <w:t xml:space="preserve">           （法定代表人/单位负责人姓名、职务）</w:t>
      </w:r>
      <w:r>
        <w:rPr>
          <w:rFonts w:hint="eastAsia" w:ascii="宋体" w:hAnsi="宋体"/>
          <w:sz w:val="24"/>
        </w:rPr>
        <w:t>授权</w:t>
      </w:r>
      <w:r>
        <w:rPr>
          <w:rFonts w:hint="eastAsia" w:ascii="宋体" w:hAnsi="宋体"/>
          <w:sz w:val="24"/>
          <w:u w:val="single"/>
        </w:rPr>
        <w:t>（</w:t>
      </w:r>
      <w:r>
        <w:rPr>
          <w:rFonts w:hint="eastAsia" w:ascii="宋体" w:hAnsi="宋体" w:cs="宋体"/>
          <w:bCs/>
          <w:sz w:val="24"/>
          <w:u w:val="single"/>
        </w:rPr>
        <w:t>代理人</w:t>
      </w:r>
      <w:r>
        <w:rPr>
          <w:rFonts w:hint="eastAsia" w:ascii="宋体" w:hAnsi="宋体"/>
          <w:sz w:val="24"/>
          <w:u w:val="single"/>
        </w:rPr>
        <w:t>姓名、职务）</w:t>
      </w:r>
      <w:r>
        <w:rPr>
          <w:rFonts w:hint="eastAsia" w:ascii="宋体" w:hAnsi="宋体"/>
          <w:sz w:val="24"/>
        </w:rPr>
        <w:t>为我方 “</w:t>
      </w:r>
      <w:r>
        <w:rPr>
          <w:rFonts w:hint="eastAsia" w:ascii="宋体" w:hAnsi="宋体"/>
          <w:sz w:val="24"/>
          <w:u w:val="single"/>
        </w:rPr>
        <w:t xml:space="preserve">       </w:t>
      </w:r>
      <w:r>
        <w:rPr>
          <w:rFonts w:hint="eastAsia" w:ascii="宋体" w:hAnsi="宋体"/>
          <w:sz w:val="24"/>
        </w:rPr>
        <w:t>” 招标采购项目（招标编号：</w:t>
      </w:r>
      <w:r>
        <w:rPr>
          <w:rFonts w:hint="eastAsia" w:ascii="宋体" w:hAnsi="宋体"/>
          <w:sz w:val="24"/>
          <w:u w:val="single"/>
        </w:rPr>
        <w:t xml:space="preserve">     </w:t>
      </w:r>
      <w:r>
        <w:rPr>
          <w:rFonts w:hint="eastAsia" w:ascii="宋体" w:hAnsi="宋体"/>
          <w:sz w:val="24"/>
        </w:rPr>
        <w:t>）投标活动的合法代表（</w:t>
      </w:r>
      <w:r>
        <w:rPr>
          <w:rFonts w:hint="eastAsia" w:ascii="宋体"/>
          <w:sz w:val="24"/>
        </w:rPr>
        <w:t>代理人</w:t>
      </w:r>
      <w:r>
        <w:rPr>
          <w:rFonts w:hint="eastAsia" w:ascii="宋体" w:hAnsi="宋体"/>
          <w:sz w:val="24"/>
        </w:rPr>
        <w:t>），以我方名义全权处理该项目有关投标、签订合同以及执行合同等一切事宜。</w:t>
      </w:r>
    </w:p>
    <w:p>
      <w:pPr>
        <w:spacing w:line="480" w:lineRule="auto"/>
        <w:ind w:firstLine="480" w:firstLineChars="200"/>
        <w:rPr>
          <w:rFonts w:ascii="宋体" w:hAnsi="宋体"/>
          <w:sz w:val="24"/>
        </w:rPr>
      </w:pPr>
      <w:r>
        <w:rPr>
          <w:rFonts w:hint="eastAsia" w:ascii="宋体" w:hAnsi="宋体"/>
          <w:sz w:val="24"/>
        </w:rPr>
        <w:t>特此声明。</w:t>
      </w:r>
    </w:p>
    <w:p>
      <w:pPr>
        <w:spacing w:line="480" w:lineRule="auto"/>
        <w:ind w:firstLine="480" w:firstLineChars="200"/>
        <w:rPr>
          <w:rFonts w:ascii="宋体" w:hAnsi="宋体"/>
          <w:sz w:val="24"/>
        </w:rPr>
      </w:pPr>
      <w:r>
        <w:rPr>
          <w:rFonts w:hint="eastAsia" w:ascii="宋体" w:hAnsi="宋体"/>
          <w:sz w:val="24"/>
        </w:rPr>
        <w:t>法定代表人/单位负责人签字或者加盖个人名章：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授权代表（代理人）</w:t>
      </w:r>
      <w:r>
        <w:rPr>
          <w:rFonts w:hint="eastAsia" w:ascii="宋体" w:hAnsi="宋体" w:cs="宋体"/>
          <w:bCs/>
          <w:sz w:val="24"/>
        </w:rPr>
        <w:t>签字或加盖个人名章：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投标人名称：</w:t>
      </w:r>
      <w:r>
        <w:rPr>
          <w:rFonts w:hint="eastAsia" w:ascii="宋体" w:hAnsi="宋体"/>
          <w:sz w:val="24"/>
          <w:u w:val="single"/>
        </w:rPr>
        <w:t xml:space="preserve">（加盖单位公章）                                     </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日    期：</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w:t>
      </w:r>
      <w:r>
        <w:rPr>
          <w:rFonts w:hint="eastAsia" w:ascii="宋体" w:hAnsi="宋体"/>
          <w:sz w:val="24"/>
        </w:rPr>
        <w:t>。</w:t>
      </w:r>
    </w:p>
    <w:p>
      <w:pPr>
        <w:spacing w:line="480" w:lineRule="auto"/>
        <w:ind w:firstLine="480" w:firstLineChars="200"/>
        <w:rPr>
          <w:rFonts w:ascii="宋体" w:hAnsi="宋体"/>
          <w:sz w:val="24"/>
        </w:rPr>
      </w:pPr>
      <w:bookmarkStart w:id="162" w:name="_Toc217446084"/>
      <w:r>
        <w:rPr>
          <w:rFonts w:hint="eastAsia" w:ascii="宋体" w:hAnsi="宋体"/>
          <w:sz w:val="24"/>
        </w:rPr>
        <w:t>注：</w:t>
      </w:r>
    </w:p>
    <w:p>
      <w:pPr>
        <w:spacing w:line="480" w:lineRule="auto"/>
        <w:ind w:firstLine="480" w:firstLineChars="200"/>
        <w:rPr>
          <w:rFonts w:ascii="宋体" w:hAnsi="宋体"/>
          <w:sz w:val="24"/>
        </w:rPr>
      </w:pPr>
      <w:r>
        <w:rPr>
          <w:rFonts w:ascii="宋体" w:hAnsi="宋体"/>
          <w:sz w:val="24"/>
        </w:rPr>
        <w:t>1</w:t>
      </w:r>
      <w:r>
        <w:rPr>
          <w:rFonts w:hint="eastAsia" w:ascii="宋体" w:hAnsi="宋体"/>
          <w:sz w:val="24"/>
        </w:rPr>
        <w:t>、非法定代表人/单位负责人直接参与投标并签署投标文件时才提供；</w:t>
      </w:r>
    </w:p>
    <w:p>
      <w:pPr>
        <w:spacing w:line="480" w:lineRule="auto"/>
        <w:ind w:firstLine="480" w:firstLineChars="200"/>
        <w:rPr>
          <w:rFonts w:ascii="宋体" w:hAnsi="宋体"/>
          <w:sz w:val="24"/>
        </w:rPr>
      </w:pPr>
      <w:r>
        <w:rPr>
          <w:rFonts w:ascii="宋体" w:hAnsi="宋体"/>
          <w:sz w:val="24"/>
        </w:rPr>
        <w:t>2</w:t>
      </w:r>
      <w:r>
        <w:rPr>
          <w:rFonts w:hint="eastAsia" w:ascii="宋体" w:hAnsi="宋体"/>
          <w:sz w:val="24"/>
        </w:rPr>
        <w:t>、应附法定代表人/单位负责人和</w:t>
      </w:r>
      <w:r>
        <w:rPr>
          <w:rFonts w:hint="eastAsia" w:ascii="宋体"/>
          <w:sz w:val="24"/>
        </w:rPr>
        <w:t>代理人</w:t>
      </w:r>
      <w:r>
        <w:rPr>
          <w:rFonts w:hint="eastAsia" w:ascii="宋体" w:hAnsi="宋体"/>
          <w:sz w:val="24"/>
        </w:rPr>
        <w:t>的身份证（正反面）复印件；（提供身份证有困难的，也可提供户口本或军官证或护照等身份证明材料）</w:t>
      </w:r>
    </w:p>
    <w:p>
      <w:pPr>
        <w:spacing w:line="480" w:lineRule="auto"/>
        <w:ind w:firstLine="480" w:firstLineChars="200"/>
        <w:rPr>
          <w:rFonts w:ascii="宋体" w:hAnsi="宋体"/>
          <w:sz w:val="24"/>
        </w:rPr>
      </w:pPr>
      <w:r>
        <w:rPr>
          <w:rFonts w:ascii="宋体" w:hAnsi="宋体"/>
          <w:sz w:val="24"/>
        </w:rPr>
        <w:t>3</w:t>
      </w:r>
      <w:r>
        <w:rPr>
          <w:rFonts w:hint="eastAsia" w:ascii="宋体" w:hAnsi="宋体"/>
          <w:sz w:val="24"/>
        </w:rPr>
        <w:t>、</w:t>
      </w:r>
      <w:r>
        <w:rPr>
          <w:rFonts w:hint="eastAsia" w:hAnsi="宋体"/>
          <w:sz w:val="24"/>
        </w:rPr>
        <w:t>投标人为法人单位时提供“法定代表人授权书”，投标人为其他组织时提供“单位负责人授权书”。</w:t>
      </w:r>
    </w:p>
    <w:bookmarkEnd w:id="162"/>
    <w:p>
      <w:pPr>
        <w:spacing w:line="360" w:lineRule="auto"/>
        <w:rPr>
          <w:rFonts w:ascii="华文中宋" w:hAnsi="华文中宋" w:eastAsia="华文中宋"/>
          <w:b/>
          <w:sz w:val="32"/>
          <w:szCs w:val="32"/>
        </w:rPr>
      </w:pPr>
      <w:r>
        <w:rPr>
          <w:rFonts w:hint="eastAsia" w:ascii="黑体" w:eastAsia="黑体"/>
          <w:b/>
          <w:sz w:val="32"/>
          <w:szCs w:val="32"/>
        </w:rPr>
        <w:br w:type="page"/>
      </w:r>
      <w:r>
        <w:rPr>
          <w:rFonts w:hint="eastAsia" w:ascii="华文中宋" w:hAnsi="华文中宋" w:eastAsia="华文中宋"/>
          <w:b/>
          <w:sz w:val="32"/>
          <w:szCs w:val="32"/>
        </w:rPr>
        <w:t>格式6</w:t>
      </w:r>
    </w:p>
    <w:p>
      <w:pPr>
        <w:widowControl/>
        <w:spacing w:line="360" w:lineRule="atLeast"/>
        <w:jc w:val="center"/>
        <w:outlineLvl w:val="1"/>
        <w:rPr>
          <w:rFonts w:ascii="黑体" w:eastAsia="黑体"/>
          <w:b/>
          <w:color w:val="000000" w:themeColor="text1"/>
          <w:sz w:val="32"/>
          <w:szCs w:val="32"/>
          <w14:textFill>
            <w14:solidFill>
              <w14:schemeClr w14:val="tx1"/>
            </w14:solidFill>
          </w14:textFill>
        </w:rPr>
      </w:pPr>
      <w:bookmarkStart w:id="163" w:name="_Toc217446085"/>
      <w:bookmarkStart w:id="164" w:name="_Toc217446087"/>
      <w:r>
        <w:rPr>
          <w:rFonts w:hint="eastAsia" w:ascii="黑体" w:eastAsia="黑体"/>
          <w:b/>
          <w:color w:val="000000" w:themeColor="text1"/>
          <w:sz w:val="32"/>
          <w:szCs w:val="32"/>
          <w14:textFill>
            <w14:solidFill>
              <w14:schemeClr w14:val="tx1"/>
            </w14:solidFill>
          </w14:textFill>
        </w:rPr>
        <w:t>开标一览表</w:t>
      </w:r>
      <w:bookmarkEnd w:id="163"/>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招标编号及包号（如分包）：</w:t>
      </w:r>
    </w:p>
    <w:tbl>
      <w:tblPr>
        <w:tblStyle w:val="39"/>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3422"/>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序号</w:t>
            </w:r>
          </w:p>
        </w:tc>
        <w:tc>
          <w:tcPr>
            <w:tcW w:w="4776" w:type="dxa"/>
            <w:gridSpan w:val="2"/>
            <w:vAlign w:val="center"/>
          </w:tcPr>
          <w:p>
            <w:pPr>
              <w:spacing w:line="360" w:lineRule="auto"/>
              <w:jc w:val="center"/>
              <w:rPr>
                <w:rFonts w:ascii="宋体" w:hAnsi="宋体" w:cs="宋体"/>
                <w:bCs/>
                <w:kern w:val="0"/>
                <w:sz w:val="24"/>
              </w:rPr>
            </w:pPr>
            <w:r>
              <w:rPr>
                <w:rFonts w:hint="eastAsia" w:ascii="宋体" w:hAnsi="宋体" w:cs="宋体"/>
                <w:bCs/>
                <w:kern w:val="0"/>
                <w:sz w:val="24"/>
              </w:rPr>
              <w:t>采购内容</w:t>
            </w:r>
          </w:p>
        </w:tc>
        <w:tc>
          <w:tcPr>
            <w:tcW w:w="3625"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报价（统一折扣率）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19" w:type="dxa"/>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w:t>
            </w:r>
          </w:p>
        </w:tc>
        <w:tc>
          <w:tcPr>
            <w:tcW w:w="4776" w:type="dxa"/>
            <w:gridSpan w:val="2"/>
            <w:vAlign w:val="center"/>
          </w:tcPr>
          <w:p>
            <w:pPr>
              <w:spacing w:line="360" w:lineRule="auto"/>
              <w:jc w:val="center"/>
              <w:rPr>
                <w:rFonts w:ascii="宋体" w:hAnsi="宋体" w:cs="宋体"/>
                <w:bCs/>
                <w:kern w:val="0"/>
                <w:sz w:val="24"/>
              </w:rPr>
            </w:pPr>
            <w:r>
              <w:rPr>
                <w:rFonts w:hint="eastAsia" w:ascii="宋体" w:hAnsi="宋体" w:cs="宋体"/>
                <w:bCs/>
                <w:kern w:val="0"/>
                <w:sz w:val="24"/>
              </w:rPr>
              <w:t xml:space="preserve"> </w:t>
            </w:r>
          </w:p>
        </w:tc>
        <w:tc>
          <w:tcPr>
            <w:tcW w:w="3625" w:type="dxa"/>
            <w:vAlign w:val="center"/>
          </w:tcPr>
          <w:p>
            <w:pPr>
              <w:widowControl/>
              <w:spacing w:line="360" w:lineRule="auto"/>
              <w:jc w:val="center"/>
              <w:rPr>
                <w:rFonts w:ascii="宋体" w:hAnsi="宋体" w:cs="宋体"/>
                <w:bCs/>
                <w:kern w:val="0"/>
                <w:sz w:val="24"/>
              </w:rPr>
            </w:pPr>
            <w:r>
              <w:rPr>
                <w:rFonts w:ascii="宋体" w:hAnsi="宋体" w:cs="宋体"/>
                <w:bCs/>
                <w:kern w:val="0"/>
                <w:sz w:val="24"/>
                <w:u w:val="single"/>
              </w:rPr>
              <w:t xml:space="preserve">    </w:t>
            </w:r>
            <w:r>
              <w:rPr>
                <w:rFonts w:hint="eastAsia" w:ascii="宋体" w:hAnsi="宋体" w:cs="宋体"/>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595"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合  计(</w:t>
            </w:r>
            <w:r>
              <w:rPr>
                <w:rFonts w:hint="eastAsia" w:ascii="宋体" w:hAnsi="宋体" w:cs="宋体"/>
                <w:bCs/>
                <w:kern w:val="0"/>
                <w:sz w:val="24"/>
              </w:rPr>
              <w:t>折扣率</w:t>
            </w:r>
            <w:r>
              <w:rPr>
                <w:rFonts w:hint="eastAsia" w:ascii="宋体" w:hAnsi="宋体" w:cs="宋体"/>
                <w:kern w:val="0"/>
                <w:sz w:val="24"/>
              </w:rPr>
              <w:t>)</w:t>
            </w:r>
          </w:p>
        </w:tc>
        <w:tc>
          <w:tcPr>
            <w:tcW w:w="3625" w:type="dxa"/>
            <w:vAlign w:val="center"/>
          </w:tcPr>
          <w:p>
            <w:pPr>
              <w:widowControl/>
              <w:spacing w:line="360" w:lineRule="auto"/>
              <w:rPr>
                <w:rFonts w:ascii="宋体" w:hAnsi="宋体"/>
                <w:kern w:val="0"/>
                <w:sz w:val="24"/>
              </w:rPr>
            </w:pPr>
            <w:r>
              <w:rPr>
                <w:rFonts w:ascii="宋体" w:hAnsi="宋体"/>
                <w:kern w:val="0"/>
                <w:sz w:val="24"/>
              </w:rPr>
              <w:t xml:space="preserve">            </w:t>
            </w:r>
            <w:r>
              <w:rPr>
                <w:rFonts w:ascii="宋体" w:hAnsi="宋体" w:cs="宋体"/>
                <w:bCs/>
                <w:kern w:val="0"/>
                <w:sz w:val="24"/>
                <w:u w:val="single"/>
              </w:rPr>
              <w:t xml:space="preserve">    </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投标总价（统一</w:t>
            </w:r>
            <w:r>
              <w:rPr>
                <w:rFonts w:hint="eastAsia" w:ascii="宋体" w:hAnsi="宋体" w:cs="宋体"/>
                <w:bCs/>
                <w:kern w:val="0"/>
                <w:sz w:val="24"/>
              </w:rPr>
              <w:t>折扣率</w:t>
            </w:r>
            <w:r>
              <w:rPr>
                <w:rFonts w:hint="eastAsia" w:ascii="宋体" w:hAnsi="宋体" w:cs="宋体"/>
                <w:kern w:val="0"/>
                <w:sz w:val="24"/>
              </w:rPr>
              <w:t>）</w:t>
            </w:r>
          </w:p>
        </w:tc>
        <w:tc>
          <w:tcPr>
            <w:tcW w:w="7047" w:type="dxa"/>
            <w:gridSpan w:val="2"/>
            <w:vAlign w:val="center"/>
          </w:tcPr>
          <w:p>
            <w:pPr>
              <w:widowControl/>
              <w:spacing w:line="360" w:lineRule="auto"/>
              <w:rPr>
                <w:rFonts w:ascii="宋体" w:hAnsi="宋体" w:cs="宋体"/>
                <w:kern w:val="0"/>
                <w:sz w:val="24"/>
              </w:rPr>
            </w:pPr>
            <w:r>
              <w:rPr>
                <w:rFonts w:hint="eastAsia" w:ascii="宋体" w:hAnsi="宋体"/>
                <w:b/>
                <w:sz w:val="24"/>
              </w:rPr>
              <w:t>小写：（大写：百分之</w:t>
            </w:r>
            <w:r>
              <w:rPr>
                <w:rFonts w:hint="eastAsia" w:ascii="宋体" w:hAnsi="宋体"/>
                <w:b/>
                <w:sz w:val="24"/>
                <w:u w:val="single"/>
              </w:rPr>
              <w:t xml:space="preserve">      </w:t>
            </w:r>
            <w:r>
              <w:rPr>
                <w:rFonts w:hint="eastAsia" w:ascii="宋体" w:hAnsi="宋体"/>
                <w:b/>
                <w:sz w:val="24"/>
              </w:rPr>
              <w:t>）</w:t>
            </w:r>
          </w:p>
        </w:tc>
      </w:tr>
    </w:tbl>
    <w:p>
      <w:pPr>
        <w:spacing w:before="156" w:beforeLines="50" w:after="156" w:afterLines="50" w:line="240" w:lineRule="auto"/>
        <w:rPr>
          <w:rFonts w:ascii="宋体" w:hAnsi="宋体" w:cs="宋体"/>
          <w:bCs/>
          <w:color w:val="000000" w:themeColor="text1"/>
          <w:sz w:val="24"/>
          <w14:textFill>
            <w14:solidFill>
              <w14:schemeClr w14:val="tx1"/>
            </w14:solidFill>
          </w14:textFill>
        </w:rPr>
      </w:pPr>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注：1. 以上报价是最终用户验收合格后的总价，是</w:t>
      </w:r>
      <w:r>
        <w:rPr>
          <w:rFonts w:hint="eastAsia" w:ascii="宋体"/>
          <w:color w:val="000000" w:themeColor="text1"/>
          <w:sz w:val="24"/>
          <w14:textFill>
            <w14:solidFill>
              <w14:schemeClr w14:val="tx1"/>
            </w14:solidFill>
          </w14:textFill>
        </w:rPr>
        <w:t>响应招标项目要求的全部工作内容的体现，</w:t>
      </w:r>
      <w:r>
        <w:rPr>
          <w:rFonts w:hint="eastAsia" w:ascii="宋体" w:hAnsi="宋体" w:cs="宋体"/>
          <w:bCs/>
          <w:color w:val="000000" w:themeColor="text1"/>
          <w:sz w:val="24"/>
          <w14:textFill>
            <w14:solidFill>
              <w14:schemeClr w14:val="tx1"/>
            </w14:solidFill>
          </w14:textFill>
        </w:rPr>
        <w:t>包括产品运输、保险、代理、安装调试、培训、税费和招标文件规定的其它费用等</w:t>
      </w:r>
      <w:r>
        <w:rPr>
          <w:rFonts w:hint="eastAsia" w:ascii="宋体"/>
          <w:color w:val="000000" w:themeColor="text1"/>
          <w:sz w:val="24"/>
          <w14:textFill>
            <w14:solidFill>
              <w14:schemeClr w14:val="tx1"/>
            </w14:solidFill>
          </w14:textFill>
        </w:rPr>
        <w:t>完成本项目所需的一切费用</w:t>
      </w:r>
      <w:r>
        <w:rPr>
          <w:rFonts w:hint="eastAsia" w:ascii="宋体" w:hAnsi="宋体" w:cs="宋体"/>
          <w:bCs/>
          <w:color w:val="000000" w:themeColor="text1"/>
          <w:sz w:val="24"/>
          <w14:textFill>
            <w14:solidFill>
              <w14:schemeClr w14:val="tx1"/>
            </w14:solidFill>
          </w14:textFill>
        </w:rPr>
        <w:t xml:space="preserve">。 </w:t>
      </w:r>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2.“开标一览表”为多页的，每页均应加盖投标人公章（鲜章）。</w:t>
      </w:r>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w:t>
      </w:r>
      <w:r>
        <w:rPr>
          <w:rFonts w:hint="eastAsia" w:hAnsi="宋体" w:cs="宋体"/>
          <w:sz w:val="24"/>
        </w:rPr>
        <w:t xml:space="preserve"> 投标人按照折扣率进行报价，折扣率=（实际结算价÷单项货物对应的最高限价）</w:t>
      </w:r>
      <w:r>
        <w:rPr>
          <w:rFonts w:hint="eastAsia" w:hAnsi="宋体" w:cs="宋体"/>
          <w:sz w:val="18"/>
          <w:szCs w:val="16"/>
        </w:rPr>
        <w:t>╳</w:t>
      </w:r>
      <w:r>
        <w:rPr>
          <w:rFonts w:hint="eastAsia" w:hAnsi="宋体" w:cs="宋体"/>
          <w:sz w:val="24"/>
        </w:rPr>
        <w:t>1</w:t>
      </w:r>
      <w:r>
        <w:rPr>
          <w:rFonts w:hAnsi="宋体" w:cs="宋体"/>
          <w:sz w:val="24"/>
        </w:rPr>
        <w:t>00</w:t>
      </w:r>
      <w:r>
        <w:rPr>
          <w:rFonts w:hint="eastAsia" w:hAnsi="宋体" w:cs="宋体"/>
          <w:sz w:val="24"/>
        </w:rPr>
        <w:t>%。</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例如</w:t>
      </w:r>
      <w:r>
        <w:rPr>
          <w:rFonts w:asciiTheme="minorEastAsia" w:hAnsiTheme="minorEastAsia" w:eastAsiaTheme="minorEastAsia"/>
          <w:color w:val="000000" w:themeColor="text1"/>
          <w:sz w:val="24"/>
          <w14:textFill>
            <w14:solidFill>
              <w14:schemeClr w14:val="tx1"/>
            </w14:solidFill>
          </w14:textFill>
        </w:rPr>
        <w:t>产品最高单价限价为</w:t>
      </w:r>
      <w:r>
        <w:rPr>
          <w:rFonts w:hint="eastAsia" w:asciiTheme="minorEastAsia" w:hAnsiTheme="minorEastAsia" w:eastAsiaTheme="minorEastAsia"/>
          <w:color w:val="000000" w:themeColor="text1"/>
          <w:sz w:val="24"/>
          <w14:textFill>
            <w14:solidFill>
              <w14:schemeClr w14:val="tx1"/>
            </w14:solidFill>
          </w14:textFill>
        </w:rPr>
        <w:t>10元</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统一折扣率为80</w:t>
      </w:r>
      <w:r>
        <w:rPr>
          <w:rFonts w:asciiTheme="minorEastAsia" w:hAnsiTheme="minorEastAsia" w:eastAsiaTheme="minorEastAsia"/>
          <w:color w:val="000000" w:themeColor="text1"/>
          <w:sz w:val="24"/>
          <w14:textFill>
            <w14:solidFill>
              <w14:schemeClr w14:val="tx1"/>
            </w14:solidFill>
          </w14:textFill>
        </w:rPr>
        <w:t>%，则实际结算</w:t>
      </w:r>
      <w:r>
        <w:rPr>
          <w:rFonts w:hint="eastAsia" w:asciiTheme="minorEastAsia" w:hAnsiTheme="minorEastAsia" w:eastAsiaTheme="minorEastAsia"/>
          <w:color w:val="000000" w:themeColor="text1"/>
          <w:sz w:val="24"/>
          <w14:textFill>
            <w14:solidFill>
              <w14:schemeClr w14:val="tx1"/>
            </w14:solidFill>
          </w14:textFill>
        </w:rPr>
        <w:t>单价</w:t>
      </w:r>
      <w:r>
        <w:rPr>
          <w:rFonts w:asciiTheme="minorEastAsia" w:hAnsiTheme="minorEastAsia" w:eastAsiaTheme="minorEastAsia"/>
          <w:color w:val="000000" w:themeColor="text1"/>
          <w:sz w:val="24"/>
          <w14:textFill>
            <w14:solidFill>
              <w14:schemeClr w14:val="tx1"/>
            </w14:solidFill>
          </w14:textFill>
        </w:rPr>
        <w:t>为</w:t>
      </w:r>
      <w:r>
        <w:rPr>
          <w:rFonts w:hint="eastAsia" w:asciiTheme="minorEastAsia" w:hAnsiTheme="minorEastAsia" w:eastAsiaTheme="minorEastAsia"/>
          <w:color w:val="000000" w:themeColor="text1"/>
          <w:sz w:val="24"/>
          <w14:textFill>
            <w14:solidFill>
              <w14:schemeClr w14:val="tx1"/>
            </w14:solidFill>
          </w14:textFill>
        </w:rPr>
        <w:t>10×80</w:t>
      </w:r>
      <w:r>
        <w:rPr>
          <w:rFonts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元</w:t>
      </w:r>
      <w:r>
        <w:rPr>
          <w:rFonts w:asciiTheme="minorEastAsia" w:hAnsiTheme="minorEastAsia" w:eastAsiaTheme="minorEastAsia"/>
          <w:color w:val="000000" w:themeColor="text1"/>
          <w:sz w:val="24"/>
          <w14:textFill>
            <w14:solidFill>
              <w14:schemeClr w14:val="tx1"/>
            </w14:solidFill>
          </w14:textFill>
        </w:rPr>
        <w:t>）</w:t>
      </w:r>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投标人名称：</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（单位公章）</w:t>
      </w:r>
      <w:r>
        <w:rPr>
          <w:rFonts w:hint="eastAsia" w:ascii="宋体" w:hAnsi="宋体" w:cs="宋体"/>
          <w:bCs/>
          <w:color w:val="000000" w:themeColor="text1"/>
          <w:sz w:val="24"/>
          <w14:textFill>
            <w14:solidFill>
              <w14:schemeClr w14:val="tx1"/>
            </w14:solidFill>
          </w14:textFill>
        </w:rPr>
        <w:t>。</w:t>
      </w:r>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法定代表人/单位负责人或授权代表（签字或加盖个人名章）：</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w:t>
      </w:r>
    </w:p>
    <w:p>
      <w:pPr>
        <w:spacing w:before="156" w:beforeLines="50" w:after="156" w:afterLines="50" w:line="240" w:lineRule="auto"/>
        <w:rPr>
          <w:rFonts w:ascii="宋体" w:hAnsi="宋体" w:cs="宋体"/>
          <w:bCs/>
          <w:sz w:val="24"/>
        </w:rPr>
      </w:pPr>
      <w:r>
        <w:rPr>
          <w:rFonts w:hint="eastAsia" w:ascii="宋体" w:hAnsi="宋体" w:cs="宋体"/>
          <w:bCs/>
          <w:color w:val="000000" w:themeColor="text1"/>
          <w:sz w:val="24"/>
          <w14:textFill>
            <w14:solidFill>
              <w14:schemeClr w14:val="tx1"/>
            </w14:solidFill>
          </w14:textFill>
        </w:rPr>
        <w:t>日    期：</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年</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月</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日。</w:t>
      </w:r>
    </w:p>
    <w:p>
      <w:pPr>
        <w:widowControl/>
        <w:spacing w:after="0" w:line="240" w:lineRule="auto"/>
        <w:jc w:val="left"/>
        <w:rPr>
          <w:rFonts w:ascii="华文中宋" w:hAnsi="华文中宋" w:eastAsia="华文中宋"/>
          <w:b/>
          <w:sz w:val="32"/>
          <w:szCs w:val="32"/>
        </w:rPr>
      </w:pPr>
      <w:r>
        <w:rPr>
          <w:rFonts w:ascii="华文中宋" w:hAnsi="华文中宋" w:eastAsia="华文中宋"/>
          <w:b/>
          <w:sz w:val="32"/>
          <w:szCs w:val="32"/>
        </w:rPr>
        <w:br w:type="page"/>
      </w:r>
    </w:p>
    <w:p>
      <w:pPr>
        <w:spacing w:before="156" w:beforeLines="50" w:after="156" w:afterLines="50" w:line="240" w:lineRule="auto"/>
        <w:rPr>
          <w:rFonts w:ascii="华文中宋" w:hAnsi="华文中宋" w:eastAsia="华文中宋"/>
          <w:b/>
          <w:sz w:val="32"/>
          <w:szCs w:val="32"/>
        </w:rPr>
      </w:pPr>
      <w:r>
        <w:rPr>
          <w:rFonts w:hint="eastAsia" w:ascii="华文中宋" w:hAnsi="华文中宋" w:eastAsia="华文中宋"/>
          <w:b/>
          <w:sz w:val="32"/>
          <w:szCs w:val="32"/>
        </w:rPr>
        <w:t>格式7</w:t>
      </w:r>
    </w:p>
    <w:p>
      <w:pPr>
        <w:widowControl/>
        <w:spacing w:line="360" w:lineRule="atLeast"/>
        <w:jc w:val="center"/>
        <w:outlineLvl w:val="1"/>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分项报价明细表</w:t>
      </w:r>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招标编号及包号（如分包）：</w:t>
      </w:r>
    </w:p>
    <w:tbl>
      <w:tblPr>
        <w:tblStyle w:val="39"/>
        <w:tblW w:w="11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9"/>
        <w:gridCol w:w="1276"/>
        <w:gridCol w:w="911"/>
        <w:gridCol w:w="1742"/>
        <w:gridCol w:w="992"/>
        <w:gridCol w:w="2268"/>
        <w:gridCol w:w="1266"/>
        <w:gridCol w:w="96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exact"/>
          <w:jc w:val="center"/>
        </w:trPr>
        <w:tc>
          <w:tcPr>
            <w:tcW w:w="759" w:type="dxa"/>
            <w:gridSpan w:val="2"/>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序号</w:t>
            </w:r>
          </w:p>
        </w:tc>
        <w:tc>
          <w:tcPr>
            <w:tcW w:w="1276"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产品名称</w:t>
            </w:r>
          </w:p>
        </w:tc>
        <w:tc>
          <w:tcPr>
            <w:tcW w:w="911"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规格型号</w:t>
            </w:r>
          </w:p>
        </w:tc>
        <w:tc>
          <w:tcPr>
            <w:tcW w:w="1742"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制造商/品牌</w:t>
            </w:r>
          </w:p>
        </w:tc>
        <w:tc>
          <w:tcPr>
            <w:tcW w:w="992"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单位</w:t>
            </w:r>
          </w:p>
        </w:tc>
        <w:tc>
          <w:tcPr>
            <w:tcW w:w="2268"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是否</w:t>
            </w:r>
            <w:r>
              <w:rPr>
                <w:rFonts w:ascii="宋体"/>
                <w:color w:val="000000" w:themeColor="text1"/>
                <w:sz w:val="24"/>
                <w14:textFill>
                  <w14:solidFill>
                    <w14:schemeClr w14:val="tx1"/>
                  </w14:solidFill>
                </w14:textFill>
              </w:rPr>
              <w:t>为进口产品</w:t>
            </w:r>
          </w:p>
        </w:tc>
        <w:tc>
          <w:tcPr>
            <w:tcW w:w="1266" w:type="dxa"/>
            <w:vAlign w:val="center"/>
          </w:tcPr>
          <w:p>
            <w:pPr>
              <w:widowControl/>
              <w:spacing w:line="360" w:lineRule="atLeas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单项</w:t>
            </w:r>
            <w:r>
              <w:rPr>
                <w:rFonts w:ascii="宋体"/>
                <w:color w:val="000000" w:themeColor="text1"/>
                <w:sz w:val="24"/>
                <w14:textFill>
                  <w14:solidFill>
                    <w14:schemeClr w14:val="tx1"/>
                  </w14:solidFill>
                </w14:textFill>
              </w:rPr>
              <w:t>价格</w:t>
            </w:r>
          </w:p>
        </w:tc>
        <w:tc>
          <w:tcPr>
            <w:tcW w:w="962" w:type="dxa"/>
            <w:vAlign w:val="center"/>
          </w:tcPr>
          <w:p>
            <w:pPr>
              <w:widowControl/>
              <w:spacing w:line="360" w:lineRule="atLeas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统一折扣率（%）</w:t>
            </w:r>
          </w:p>
        </w:tc>
        <w:tc>
          <w:tcPr>
            <w:tcW w:w="1300" w:type="dxa"/>
            <w:vAlign w:val="center"/>
          </w:tcPr>
          <w:p>
            <w:pPr>
              <w:widowControl/>
              <w:spacing w:line="360" w:lineRule="atLeas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9" w:type="dxa"/>
            <w:gridSpan w:val="2"/>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11"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742"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92"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2268"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66"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62" w:type="dxa"/>
            <w:vMerge w:val="restart"/>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300"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9" w:type="dxa"/>
            <w:gridSpan w:val="2"/>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11"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742"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92"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2268"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66"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62" w:type="dxa"/>
            <w:vMerge w:val="continue"/>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300"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9" w:type="dxa"/>
            <w:gridSpan w:val="2"/>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11"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742"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92"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2268"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66"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62" w:type="dxa"/>
            <w:vMerge w:val="continue"/>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300"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9" w:type="dxa"/>
            <w:gridSpan w:val="2"/>
            <w:tcBorders>
              <w:left w:val="single" w:color="auto" w:sz="4" w:space="0"/>
            </w:tcBorders>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11"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742"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92"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2268"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66"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62" w:type="dxa"/>
            <w:vMerge w:val="continue"/>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300"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9" w:type="dxa"/>
            <w:gridSpan w:val="2"/>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11"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742"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92"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2268"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66"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62" w:type="dxa"/>
            <w:vMerge w:val="continue"/>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300"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9" w:type="dxa"/>
            <w:gridSpan w:val="2"/>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11"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742"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92"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2268"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266"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62" w:type="dxa"/>
            <w:vMerge w:val="continue"/>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1300"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single" w:color="auto" w:sz="4" w:space="0"/>
              <w:bottom w:val="single" w:color="auto" w:sz="4" w:space="0"/>
            </w:tcBorders>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c>
          <w:tcPr>
            <w:tcW w:w="9446" w:type="dxa"/>
            <w:gridSpan w:val="8"/>
            <w:tcBorders>
              <w:top w:val="single" w:color="auto" w:sz="4" w:space="0"/>
              <w:bottom w:val="single" w:color="auto" w:sz="4" w:space="0"/>
            </w:tcBorders>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统一折扣率（</w:t>
            </w:r>
            <w:r>
              <w:rPr>
                <w:rFonts w:ascii="宋体"/>
                <w:color w:val="000000" w:themeColor="text1"/>
                <w:sz w:val="24"/>
                <w14:textFill>
                  <w14:solidFill>
                    <w14:schemeClr w14:val="tx1"/>
                  </w14:solidFill>
                </w14:textFill>
              </w:rPr>
              <w:t>%</w:t>
            </w:r>
            <w:r>
              <w:rPr>
                <w:rFonts w:hint="eastAsia" w:ascii="宋体"/>
                <w:color w:val="000000" w:themeColor="text1"/>
                <w:sz w:val="24"/>
                <w14:textFill>
                  <w14:solidFill>
                    <w14:schemeClr w14:val="tx1"/>
                  </w14:solidFill>
                </w14:textFill>
              </w:rPr>
              <w:t>）：  （大写：百分之      ）</w:t>
            </w:r>
          </w:p>
        </w:tc>
        <w:tc>
          <w:tcPr>
            <w:tcW w:w="130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tc>
      </w:tr>
    </w:tbl>
    <w:p>
      <w:pPr>
        <w:spacing w:line="40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注：1、投标人必须按“分项报价明细表”的格式详细报出投标总价的各个组成部分的报价。</w:t>
      </w:r>
    </w:p>
    <w:p>
      <w:pPr>
        <w:spacing w:line="40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2、“分项报价明细表”各分项报价合计应当与“开标一览表”报价合计相等。</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3、本项目按</w:t>
      </w:r>
      <w:r>
        <w:rPr>
          <w:rFonts w:hAnsi="宋体"/>
          <w:color w:val="000000" w:themeColor="text1"/>
          <w:sz w:val="24"/>
          <w14:textFill>
            <w14:solidFill>
              <w14:schemeClr w14:val="tx1"/>
            </w14:solidFill>
          </w14:textFill>
        </w:rPr>
        <w:t>统一折扣率据实结算</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此处不需要填写数量。</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4、此处</w:t>
      </w:r>
      <w:r>
        <w:rPr>
          <w:rFonts w:hAnsi="宋体"/>
          <w:color w:val="000000" w:themeColor="text1"/>
          <w:sz w:val="24"/>
          <w14:textFill>
            <w14:solidFill>
              <w14:schemeClr w14:val="tx1"/>
            </w14:solidFill>
          </w14:textFill>
        </w:rPr>
        <w:t>单项价格</w:t>
      </w:r>
      <w:r>
        <w:rPr>
          <w:rFonts w:hint="eastAsia" w:hAnsi="宋体"/>
          <w:color w:val="000000" w:themeColor="text1"/>
          <w:sz w:val="24"/>
          <w14:textFill>
            <w14:solidFill>
              <w14:schemeClr w14:val="tx1"/>
            </w14:solidFill>
          </w14:textFill>
        </w:rPr>
        <w:t>指</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技术</w:t>
      </w:r>
      <w:r>
        <w:rPr>
          <w:rFonts w:hAnsi="宋体"/>
          <w:color w:val="000000" w:themeColor="text1"/>
          <w:sz w:val="24"/>
          <w14:textFill>
            <w14:solidFill>
              <w14:schemeClr w14:val="tx1"/>
            </w14:solidFill>
          </w14:textFill>
        </w:rPr>
        <w:t>参数中的单价最高限价。</w:t>
      </w:r>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投标人名称：</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（单位公章）</w:t>
      </w:r>
      <w:r>
        <w:rPr>
          <w:rFonts w:hint="eastAsia" w:ascii="宋体" w:hAnsi="宋体" w:cs="宋体"/>
          <w:bCs/>
          <w:color w:val="000000" w:themeColor="text1"/>
          <w:sz w:val="24"/>
          <w14:textFill>
            <w14:solidFill>
              <w14:schemeClr w14:val="tx1"/>
            </w14:solidFill>
          </w14:textFill>
        </w:rPr>
        <w:t>。</w:t>
      </w:r>
    </w:p>
    <w:p>
      <w:pPr>
        <w:spacing w:before="156" w:beforeLines="50" w:after="156" w:afterLines="50" w:line="24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法定代表人/单位负责人或授权代表（签字或加盖个人名章）：</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w:t>
      </w:r>
    </w:p>
    <w:p>
      <w:pPr>
        <w:spacing w:before="156" w:beforeLines="50" w:after="156" w:afterLines="50" w:line="240" w:lineRule="auto"/>
        <w:rPr>
          <w:rFonts w:ascii="华文中宋" w:hAnsi="华文中宋" w:eastAsia="华文中宋"/>
          <w:b/>
          <w:sz w:val="32"/>
          <w:szCs w:val="32"/>
        </w:rPr>
      </w:pPr>
      <w:r>
        <w:rPr>
          <w:rFonts w:hint="eastAsia" w:ascii="宋体" w:hAnsi="宋体" w:cs="宋体"/>
          <w:bCs/>
          <w:color w:val="000000" w:themeColor="text1"/>
          <w:sz w:val="24"/>
          <w14:textFill>
            <w14:solidFill>
              <w14:schemeClr w14:val="tx1"/>
            </w14:solidFill>
          </w14:textFill>
        </w:rPr>
        <w:t>日    期：</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年</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月</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日。</w:t>
      </w:r>
      <w:r>
        <w:rPr>
          <w:rFonts w:hint="eastAsia" w:ascii="华文中宋" w:hAnsi="华文中宋" w:eastAsia="华文中宋"/>
          <w:b/>
          <w:color w:val="000000" w:themeColor="text1"/>
          <w:sz w:val="32"/>
          <w:szCs w:val="32"/>
          <w14:textFill>
            <w14:solidFill>
              <w14:schemeClr w14:val="tx1"/>
            </w14:solidFill>
          </w14:textFill>
        </w:rPr>
        <w:br w:type="page"/>
      </w:r>
    </w:p>
    <w:p>
      <w:pPr>
        <w:spacing w:before="156" w:beforeLines="50" w:after="156" w:afterLines="50" w:line="240" w:lineRule="auto"/>
        <w:rPr>
          <w:rFonts w:ascii="华文中宋" w:hAnsi="华文中宋" w:eastAsia="华文中宋"/>
          <w:b/>
          <w:sz w:val="32"/>
          <w:szCs w:val="32"/>
        </w:rPr>
      </w:pPr>
      <w:r>
        <w:rPr>
          <w:rFonts w:hint="eastAsia" w:ascii="华文中宋" w:hAnsi="华文中宋" w:eastAsia="华文中宋"/>
          <w:b/>
          <w:sz w:val="32"/>
          <w:szCs w:val="32"/>
        </w:rPr>
        <w:t>格式</w:t>
      </w:r>
      <w:r>
        <w:rPr>
          <w:rFonts w:ascii="华文中宋" w:hAnsi="华文中宋" w:eastAsia="华文中宋"/>
          <w:b/>
          <w:sz w:val="32"/>
          <w:szCs w:val="32"/>
        </w:rPr>
        <w:t>8</w:t>
      </w:r>
    </w:p>
    <w:p>
      <w:pPr>
        <w:widowControl/>
        <w:spacing w:line="360" w:lineRule="atLeast"/>
        <w:jc w:val="center"/>
        <w:outlineLvl w:val="1"/>
        <w:rPr>
          <w:rFonts w:ascii="黑体" w:eastAsia="黑体"/>
          <w:b/>
          <w:sz w:val="32"/>
          <w:szCs w:val="32"/>
        </w:rPr>
      </w:pPr>
      <w:r>
        <w:rPr>
          <w:rFonts w:hint="eastAsia" w:ascii="黑体" w:eastAsia="黑体"/>
          <w:b/>
          <w:sz w:val="32"/>
          <w:szCs w:val="32"/>
        </w:rPr>
        <w:t>商务应答表</w:t>
      </w:r>
      <w:bookmarkEnd w:id="164"/>
    </w:p>
    <w:p>
      <w:pPr>
        <w:spacing w:line="400" w:lineRule="exact"/>
        <w:ind w:firstLine="480" w:firstLineChars="200"/>
        <w:rPr>
          <w:rFonts w:hAnsi="宋体"/>
          <w:sz w:val="24"/>
        </w:rPr>
      </w:pPr>
      <w:r>
        <w:rPr>
          <w:rFonts w:hint="eastAsia" w:ascii="宋体" w:hAnsi="宋体" w:cs="宋体"/>
          <w:bCs/>
          <w:sz w:val="24"/>
        </w:rPr>
        <w:t>招标编号：</w:t>
      </w:r>
    </w:p>
    <w:tbl>
      <w:tblPr>
        <w:tblStyle w:val="3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560"/>
        <w:gridCol w:w="3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34" w:type="dxa"/>
            <w:vAlign w:val="center"/>
          </w:tcPr>
          <w:p>
            <w:pPr>
              <w:widowControl/>
              <w:spacing w:line="360" w:lineRule="atLeast"/>
              <w:jc w:val="center"/>
              <w:outlineLvl w:val="1"/>
              <w:rPr>
                <w:rFonts w:hAnsi="宋体"/>
                <w:sz w:val="24"/>
              </w:rPr>
            </w:pPr>
            <w:r>
              <w:rPr>
                <w:rFonts w:hint="eastAsia" w:hAnsi="宋体"/>
                <w:sz w:val="24"/>
              </w:rPr>
              <w:t>序号</w:t>
            </w:r>
          </w:p>
        </w:tc>
        <w:tc>
          <w:tcPr>
            <w:tcW w:w="1134" w:type="dxa"/>
            <w:vAlign w:val="center"/>
          </w:tcPr>
          <w:p>
            <w:pPr>
              <w:widowControl/>
              <w:spacing w:line="360" w:lineRule="atLeast"/>
              <w:jc w:val="center"/>
              <w:outlineLvl w:val="1"/>
              <w:rPr>
                <w:rFonts w:hAnsi="宋体"/>
                <w:sz w:val="24"/>
              </w:rPr>
            </w:pPr>
            <w:r>
              <w:rPr>
                <w:rFonts w:hint="eastAsia" w:hAnsi="宋体"/>
                <w:sz w:val="24"/>
              </w:rPr>
              <w:t>条目号</w:t>
            </w:r>
          </w:p>
        </w:tc>
        <w:tc>
          <w:tcPr>
            <w:tcW w:w="1560" w:type="dxa"/>
            <w:vAlign w:val="center"/>
          </w:tcPr>
          <w:p>
            <w:pPr>
              <w:widowControl/>
              <w:spacing w:line="360" w:lineRule="atLeast"/>
              <w:jc w:val="center"/>
              <w:outlineLvl w:val="1"/>
              <w:rPr>
                <w:rFonts w:hAnsi="宋体"/>
                <w:sz w:val="24"/>
              </w:rPr>
            </w:pPr>
            <w:r>
              <w:rPr>
                <w:rFonts w:hint="eastAsia" w:hAnsi="宋体"/>
                <w:sz w:val="24"/>
              </w:rPr>
              <w:t>招标要求</w:t>
            </w:r>
          </w:p>
        </w:tc>
        <w:tc>
          <w:tcPr>
            <w:tcW w:w="3402" w:type="dxa"/>
            <w:vAlign w:val="center"/>
          </w:tcPr>
          <w:p>
            <w:pPr>
              <w:widowControl/>
              <w:spacing w:line="360" w:lineRule="atLeast"/>
              <w:jc w:val="center"/>
              <w:outlineLvl w:val="1"/>
              <w:rPr>
                <w:rFonts w:hAnsi="宋体"/>
                <w:sz w:val="24"/>
              </w:rPr>
            </w:pPr>
            <w:r>
              <w:rPr>
                <w:rFonts w:hint="eastAsia" w:hAnsi="宋体"/>
                <w:sz w:val="24"/>
              </w:rPr>
              <w:t>投标应答</w:t>
            </w:r>
          </w:p>
        </w:tc>
        <w:tc>
          <w:tcPr>
            <w:tcW w:w="992" w:type="dxa"/>
            <w:vAlign w:val="center"/>
          </w:tcPr>
          <w:p>
            <w:pPr>
              <w:widowControl/>
              <w:spacing w:line="360" w:lineRule="atLeast"/>
              <w:jc w:val="center"/>
              <w:outlineLvl w:val="1"/>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hAnsi="宋体"/>
                <w:sz w:val="24"/>
              </w:rPr>
            </w:pPr>
          </w:p>
        </w:tc>
        <w:tc>
          <w:tcPr>
            <w:tcW w:w="1134" w:type="dxa"/>
          </w:tcPr>
          <w:p>
            <w:pPr>
              <w:widowControl/>
              <w:spacing w:line="360" w:lineRule="atLeast"/>
              <w:ind w:firstLine="470" w:firstLineChars="196"/>
              <w:jc w:val="left"/>
              <w:outlineLvl w:val="1"/>
              <w:rPr>
                <w:rFonts w:hAnsi="宋体"/>
                <w:sz w:val="24"/>
              </w:rPr>
            </w:pPr>
          </w:p>
        </w:tc>
        <w:tc>
          <w:tcPr>
            <w:tcW w:w="1560" w:type="dxa"/>
          </w:tcPr>
          <w:p>
            <w:pPr>
              <w:widowControl/>
              <w:spacing w:line="360" w:lineRule="atLeast"/>
              <w:ind w:firstLine="470" w:firstLineChars="196"/>
              <w:jc w:val="left"/>
              <w:outlineLvl w:val="1"/>
              <w:rPr>
                <w:rFonts w:hAnsi="宋体"/>
                <w:sz w:val="24"/>
              </w:rPr>
            </w:pPr>
          </w:p>
        </w:tc>
        <w:tc>
          <w:tcPr>
            <w:tcW w:w="3402" w:type="dxa"/>
          </w:tcPr>
          <w:p>
            <w:pPr>
              <w:widowControl/>
              <w:spacing w:line="360" w:lineRule="atLeast"/>
              <w:ind w:firstLine="470" w:firstLineChars="196"/>
              <w:jc w:val="left"/>
              <w:outlineLvl w:val="1"/>
              <w:rPr>
                <w:rFonts w:hAnsi="宋体"/>
                <w:sz w:val="24"/>
              </w:rPr>
            </w:pPr>
          </w:p>
        </w:tc>
        <w:tc>
          <w:tcPr>
            <w:tcW w:w="992" w:type="dxa"/>
          </w:tcPr>
          <w:p>
            <w:pPr>
              <w:widowControl/>
              <w:spacing w:line="360" w:lineRule="atLeast"/>
              <w:ind w:firstLine="470" w:firstLineChars="196"/>
              <w:jc w:val="left"/>
              <w:outlineLvl w:val="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hAnsi="宋体"/>
                <w:sz w:val="24"/>
              </w:rPr>
            </w:pPr>
          </w:p>
        </w:tc>
        <w:tc>
          <w:tcPr>
            <w:tcW w:w="1134" w:type="dxa"/>
          </w:tcPr>
          <w:p>
            <w:pPr>
              <w:widowControl/>
              <w:spacing w:line="360" w:lineRule="atLeast"/>
              <w:ind w:firstLine="470" w:firstLineChars="196"/>
              <w:jc w:val="left"/>
              <w:outlineLvl w:val="1"/>
              <w:rPr>
                <w:rFonts w:hAnsi="宋体"/>
                <w:sz w:val="24"/>
              </w:rPr>
            </w:pPr>
          </w:p>
        </w:tc>
        <w:tc>
          <w:tcPr>
            <w:tcW w:w="1560" w:type="dxa"/>
          </w:tcPr>
          <w:p>
            <w:pPr>
              <w:widowControl/>
              <w:spacing w:line="360" w:lineRule="atLeast"/>
              <w:ind w:firstLine="470" w:firstLineChars="196"/>
              <w:jc w:val="left"/>
              <w:outlineLvl w:val="1"/>
              <w:rPr>
                <w:rFonts w:hAnsi="宋体"/>
                <w:sz w:val="24"/>
              </w:rPr>
            </w:pPr>
          </w:p>
        </w:tc>
        <w:tc>
          <w:tcPr>
            <w:tcW w:w="3402" w:type="dxa"/>
          </w:tcPr>
          <w:p>
            <w:pPr>
              <w:widowControl/>
              <w:spacing w:line="360" w:lineRule="atLeast"/>
              <w:ind w:firstLine="470" w:firstLineChars="196"/>
              <w:jc w:val="left"/>
              <w:outlineLvl w:val="1"/>
              <w:rPr>
                <w:rFonts w:hAnsi="宋体"/>
                <w:sz w:val="24"/>
              </w:rPr>
            </w:pPr>
          </w:p>
        </w:tc>
        <w:tc>
          <w:tcPr>
            <w:tcW w:w="992" w:type="dxa"/>
          </w:tcPr>
          <w:p>
            <w:pPr>
              <w:widowControl/>
              <w:spacing w:line="360" w:lineRule="atLeast"/>
              <w:ind w:firstLine="470" w:firstLineChars="196"/>
              <w:jc w:val="left"/>
              <w:outlineLvl w:val="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hAnsi="宋体"/>
                <w:sz w:val="24"/>
              </w:rPr>
            </w:pPr>
          </w:p>
        </w:tc>
        <w:tc>
          <w:tcPr>
            <w:tcW w:w="1134" w:type="dxa"/>
          </w:tcPr>
          <w:p>
            <w:pPr>
              <w:widowControl/>
              <w:spacing w:line="360" w:lineRule="atLeast"/>
              <w:ind w:firstLine="470" w:firstLineChars="196"/>
              <w:jc w:val="left"/>
              <w:outlineLvl w:val="1"/>
              <w:rPr>
                <w:rFonts w:hAnsi="宋体"/>
                <w:sz w:val="24"/>
              </w:rPr>
            </w:pPr>
          </w:p>
        </w:tc>
        <w:tc>
          <w:tcPr>
            <w:tcW w:w="1560" w:type="dxa"/>
          </w:tcPr>
          <w:p>
            <w:pPr>
              <w:widowControl/>
              <w:spacing w:line="360" w:lineRule="atLeast"/>
              <w:ind w:firstLine="470" w:firstLineChars="196"/>
              <w:jc w:val="left"/>
              <w:outlineLvl w:val="1"/>
              <w:rPr>
                <w:rFonts w:hAnsi="宋体"/>
                <w:sz w:val="24"/>
              </w:rPr>
            </w:pPr>
          </w:p>
        </w:tc>
        <w:tc>
          <w:tcPr>
            <w:tcW w:w="3402" w:type="dxa"/>
          </w:tcPr>
          <w:p>
            <w:pPr>
              <w:widowControl/>
              <w:spacing w:line="360" w:lineRule="atLeast"/>
              <w:ind w:firstLine="470" w:firstLineChars="196"/>
              <w:jc w:val="left"/>
              <w:outlineLvl w:val="1"/>
              <w:rPr>
                <w:rFonts w:hAnsi="宋体"/>
                <w:sz w:val="24"/>
              </w:rPr>
            </w:pPr>
          </w:p>
        </w:tc>
        <w:tc>
          <w:tcPr>
            <w:tcW w:w="992" w:type="dxa"/>
          </w:tcPr>
          <w:p>
            <w:pPr>
              <w:widowControl/>
              <w:spacing w:line="360" w:lineRule="atLeast"/>
              <w:ind w:firstLine="470" w:firstLineChars="196"/>
              <w:jc w:val="left"/>
              <w:outlineLvl w:val="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hAnsi="宋体"/>
                <w:sz w:val="24"/>
              </w:rPr>
            </w:pPr>
          </w:p>
        </w:tc>
        <w:tc>
          <w:tcPr>
            <w:tcW w:w="1134" w:type="dxa"/>
          </w:tcPr>
          <w:p>
            <w:pPr>
              <w:widowControl/>
              <w:spacing w:line="360" w:lineRule="atLeast"/>
              <w:ind w:firstLine="470" w:firstLineChars="196"/>
              <w:jc w:val="left"/>
              <w:outlineLvl w:val="1"/>
              <w:rPr>
                <w:rFonts w:hAnsi="宋体"/>
                <w:sz w:val="24"/>
              </w:rPr>
            </w:pPr>
          </w:p>
        </w:tc>
        <w:tc>
          <w:tcPr>
            <w:tcW w:w="1560" w:type="dxa"/>
          </w:tcPr>
          <w:p>
            <w:pPr>
              <w:widowControl/>
              <w:spacing w:line="360" w:lineRule="atLeast"/>
              <w:ind w:firstLine="470" w:firstLineChars="196"/>
              <w:jc w:val="left"/>
              <w:outlineLvl w:val="1"/>
              <w:rPr>
                <w:rFonts w:hAnsi="宋体"/>
                <w:sz w:val="24"/>
              </w:rPr>
            </w:pPr>
          </w:p>
        </w:tc>
        <w:tc>
          <w:tcPr>
            <w:tcW w:w="3402" w:type="dxa"/>
          </w:tcPr>
          <w:p>
            <w:pPr>
              <w:widowControl/>
              <w:spacing w:line="360" w:lineRule="atLeast"/>
              <w:ind w:firstLine="470" w:firstLineChars="196"/>
              <w:jc w:val="left"/>
              <w:outlineLvl w:val="1"/>
              <w:rPr>
                <w:rFonts w:hAnsi="宋体"/>
                <w:sz w:val="24"/>
              </w:rPr>
            </w:pPr>
          </w:p>
        </w:tc>
        <w:tc>
          <w:tcPr>
            <w:tcW w:w="992" w:type="dxa"/>
          </w:tcPr>
          <w:p>
            <w:pPr>
              <w:widowControl/>
              <w:spacing w:line="360" w:lineRule="atLeast"/>
              <w:ind w:firstLine="470" w:firstLineChars="196"/>
              <w:jc w:val="left"/>
              <w:outlineLvl w:val="1"/>
              <w:rPr>
                <w:rFonts w:hAnsi="宋体"/>
                <w:sz w:val="24"/>
              </w:rPr>
            </w:pPr>
          </w:p>
        </w:tc>
      </w:tr>
    </w:tbl>
    <w:p>
      <w:pPr>
        <w:spacing w:line="240" w:lineRule="auto"/>
        <w:ind w:firstLine="480" w:firstLineChars="200"/>
        <w:rPr>
          <w:rFonts w:hAnsi="宋体"/>
          <w:sz w:val="24"/>
        </w:rPr>
      </w:pPr>
      <w:r>
        <w:rPr>
          <w:rFonts w:hint="eastAsia" w:hAnsi="宋体"/>
          <w:sz w:val="24"/>
        </w:rPr>
        <w:t>注：1. 投标人若对招标文件第六章全部“商务要求”有偏离的，需将内容列入此表。</w:t>
      </w:r>
    </w:p>
    <w:p>
      <w:pPr>
        <w:spacing w:line="240" w:lineRule="auto"/>
        <w:ind w:firstLine="480" w:firstLineChars="200"/>
        <w:rPr>
          <w:rFonts w:hAnsi="宋体"/>
          <w:sz w:val="24"/>
        </w:rPr>
      </w:pPr>
      <w:r>
        <w:rPr>
          <w:rFonts w:hint="eastAsia" w:hAnsi="宋体"/>
          <w:sz w:val="24"/>
        </w:rPr>
        <w:t>2投标人在应答时，如果以上表格中“投标应答”所对应的空格不够填写的，投标人可在表格外拟定应答内容，但必须在“备注”中注明投标文件对应页码。投标人没有备注页码或备注页码错误所导致的一切责任与后果由投标人自行承担。</w:t>
      </w:r>
    </w:p>
    <w:p>
      <w:pPr>
        <w:spacing w:line="240" w:lineRule="auto"/>
        <w:ind w:firstLine="480" w:firstLineChars="200"/>
        <w:rPr>
          <w:rFonts w:hAnsi="宋体"/>
          <w:sz w:val="24"/>
        </w:rPr>
      </w:pPr>
      <w:r>
        <w:rPr>
          <w:rFonts w:hint="eastAsia" w:hAnsi="宋体"/>
          <w:sz w:val="24"/>
        </w:rPr>
        <w:t>3．投标人必须据实填写，不得虚假填写，否则将取消其投标或中标资格。</w:t>
      </w:r>
    </w:p>
    <w:p>
      <w:pPr>
        <w:spacing w:line="400" w:lineRule="exact"/>
        <w:ind w:firstLine="480" w:firstLineChars="200"/>
        <w:rPr>
          <w:rFonts w:hAnsi="宋体"/>
          <w:sz w:val="24"/>
        </w:rPr>
      </w:pPr>
    </w:p>
    <w:p>
      <w:pPr>
        <w:spacing w:before="156" w:beforeLines="50" w:after="156" w:afterLines="50" w:line="240" w:lineRule="auto"/>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法定代表人/单位负责人或代理人（签字或加盖个人名章）：</w:t>
      </w:r>
      <w:r>
        <w:rPr>
          <w:rFonts w:hint="eastAsia"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hAnsi="宋体"/>
          <w:sz w:val="24"/>
        </w:rPr>
      </w:pPr>
      <w:r>
        <w:rPr>
          <w:rFonts w:hint="eastAsia" w:ascii="宋体" w:hAnsi="宋体" w:cs="宋体"/>
          <w:bCs/>
          <w:sz w:val="24"/>
        </w:rPr>
        <w:t>日    期：</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日。</w:t>
      </w:r>
      <w:r>
        <w:rPr>
          <w:rFonts w:hint="eastAsia" w:ascii="华文中宋" w:hAnsi="华文中宋" w:eastAsia="华文中宋"/>
          <w:b/>
          <w:sz w:val="32"/>
          <w:szCs w:val="32"/>
        </w:rPr>
        <w:br w:type="page"/>
      </w:r>
      <w:bookmarkStart w:id="165" w:name="_Toc217446088"/>
    </w:p>
    <w:p>
      <w:pPr>
        <w:spacing w:line="360" w:lineRule="auto"/>
        <w:rPr>
          <w:rFonts w:ascii="华文中宋" w:hAnsi="华文中宋" w:eastAsia="华文中宋"/>
          <w:b/>
          <w:sz w:val="32"/>
          <w:szCs w:val="32"/>
        </w:rPr>
      </w:pPr>
      <w:r>
        <w:rPr>
          <w:rFonts w:hint="eastAsia" w:ascii="华文中宋" w:hAnsi="华文中宋" w:eastAsia="华文中宋"/>
          <w:b/>
          <w:sz w:val="32"/>
          <w:szCs w:val="32"/>
        </w:rPr>
        <w:t>格式</w:t>
      </w:r>
      <w:r>
        <w:rPr>
          <w:rFonts w:ascii="华文中宋" w:hAnsi="华文中宋" w:eastAsia="华文中宋"/>
          <w:b/>
          <w:sz w:val="32"/>
          <w:szCs w:val="32"/>
        </w:rPr>
        <w:t>9</w:t>
      </w:r>
    </w:p>
    <w:p>
      <w:pPr>
        <w:widowControl/>
        <w:spacing w:line="360" w:lineRule="atLeast"/>
        <w:jc w:val="center"/>
        <w:outlineLvl w:val="1"/>
        <w:rPr>
          <w:rFonts w:ascii="黑体" w:eastAsia="黑体"/>
          <w:b/>
          <w:sz w:val="32"/>
          <w:szCs w:val="32"/>
        </w:rPr>
      </w:pPr>
      <w:r>
        <w:rPr>
          <w:rFonts w:hint="eastAsia" w:ascii="黑体" w:eastAsia="黑体"/>
          <w:b/>
          <w:sz w:val="32"/>
          <w:szCs w:val="32"/>
        </w:rPr>
        <w:t>投标人基本情况表</w:t>
      </w:r>
      <w:bookmarkEnd w:id="165"/>
    </w:p>
    <w:tbl>
      <w:tblPr>
        <w:tblStyle w:val="39"/>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344"/>
        <w:gridCol w:w="506"/>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投标人名称</w:t>
            </w:r>
          </w:p>
        </w:tc>
        <w:tc>
          <w:tcPr>
            <w:tcW w:w="6693"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注册地址</w:t>
            </w:r>
          </w:p>
        </w:tc>
        <w:tc>
          <w:tcPr>
            <w:tcW w:w="3443" w:type="dxa"/>
            <w:gridSpan w:val="3"/>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jc w:val="left"/>
              <w:outlineLvl w:val="1"/>
              <w:rPr>
                <w:rFonts w:ascii="宋体"/>
                <w:sz w:val="24"/>
              </w:rPr>
            </w:pPr>
            <w:r>
              <w:rPr>
                <w:rFonts w:hint="eastAsia" w:ascii="宋体"/>
                <w:sz w:val="24"/>
              </w:rPr>
              <w:t>邮政编码</w:t>
            </w:r>
          </w:p>
        </w:tc>
        <w:tc>
          <w:tcPr>
            <w:tcW w:w="1930"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sz w:val="24"/>
              </w:rPr>
            </w:pPr>
            <w:r>
              <w:rPr>
                <w:rFonts w:hint="eastAsia" w:ascii="宋体"/>
                <w:sz w:val="24"/>
              </w:rPr>
              <w:t>联系方式</w:t>
            </w:r>
          </w:p>
        </w:tc>
        <w:tc>
          <w:tcPr>
            <w:tcW w:w="957" w:type="dxa"/>
            <w:vAlign w:val="center"/>
          </w:tcPr>
          <w:p>
            <w:pPr>
              <w:widowControl/>
              <w:spacing w:line="360" w:lineRule="atLeast"/>
              <w:jc w:val="left"/>
              <w:outlineLvl w:val="1"/>
              <w:rPr>
                <w:rFonts w:ascii="宋体"/>
                <w:sz w:val="24"/>
              </w:rPr>
            </w:pPr>
            <w:r>
              <w:rPr>
                <w:rFonts w:hint="eastAsia" w:ascii="宋体"/>
                <w:sz w:val="24"/>
              </w:rPr>
              <w:t>联系人</w:t>
            </w:r>
          </w:p>
        </w:tc>
        <w:tc>
          <w:tcPr>
            <w:tcW w:w="2486" w:type="dxa"/>
            <w:gridSpan w:val="2"/>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r>
              <w:rPr>
                <w:rFonts w:hint="eastAsia" w:ascii="宋体"/>
                <w:sz w:val="24"/>
              </w:rPr>
              <w:t>电话</w:t>
            </w:r>
          </w:p>
        </w:tc>
        <w:tc>
          <w:tcPr>
            <w:tcW w:w="1930"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tc>
        <w:tc>
          <w:tcPr>
            <w:tcW w:w="957" w:type="dxa"/>
            <w:vAlign w:val="center"/>
          </w:tcPr>
          <w:p>
            <w:pPr>
              <w:widowControl/>
              <w:spacing w:line="360" w:lineRule="atLeast"/>
              <w:jc w:val="left"/>
              <w:outlineLvl w:val="1"/>
              <w:rPr>
                <w:rFonts w:ascii="宋体"/>
                <w:sz w:val="24"/>
              </w:rPr>
            </w:pPr>
            <w:r>
              <w:rPr>
                <w:rFonts w:hint="eastAsia" w:ascii="宋体"/>
                <w:sz w:val="24"/>
              </w:rPr>
              <w:t>传真</w:t>
            </w:r>
          </w:p>
        </w:tc>
        <w:tc>
          <w:tcPr>
            <w:tcW w:w="2486" w:type="dxa"/>
            <w:gridSpan w:val="2"/>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r>
              <w:rPr>
                <w:rFonts w:hint="eastAsia" w:ascii="宋体"/>
                <w:sz w:val="24"/>
              </w:rPr>
              <w:t>网址</w:t>
            </w:r>
          </w:p>
        </w:tc>
        <w:tc>
          <w:tcPr>
            <w:tcW w:w="1930"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组织结构</w:t>
            </w:r>
          </w:p>
        </w:tc>
        <w:tc>
          <w:tcPr>
            <w:tcW w:w="6693"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法定代表人/单位负责人</w:t>
            </w:r>
          </w:p>
        </w:tc>
        <w:tc>
          <w:tcPr>
            <w:tcW w:w="957" w:type="dxa"/>
            <w:vAlign w:val="center"/>
          </w:tcPr>
          <w:p>
            <w:pPr>
              <w:widowControl/>
              <w:spacing w:line="360" w:lineRule="atLeast"/>
              <w:jc w:val="left"/>
              <w:outlineLvl w:val="1"/>
              <w:rPr>
                <w:rFonts w:ascii="宋体"/>
                <w:sz w:val="24"/>
              </w:rPr>
            </w:pPr>
            <w:r>
              <w:rPr>
                <w:rFonts w:hint="eastAsia" w:ascii="宋体"/>
                <w:sz w:val="24"/>
              </w:rPr>
              <w:t>姓名</w:t>
            </w:r>
          </w:p>
        </w:tc>
        <w:tc>
          <w:tcPr>
            <w:tcW w:w="1239" w:type="dxa"/>
            <w:vAlign w:val="center"/>
          </w:tcPr>
          <w:p>
            <w:pPr>
              <w:widowControl/>
              <w:spacing w:line="360" w:lineRule="atLeast"/>
              <w:ind w:firstLine="470" w:firstLineChars="196"/>
              <w:jc w:val="left"/>
              <w:outlineLvl w:val="1"/>
              <w:rPr>
                <w:rFonts w:ascii="宋体"/>
                <w:sz w:val="24"/>
              </w:rPr>
            </w:pPr>
          </w:p>
        </w:tc>
        <w:tc>
          <w:tcPr>
            <w:tcW w:w="1247" w:type="dxa"/>
            <w:vAlign w:val="center"/>
          </w:tcPr>
          <w:p>
            <w:pPr>
              <w:widowControl/>
              <w:spacing w:line="360" w:lineRule="atLeast"/>
              <w:jc w:val="left"/>
              <w:outlineLvl w:val="1"/>
              <w:rPr>
                <w:rFonts w:ascii="宋体"/>
                <w:sz w:val="24"/>
              </w:rPr>
            </w:pPr>
            <w:r>
              <w:rPr>
                <w:rFonts w:hint="eastAsia" w:ascii="宋体"/>
                <w:sz w:val="24"/>
              </w:rPr>
              <w:t>技术职称</w:t>
            </w:r>
          </w:p>
        </w:tc>
        <w:tc>
          <w:tcPr>
            <w:tcW w:w="1320" w:type="dxa"/>
            <w:vAlign w:val="center"/>
          </w:tcPr>
          <w:p>
            <w:pPr>
              <w:widowControl/>
              <w:spacing w:line="360" w:lineRule="atLeast"/>
              <w:ind w:firstLine="470" w:firstLineChars="196"/>
              <w:jc w:val="left"/>
              <w:outlineLvl w:val="1"/>
              <w:rPr>
                <w:rFonts w:ascii="宋体"/>
                <w:sz w:val="24"/>
              </w:rPr>
            </w:pPr>
          </w:p>
        </w:tc>
        <w:tc>
          <w:tcPr>
            <w:tcW w:w="850" w:type="dxa"/>
            <w:gridSpan w:val="2"/>
            <w:vAlign w:val="center"/>
          </w:tcPr>
          <w:p>
            <w:pPr>
              <w:widowControl/>
              <w:spacing w:line="360" w:lineRule="atLeast"/>
              <w:jc w:val="left"/>
              <w:outlineLvl w:val="1"/>
              <w:rPr>
                <w:rFonts w:ascii="宋体"/>
                <w:sz w:val="24"/>
              </w:rPr>
            </w:pPr>
            <w:r>
              <w:rPr>
                <w:rFonts w:hint="eastAsia" w:ascii="宋体"/>
                <w:sz w:val="24"/>
              </w:rPr>
              <w:t>电话</w:t>
            </w:r>
          </w:p>
        </w:tc>
        <w:tc>
          <w:tcPr>
            <w:tcW w:w="1080" w:type="dxa"/>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技术负责人</w:t>
            </w:r>
          </w:p>
        </w:tc>
        <w:tc>
          <w:tcPr>
            <w:tcW w:w="957" w:type="dxa"/>
            <w:vAlign w:val="center"/>
          </w:tcPr>
          <w:p>
            <w:pPr>
              <w:widowControl/>
              <w:spacing w:line="360" w:lineRule="atLeast"/>
              <w:jc w:val="left"/>
              <w:outlineLvl w:val="1"/>
              <w:rPr>
                <w:rFonts w:ascii="宋体"/>
                <w:sz w:val="24"/>
              </w:rPr>
            </w:pPr>
            <w:r>
              <w:rPr>
                <w:rFonts w:hint="eastAsia" w:ascii="宋体"/>
                <w:sz w:val="24"/>
              </w:rPr>
              <w:t>姓名</w:t>
            </w:r>
          </w:p>
        </w:tc>
        <w:tc>
          <w:tcPr>
            <w:tcW w:w="1239" w:type="dxa"/>
            <w:vAlign w:val="center"/>
          </w:tcPr>
          <w:p>
            <w:pPr>
              <w:widowControl/>
              <w:spacing w:line="360" w:lineRule="atLeast"/>
              <w:ind w:firstLine="470" w:firstLineChars="196"/>
              <w:jc w:val="left"/>
              <w:outlineLvl w:val="1"/>
              <w:rPr>
                <w:rFonts w:ascii="宋体"/>
                <w:sz w:val="24"/>
              </w:rPr>
            </w:pPr>
          </w:p>
        </w:tc>
        <w:tc>
          <w:tcPr>
            <w:tcW w:w="1247" w:type="dxa"/>
            <w:vAlign w:val="center"/>
          </w:tcPr>
          <w:p>
            <w:pPr>
              <w:widowControl/>
              <w:spacing w:line="360" w:lineRule="atLeast"/>
              <w:jc w:val="left"/>
              <w:outlineLvl w:val="1"/>
              <w:rPr>
                <w:rFonts w:ascii="宋体"/>
                <w:sz w:val="24"/>
              </w:rPr>
            </w:pPr>
            <w:r>
              <w:rPr>
                <w:rFonts w:hint="eastAsia" w:ascii="宋体"/>
                <w:sz w:val="24"/>
              </w:rPr>
              <w:t>技术职称</w:t>
            </w:r>
          </w:p>
        </w:tc>
        <w:tc>
          <w:tcPr>
            <w:tcW w:w="1320" w:type="dxa"/>
            <w:vAlign w:val="center"/>
          </w:tcPr>
          <w:p>
            <w:pPr>
              <w:widowControl/>
              <w:spacing w:line="360" w:lineRule="atLeast"/>
              <w:ind w:firstLine="470" w:firstLineChars="196"/>
              <w:jc w:val="left"/>
              <w:outlineLvl w:val="1"/>
              <w:rPr>
                <w:rFonts w:ascii="宋体"/>
                <w:sz w:val="24"/>
              </w:rPr>
            </w:pPr>
          </w:p>
        </w:tc>
        <w:tc>
          <w:tcPr>
            <w:tcW w:w="850" w:type="dxa"/>
            <w:gridSpan w:val="2"/>
            <w:vAlign w:val="center"/>
          </w:tcPr>
          <w:p>
            <w:pPr>
              <w:widowControl/>
              <w:spacing w:line="360" w:lineRule="atLeast"/>
              <w:jc w:val="left"/>
              <w:outlineLvl w:val="1"/>
              <w:rPr>
                <w:rFonts w:ascii="宋体"/>
                <w:sz w:val="24"/>
              </w:rPr>
            </w:pPr>
            <w:r>
              <w:rPr>
                <w:rFonts w:hint="eastAsia" w:ascii="宋体"/>
                <w:sz w:val="24"/>
              </w:rPr>
              <w:t>电话</w:t>
            </w:r>
          </w:p>
        </w:tc>
        <w:tc>
          <w:tcPr>
            <w:tcW w:w="1080" w:type="dxa"/>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成立时间</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4497" w:type="dxa"/>
            <w:gridSpan w:val="5"/>
            <w:vAlign w:val="center"/>
          </w:tcPr>
          <w:p>
            <w:pPr>
              <w:widowControl/>
              <w:spacing w:line="360" w:lineRule="atLeast"/>
              <w:jc w:val="left"/>
              <w:outlineLvl w:val="1"/>
              <w:rPr>
                <w:rFonts w:ascii="宋体"/>
                <w:sz w:val="24"/>
              </w:rPr>
            </w:pPr>
            <w:r>
              <w:rPr>
                <w:rFonts w:hint="eastAsia" w:asci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restart"/>
            <w:vAlign w:val="center"/>
          </w:tcPr>
          <w:p>
            <w:pPr>
              <w:widowControl/>
              <w:spacing w:line="360" w:lineRule="atLeast"/>
              <w:ind w:firstLine="470" w:firstLineChars="196"/>
              <w:jc w:val="left"/>
              <w:outlineLvl w:val="1"/>
              <w:rPr>
                <w:rFonts w:ascii="宋体"/>
                <w:sz w:val="24"/>
              </w:rPr>
            </w:pPr>
            <w:r>
              <w:rPr>
                <w:rFonts w:hint="eastAsia" w:ascii="宋体"/>
                <w:sz w:val="24"/>
              </w:rPr>
              <w:t>其中</w:t>
            </w:r>
          </w:p>
        </w:tc>
        <w:tc>
          <w:tcPr>
            <w:tcW w:w="1664" w:type="dxa"/>
            <w:gridSpan w:val="2"/>
            <w:vAlign w:val="center"/>
          </w:tcPr>
          <w:p>
            <w:pPr>
              <w:widowControl/>
              <w:spacing w:line="360" w:lineRule="atLeast"/>
              <w:jc w:val="left"/>
              <w:outlineLvl w:val="1"/>
              <w:rPr>
                <w:rFonts w:ascii="宋体"/>
                <w:sz w:val="24"/>
              </w:rPr>
            </w:pPr>
            <w:r>
              <w:rPr>
                <w:rFonts w:hint="eastAsia" w:ascii="宋体"/>
                <w:sz w:val="24"/>
              </w:rPr>
              <w:t>项目经理</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营业执照号</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664" w:type="dxa"/>
            <w:gridSpan w:val="2"/>
            <w:vAlign w:val="center"/>
          </w:tcPr>
          <w:p>
            <w:pPr>
              <w:widowControl/>
              <w:spacing w:line="360" w:lineRule="atLeast"/>
              <w:jc w:val="left"/>
              <w:outlineLvl w:val="1"/>
              <w:rPr>
                <w:rFonts w:ascii="宋体"/>
                <w:sz w:val="24"/>
              </w:rPr>
            </w:pPr>
            <w:r>
              <w:rPr>
                <w:rFonts w:hint="eastAsia" w:ascii="宋体"/>
                <w:sz w:val="24"/>
              </w:rPr>
              <w:t>高级职称人员</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注册资金</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664" w:type="dxa"/>
            <w:gridSpan w:val="2"/>
            <w:vAlign w:val="center"/>
          </w:tcPr>
          <w:p>
            <w:pPr>
              <w:widowControl/>
              <w:spacing w:line="360" w:lineRule="atLeast"/>
              <w:jc w:val="left"/>
              <w:outlineLvl w:val="1"/>
              <w:rPr>
                <w:rFonts w:ascii="宋体"/>
                <w:sz w:val="24"/>
              </w:rPr>
            </w:pPr>
            <w:r>
              <w:rPr>
                <w:rFonts w:hint="eastAsia" w:ascii="宋体"/>
                <w:sz w:val="24"/>
              </w:rPr>
              <w:t>中级职称人员</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开户银行</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664" w:type="dxa"/>
            <w:gridSpan w:val="2"/>
            <w:vAlign w:val="center"/>
          </w:tcPr>
          <w:p>
            <w:pPr>
              <w:widowControl/>
              <w:spacing w:line="360" w:lineRule="atLeast"/>
              <w:jc w:val="left"/>
              <w:outlineLvl w:val="1"/>
              <w:rPr>
                <w:rFonts w:ascii="宋体"/>
                <w:sz w:val="24"/>
              </w:rPr>
            </w:pPr>
            <w:r>
              <w:rPr>
                <w:rFonts w:hint="eastAsia" w:ascii="宋体"/>
                <w:sz w:val="24"/>
              </w:rPr>
              <w:t>初级职称人员</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sz w:val="24"/>
              </w:rPr>
            </w:pPr>
            <w:r>
              <w:rPr>
                <w:rFonts w:hint="eastAsia" w:ascii="宋体"/>
                <w:sz w:val="24"/>
              </w:rPr>
              <w:t>账号</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664" w:type="dxa"/>
            <w:gridSpan w:val="2"/>
            <w:vAlign w:val="center"/>
          </w:tcPr>
          <w:p>
            <w:pPr>
              <w:widowControl/>
              <w:spacing w:line="360" w:lineRule="atLeast"/>
              <w:ind w:firstLine="470" w:firstLineChars="196"/>
              <w:jc w:val="left"/>
              <w:outlineLvl w:val="1"/>
              <w:rPr>
                <w:rFonts w:ascii="宋体"/>
                <w:sz w:val="24"/>
              </w:rPr>
            </w:pPr>
            <w:r>
              <w:rPr>
                <w:rFonts w:hint="eastAsia" w:ascii="宋体"/>
                <w:sz w:val="24"/>
              </w:rPr>
              <w:t>技工</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87" w:hRule="atLeast"/>
        </w:trPr>
        <w:tc>
          <w:tcPr>
            <w:tcW w:w="1522" w:type="dxa"/>
            <w:vAlign w:val="center"/>
          </w:tcPr>
          <w:p>
            <w:pPr>
              <w:widowControl/>
              <w:spacing w:line="360" w:lineRule="atLeast"/>
              <w:jc w:val="left"/>
              <w:outlineLvl w:val="1"/>
              <w:rPr>
                <w:rFonts w:ascii="宋体"/>
                <w:sz w:val="24"/>
              </w:rPr>
            </w:pPr>
            <w:r>
              <w:rPr>
                <w:rFonts w:hint="eastAsia" w:ascii="宋体"/>
                <w:sz w:val="24"/>
              </w:rPr>
              <w:t>经营范围</w:t>
            </w:r>
          </w:p>
        </w:tc>
        <w:tc>
          <w:tcPr>
            <w:tcW w:w="6693"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sz w:val="24"/>
              </w:rPr>
            </w:pPr>
            <w:r>
              <w:rPr>
                <w:rFonts w:hint="eastAsia" w:ascii="宋体"/>
                <w:sz w:val="24"/>
              </w:rPr>
              <w:t>备注</w:t>
            </w:r>
          </w:p>
        </w:tc>
        <w:tc>
          <w:tcPr>
            <w:tcW w:w="6693" w:type="dxa"/>
            <w:gridSpan w:val="7"/>
          </w:tcPr>
          <w:p>
            <w:pPr>
              <w:widowControl/>
              <w:spacing w:line="360" w:lineRule="atLeast"/>
              <w:ind w:firstLine="470" w:firstLineChars="196"/>
              <w:jc w:val="left"/>
              <w:outlineLvl w:val="1"/>
              <w:rPr>
                <w:rFonts w:ascii="宋体"/>
                <w:sz w:val="24"/>
              </w:rPr>
            </w:pPr>
          </w:p>
        </w:tc>
      </w:tr>
    </w:tbl>
    <w:p>
      <w:pPr>
        <w:spacing w:before="156" w:beforeLines="50" w:after="156" w:afterLines="50" w:line="240" w:lineRule="auto"/>
        <w:rPr>
          <w:rFonts w:ascii="宋体" w:hAnsi="宋体" w:cs="宋体"/>
          <w:bCs/>
          <w:sz w:val="24"/>
        </w:rPr>
      </w:pPr>
      <w:bookmarkStart w:id="166" w:name="_Toc217446089"/>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法定代表人/单位负责人或代理人（签字或加盖个人名章）：</w:t>
      </w:r>
      <w:r>
        <w:rPr>
          <w:rFonts w:hint="eastAsia"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日    期：</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日。</w:t>
      </w:r>
    </w:p>
    <w:p>
      <w:pPr>
        <w:spacing w:before="156" w:beforeLines="50" w:after="156" w:afterLines="50" w:line="240" w:lineRule="auto"/>
        <w:rPr>
          <w:rFonts w:ascii="宋体" w:hAnsi="宋体" w:cs="宋体"/>
          <w:bCs/>
          <w:sz w:val="24"/>
        </w:rPr>
      </w:pPr>
    </w:p>
    <w:p>
      <w:pPr>
        <w:spacing w:before="156" w:beforeLines="50" w:after="156" w:afterLines="50" w:line="240" w:lineRule="auto"/>
        <w:rPr>
          <w:rFonts w:ascii="华文中宋" w:hAnsi="华文中宋" w:eastAsia="华文中宋"/>
          <w:b/>
          <w:sz w:val="32"/>
          <w:szCs w:val="32"/>
        </w:rPr>
      </w:pPr>
      <w:r>
        <w:rPr>
          <w:rFonts w:hint="eastAsia" w:ascii="华文中宋" w:hAnsi="华文中宋" w:eastAsia="华文中宋"/>
          <w:b/>
          <w:sz w:val="32"/>
          <w:szCs w:val="32"/>
        </w:rPr>
        <w:t>格式</w:t>
      </w:r>
      <w:r>
        <w:rPr>
          <w:rFonts w:ascii="华文中宋" w:hAnsi="华文中宋" w:eastAsia="华文中宋"/>
          <w:b/>
          <w:sz w:val="32"/>
          <w:szCs w:val="32"/>
        </w:rPr>
        <w:t>10</w:t>
      </w:r>
    </w:p>
    <w:p>
      <w:pPr>
        <w:widowControl/>
        <w:spacing w:line="360" w:lineRule="atLeast"/>
        <w:jc w:val="center"/>
        <w:outlineLvl w:val="1"/>
        <w:rPr>
          <w:rFonts w:ascii="黑体" w:eastAsia="黑体"/>
          <w:b/>
          <w:sz w:val="32"/>
          <w:szCs w:val="32"/>
        </w:rPr>
      </w:pPr>
      <w:r>
        <w:rPr>
          <w:rFonts w:hint="eastAsia" w:ascii="黑体" w:eastAsia="黑体"/>
          <w:b/>
          <w:sz w:val="32"/>
          <w:szCs w:val="32"/>
        </w:rPr>
        <w:t>类似项目业绩一览表</w:t>
      </w:r>
      <w:bookmarkEnd w:id="166"/>
    </w:p>
    <w:tbl>
      <w:tblPr>
        <w:tblStyle w:val="39"/>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jc w:val="left"/>
              <w:outlineLvl w:val="1"/>
              <w:rPr>
                <w:rFonts w:ascii="宋体"/>
                <w:sz w:val="24"/>
              </w:rPr>
            </w:pPr>
            <w:r>
              <w:rPr>
                <w:rFonts w:hint="eastAsia" w:ascii="宋体"/>
                <w:sz w:val="24"/>
              </w:rPr>
              <w:t>年份</w:t>
            </w:r>
          </w:p>
        </w:tc>
        <w:tc>
          <w:tcPr>
            <w:tcW w:w="1440" w:type="dxa"/>
            <w:vAlign w:val="center"/>
          </w:tcPr>
          <w:p>
            <w:pPr>
              <w:widowControl/>
              <w:spacing w:line="360" w:lineRule="atLeast"/>
              <w:jc w:val="left"/>
              <w:outlineLvl w:val="1"/>
              <w:rPr>
                <w:rFonts w:ascii="宋体"/>
                <w:sz w:val="24"/>
              </w:rPr>
            </w:pPr>
            <w:r>
              <w:rPr>
                <w:rFonts w:hint="eastAsia" w:ascii="宋体"/>
                <w:sz w:val="24"/>
              </w:rPr>
              <w:t>用户名称</w:t>
            </w:r>
          </w:p>
        </w:tc>
        <w:tc>
          <w:tcPr>
            <w:tcW w:w="1320" w:type="dxa"/>
            <w:vAlign w:val="center"/>
          </w:tcPr>
          <w:p>
            <w:pPr>
              <w:widowControl/>
              <w:spacing w:line="360" w:lineRule="atLeast"/>
              <w:jc w:val="left"/>
              <w:outlineLvl w:val="1"/>
              <w:rPr>
                <w:rFonts w:ascii="宋体"/>
                <w:sz w:val="24"/>
              </w:rPr>
            </w:pPr>
            <w:r>
              <w:rPr>
                <w:rFonts w:hint="eastAsia" w:ascii="宋体"/>
                <w:sz w:val="24"/>
              </w:rPr>
              <w:t>项目名称</w:t>
            </w:r>
          </w:p>
        </w:tc>
        <w:tc>
          <w:tcPr>
            <w:tcW w:w="1161" w:type="dxa"/>
            <w:vAlign w:val="center"/>
          </w:tcPr>
          <w:p>
            <w:pPr>
              <w:widowControl/>
              <w:spacing w:line="360" w:lineRule="atLeast"/>
              <w:jc w:val="left"/>
              <w:outlineLvl w:val="1"/>
              <w:rPr>
                <w:rFonts w:ascii="宋体"/>
                <w:sz w:val="24"/>
              </w:rPr>
            </w:pPr>
            <w:r>
              <w:rPr>
                <w:rFonts w:hint="eastAsia" w:ascii="宋体"/>
                <w:sz w:val="24"/>
              </w:rPr>
              <w:t>完成时间</w:t>
            </w:r>
          </w:p>
        </w:tc>
        <w:tc>
          <w:tcPr>
            <w:tcW w:w="1260" w:type="dxa"/>
            <w:vAlign w:val="center"/>
          </w:tcPr>
          <w:p>
            <w:pPr>
              <w:widowControl/>
              <w:spacing w:line="360" w:lineRule="atLeast"/>
              <w:jc w:val="left"/>
              <w:outlineLvl w:val="1"/>
              <w:rPr>
                <w:rFonts w:ascii="宋体"/>
                <w:sz w:val="24"/>
              </w:rPr>
            </w:pPr>
            <w:r>
              <w:rPr>
                <w:rFonts w:hint="eastAsia" w:ascii="宋体"/>
                <w:sz w:val="24"/>
              </w:rPr>
              <w:t>合同金额</w:t>
            </w:r>
          </w:p>
        </w:tc>
        <w:tc>
          <w:tcPr>
            <w:tcW w:w="1630" w:type="dxa"/>
            <w:gridSpan w:val="2"/>
            <w:vAlign w:val="center"/>
          </w:tcPr>
          <w:p>
            <w:pPr>
              <w:widowControl/>
              <w:spacing w:line="360" w:lineRule="atLeast"/>
              <w:jc w:val="left"/>
              <w:outlineLvl w:val="1"/>
              <w:rPr>
                <w:rFonts w:ascii="宋体"/>
                <w:sz w:val="24"/>
              </w:rPr>
            </w:pPr>
            <w:r>
              <w:rPr>
                <w:rFonts w:hint="eastAsia" w:ascii="宋体"/>
                <w:sz w:val="24"/>
              </w:rPr>
              <w:t>是否通过验收</w:t>
            </w:r>
          </w:p>
        </w:tc>
        <w:tc>
          <w:tcPr>
            <w:tcW w:w="992" w:type="dxa"/>
            <w:vAlign w:val="center"/>
          </w:tcPr>
          <w:p>
            <w:pPr>
              <w:widowControl/>
              <w:spacing w:line="360" w:lineRule="atLeast"/>
              <w:jc w:val="left"/>
              <w:outlineLvl w:val="1"/>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1630" w:type="dxa"/>
            <w:gridSpan w:val="2"/>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1630" w:type="dxa"/>
            <w:gridSpan w:val="2"/>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1630" w:type="dxa"/>
            <w:gridSpan w:val="2"/>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1630" w:type="dxa"/>
            <w:gridSpan w:val="2"/>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bl>
    <w:p>
      <w:pPr>
        <w:spacing w:line="400" w:lineRule="exact"/>
        <w:rPr>
          <w:rFonts w:hAnsi="宋体"/>
          <w:sz w:val="24"/>
        </w:rPr>
      </w:pPr>
      <w:r>
        <w:rPr>
          <w:rFonts w:hint="eastAsia" w:hAnsi="宋体"/>
          <w:sz w:val="24"/>
        </w:rPr>
        <w:t>注：以上业绩需提供招标文件第七章《综合评分明细表》要求的有关书面证明材料。</w:t>
      </w:r>
    </w:p>
    <w:p>
      <w:pPr>
        <w:spacing w:before="156" w:beforeLines="50" w:after="156" w:afterLines="50" w:line="240" w:lineRule="auto"/>
        <w:rPr>
          <w:rFonts w:ascii="宋体" w:hAnsi="宋体" w:cs="宋体"/>
          <w:bCs/>
          <w:sz w:val="24"/>
        </w:rPr>
      </w:pPr>
      <w:bookmarkStart w:id="167" w:name="_Toc217446090"/>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法定代表人/单位负责人或代理人（签字或加盖个人名章）：</w:t>
      </w:r>
      <w:r>
        <w:rPr>
          <w:rFonts w:hint="eastAsia" w:ascii="宋体" w:hAnsi="宋体" w:cs="宋体"/>
          <w:bCs/>
          <w:sz w:val="24"/>
          <w:u w:val="single"/>
        </w:rPr>
        <w:t xml:space="preserve">            </w:t>
      </w:r>
      <w:r>
        <w:rPr>
          <w:rFonts w:hint="eastAsia" w:ascii="宋体" w:hAnsi="宋体" w:cs="宋体"/>
          <w:bCs/>
          <w:sz w:val="24"/>
        </w:rPr>
        <w:t>。</w:t>
      </w:r>
    </w:p>
    <w:p>
      <w:pPr>
        <w:spacing w:line="400" w:lineRule="exact"/>
        <w:rPr>
          <w:rFonts w:hAnsi="宋体"/>
          <w:sz w:val="24"/>
        </w:rPr>
      </w:pPr>
      <w:r>
        <w:rPr>
          <w:rFonts w:hint="eastAsia" w:ascii="宋体" w:hAnsi="宋体" w:cs="宋体"/>
          <w:bCs/>
          <w:sz w:val="24"/>
        </w:rPr>
        <w:t>日    期：</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日。</w:t>
      </w:r>
    </w:p>
    <w:p>
      <w:pPr>
        <w:spacing w:line="360" w:lineRule="auto"/>
        <w:rPr>
          <w:rFonts w:ascii="华文中宋" w:hAnsi="华文中宋" w:eastAsia="华文中宋"/>
          <w:b/>
          <w:sz w:val="32"/>
          <w:szCs w:val="32"/>
        </w:rPr>
      </w:pPr>
      <w:r>
        <w:rPr>
          <w:rFonts w:hint="eastAsia" w:hAnsi="宋体"/>
          <w:sz w:val="24"/>
        </w:rPr>
        <w:br w:type="page"/>
      </w:r>
      <w:r>
        <w:rPr>
          <w:rFonts w:hint="eastAsia" w:ascii="华文中宋" w:hAnsi="华文中宋" w:eastAsia="华文中宋"/>
          <w:b/>
          <w:sz w:val="32"/>
          <w:szCs w:val="32"/>
        </w:rPr>
        <w:t>格式1</w:t>
      </w:r>
      <w:r>
        <w:rPr>
          <w:rFonts w:ascii="华文中宋" w:hAnsi="华文中宋" w:eastAsia="华文中宋"/>
          <w:b/>
          <w:sz w:val="32"/>
          <w:szCs w:val="32"/>
        </w:rPr>
        <w:t>1</w:t>
      </w:r>
      <w:r>
        <w:rPr>
          <w:rFonts w:hint="eastAsia" w:ascii="华文中宋" w:hAnsi="华文中宋" w:eastAsia="华文中宋"/>
          <w:b/>
          <w:sz w:val="32"/>
          <w:szCs w:val="32"/>
        </w:rPr>
        <w:t xml:space="preserve"> </w:t>
      </w:r>
    </w:p>
    <w:bookmarkEnd w:id="167"/>
    <w:p>
      <w:pPr>
        <w:widowControl/>
        <w:spacing w:line="360" w:lineRule="atLeast"/>
        <w:jc w:val="center"/>
        <w:outlineLvl w:val="1"/>
        <w:rPr>
          <w:rFonts w:ascii="黑体" w:eastAsia="黑体"/>
          <w:b/>
          <w:sz w:val="32"/>
          <w:szCs w:val="32"/>
        </w:rPr>
      </w:pPr>
      <w:r>
        <w:rPr>
          <w:rFonts w:hint="eastAsia" w:ascii="黑体" w:eastAsia="黑体"/>
          <w:b/>
          <w:sz w:val="32"/>
          <w:szCs w:val="32"/>
        </w:rPr>
        <w:t>技术服务应答表</w:t>
      </w:r>
    </w:p>
    <w:p>
      <w:pPr>
        <w:spacing w:line="400" w:lineRule="exact"/>
        <w:ind w:firstLine="480" w:firstLineChars="200"/>
        <w:rPr>
          <w:rFonts w:hAnsi="宋体"/>
          <w:sz w:val="24"/>
        </w:rPr>
      </w:pPr>
      <w:r>
        <w:rPr>
          <w:rFonts w:hint="eastAsia" w:hAnsi="宋体"/>
          <w:sz w:val="24"/>
        </w:rPr>
        <w:t>招标编号：</w:t>
      </w:r>
    </w:p>
    <w:tbl>
      <w:tblPr>
        <w:tblStyle w:val="39"/>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36"/>
        <w:gridCol w:w="3194"/>
        <w:gridCol w:w="17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outlineLvl w:val="1"/>
              <w:rPr>
                <w:rFonts w:ascii="宋体"/>
                <w:b/>
                <w:sz w:val="24"/>
              </w:rPr>
            </w:pPr>
            <w:r>
              <w:rPr>
                <w:rFonts w:hint="eastAsia" w:ascii="宋体"/>
                <w:b/>
                <w:sz w:val="24"/>
              </w:rPr>
              <w:t>序号</w:t>
            </w:r>
          </w:p>
        </w:tc>
        <w:tc>
          <w:tcPr>
            <w:tcW w:w="1436" w:type="dxa"/>
          </w:tcPr>
          <w:p>
            <w:pPr>
              <w:widowControl/>
              <w:spacing w:line="360" w:lineRule="atLeast"/>
              <w:jc w:val="center"/>
              <w:outlineLvl w:val="1"/>
              <w:rPr>
                <w:rFonts w:ascii="宋体"/>
                <w:b/>
                <w:sz w:val="24"/>
              </w:rPr>
            </w:pPr>
            <w:r>
              <w:rPr>
                <w:rFonts w:hint="eastAsia" w:ascii="宋体"/>
                <w:b/>
                <w:sz w:val="24"/>
              </w:rPr>
              <w:t>条目号</w:t>
            </w:r>
          </w:p>
        </w:tc>
        <w:tc>
          <w:tcPr>
            <w:tcW w:w="3194" w:type="dxa"/>
            <w:vAlign w:val="center"/>
          </w:tcPr>
          <w:p>
            <w:pPr>
              <w:widowControl/>
              <w:spacing w:line="360" w:lineRule="atLeast"/>
              <w:jc w:val="center"/>
              <w:outlineLvl w:val="1"/>
              <w:rPr>
                <w:rFonts w:ascii="宋体"/>
                <w:b/>
                <w:sz w:val="24"/>
              </w:rPr>
            </w:pPr>
            <w:r>
              <w:rPr>
                <w:rFonts w:hint="eastAsia" w:ascii="宋体"/>
                <w:b/>
                <w:sz w:val="24"/>
              </w:rPr>
              <w:t>招标文件要求</w:t>
            </w:r>
          </w:p>
        </w:tc>
        <w:tc>
          <w:tcPr>
            <w:tcW w:w="1745" w:type="dxa"/>
            <w:vAlign w:val="center"/>
          </w:tcPr>
          <w:p>
            <w:pPr>
              <w:widowControl/>
              <w:spacing w:line="360" w:lineRule="atLeast"/>
              <w:jc w:val="center"/>
              <w:outlineLvl w:val="1"/>
              <w:rPr>
                <w:rFonts w:ascii="宋体"/>
                <w:b/>
                <w:sz w:val="24"/>
              </w:rPr>
            </w:pPr>
            <w:r>
              <w:rPr>
                <w:rFonts w:hint="eastAsia" w:ascii="宋体"/>
                <w:b/>
                <w:sz w:val="24"/>
              </w:rPr>
              <w:t>投标应答</w:t>
            </w:r>
          </w:p>
        </w:tc>
        <w:tc>
          <w:tcPr>
            <w:tcW w:w="992" w:type="dxa"/>
            <w:vAlign w:val="center"/>
          </w:tcPr>
          <w:p>
            <w:pPr>
              <w:widowControl/>
              <w:spacing w:line="360" w:lineRule="atLeast"/>
              <w:jc w:val="center"/>
              <w:outlineLvl w:val="1"/>
              <w:rPr>
                <w:rFonts w:ascii="宋体"/>
                <w:b/>
                <w:sz w:val="24"/>
              </w:rPr>
            </w:pPr>
            <w:r>
              <w:rPr>
                <w:rFonts w:hint="eastAsia" w:asci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宋体"/>
                <w:sz w:val="24"/>
              </w:rPr>
            </w:pPr>
          </w:p>
        </w:tc>
        <w:tc>
          <w:tcPr>
            <w:tcW w:w="1436" w:type="dxa"/>
          </w:tcPr>
          <w:p>
            <w:pPr>
              <w:widowControl/>
              <w:spacing w:line="360" w:lineRule="atLeast"/>
              <w:jc w:val="center"/>
              <w:outlineLvl w:val="1"/>
              <w:rPr>
                <w:rFonts w:ascii="宋体"/>
                <w:b/>
                <w:sz w:val="24"/>
              </w:rPr>
            </w:pPr>
          </w:p>
        </w:tc>
        <w:tc>
          <w:tcPr>
            <w:tcW w:w="3194" w:type="dxa"/>
          </w:tcPr>
          <w:p>
            <w:pPr>
              <w:widowControl/>
              <w:spacing w:line="360" w:lineRule="atLeast"/>
              <w:ind w:firstLine="470" w:firstLineChars="196"/>
              <w:jc w:val="left"/>
              <w:outlineLvl w:val="1"/>
              <w:rPr>
                <w:rFonts w:ascii="宋体"/>
                <w:sz w:val="24"/>
              </w:rPr>
            </w:pPr>
          </w:p>
        </w:tc>
        <w:tc>
          <w:tcPr>
            <w:tcW w:w="1745" w:type="dxa"/>
          </w:tcPr>
          <w:p>
            <w:pPr>
              <w:widowControl/>
              <w:spacing w:line="360" w:lineRule="atLeast"/>
              <w:ind w:firstLine="470" w:firstLineChars="196"/>
              <w:jc w:val="left"/>
              <w:outlineLvl w:val="1"/>
              <w:rPr>
                <w:rFonts w:ascii="宋体"/>
                <w:sz w:val="24"/>
              </w:rPr>
            </w:pPr>
          </w:p>
        </w:tc>
        <w:tc>
          <w:tcPr>
            <w:tcW w:w="99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宋体"/>
                <w:sz w:val="24"/>
              </w:rPr>
            </w:pPr>
          </w:p>
        </w:tc>
        <w:tc>
          <w:tcPr>
            <w:tcW w:w="1436" w:type="dxa"/>
          </w:tcPr>
          <w:p>
            <w:pPr>
              <w:widowControl/>
              <w:spacing w:line="360" w:lineRule="atLeast"/>
              <w:ind w:firstLine="470" w:firstLineChars="196"/>
              <w:jc w:val="left"/>
              <w:outlineLvl w:val="1"/>
              <w:rPr>
                <w:rFonts w:ascii="宋体"/>
                <w:sz w:val="24"/>
              </w:rPr>
            </w:pPr>
          </w:p>
        </w:tc>
        <w:tc>
          <w:tcPr>
            <w:tcW w:w="3194" w:type="dxa"/>
          </w:tcPr>
          <w:p>
            <w:pPr>
              <w:widowControl/>
              <w:spacing w:line="360" w:lineRule="atLeast"/>
              <w:ind w:firstLine="470" w:firstLineChars="196"/>
              <w:jc w:val="left"/>
              <w:outlineLvl w:val="1"/>
              <w:rPr>
                <w:rFonts w:ascii="宋体"/>
                <w:sz w:val="24"/>
              </w:rPr>
            </w:pPr>
          </w:p>
        </w:tc>
        <w:tc>
          <w:tcPr>
            <w:tcW w:w="1745" w:type="dxa"/>
          </w:tcPr>
          <w:p>
            <w:pPr>
              <w:widowControl/>
              <w:spacing w:line="360" w:lineRule="atLeast"/>
              <w:ind w:firstLine="470" w:firstLineChars="196"/>
              <w:jc w:val="left"/>
              <w:outlineLvl w:val="1"/>
              <w:rPr>
                <w:rFonts w:ascii="宋体"/>
                <w:sz w:val="24"/>
              </w:rPr>
            </w:pPr>
          </w:p>
        </w:tc>
        <w:tc>
          <w:tcPr>
            <w:tcW w:w="99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宋体"/>
                <w:sz w:val="24"/>
              </w:rPr>
            </w:pPr>
          </w:p>
        </w:tc>
        <w:tc>
          <w:tcPr>
            <w:tcW w:w="1436" w:type="dxa"/>
          </w:tcPr>
          <w:p>
            <w:pPr>
              <w:widowControl/>
              <w:spacing w:line="360" w:lineRule="atLeast"/>
              <w:ind w:firstLine="470" w:firstLineChars="196"/>
              <w:jc w:val="left"/>
              <w:outlineLvl w:val="1"/>
              <w:rPr>
                <w:rFonts w:ascii="宋体"/>
                <w:sz w:val="24"/>
              </w:rPr>
            </w:pPr>
          </w:p>
        </w:tc>
        <w:tc>
          <w:tcPr>
            <w:tcW w:w="3194" w:type="dxa"/>
          </w:tcPr>
          <w:p>
            <w:pPr>
              <w:widowControl/>
              <w:spacing w:line="360" w:lineRule="atLeast"/>
              <w:ind w:firstLine="470" w:firstLineChars="196"/>
              <w:jc w:val="left"/>
              <w:outlineLvl w:val="1"/>
              <w:rPr>
                <w:rFonts w:ascii="宋体"/>
                <w:sz w:val="24"/>
              </w:rPr>
            </w:pPr>
          </w:p>
        </w:tc>
        <w:tc>
          <w:tcPr>
            <w:tcW w:w="1745" w:type="dxa"/>
          </w:tcPr>
          <w:p>
            <w:pPr>
              <w:widowControl/>
              <w:spacing w:line="360" w:lineRule="atLeast"/>
              <w:ind w:firstLine="470" w:firstLineChars="196"/>
              <w:jc w:val="left"/>
              <w:outlineLvl w:val="1"/>
              <w:rPr>
                <w:rFonts w:ascii="宋体"/>
                <w:sz w:val="24"/>
              </w:rPr>
            </w:pPr>
          </w:p>
        </w:tc>
        <w:tc>
          <w:tcPr>
            <w:tcW w:w="99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宋体"/>
                <w:sz w:val="24"/>
              </w:rPr>
            </w:pPr>
          </w:p>
        </w:tc>
        <w:tc>
          <w:tcPr>
            <w:tcW w:w="1436" w:type="dxa"/>
          </w:tcPr>
          <w:p>
            <w:pPr>
              <w:widowControl/>
              <w:spacing w:line="360" w:lineRule="atLeast"/>
              <w:ind w:firstLine="470" w:firstLineChars="196"/>
              <w:jc w:val="left"/>
              <w:outlineLvl w:val="1"/>
              <w:rPr>
                <w:rFonts w:ascii="宋体"/>
                <w:sz w:val="24"/>
              </w:rPr>
            </w:pPr>
          </w:p>
        </w:tc>
        <w:tc>
          <w:tcPr>
            <w:tcW w:w="3194" w:type="dxa"/>
          </w:tcPr>
          <w:p>
            <w:pPr>
              <w:widowControl/>
              <w:spacing w:line="360" w:lineRule="atLeast"/>
              <w:ind w:firstLine="470" w:firstLineChars="196"/>
              <w:jc w:val="left"/>
              <w:outlineLvl w:val="1"/>
              <w:rPr>
                <w:rFonts w:ascii="宋体"/>
                <w:sz w:val="24"/>
              </w:rPr>
            </w:pPr>
          </w:p>
        </w:tc>
        <w:tc>
          <w:tcPr>
            <w:tcW w:w="1745" w:type="dxa"/>
          </w:tcPr>
          <w:p>
            <w:pPr>
              <w:widowControl/>
              <w:spacing w:line="360" w:lineRule="atLeast"/>
              <w:ind w:firstLine="470" w:firstLineChars="196"/>
              <w:jc w:val="left"/>
              <w:outlineLvl w:val="1"/>
              <w:rPr>
                <w:rFonts w:ascii="宋体"/>
                <w:sz w:val="24"/>
              </w:rPr>
            </w:pPr>
          </w:p>
        </w:tc>
        <w:tc>
          <w:tcPr>
            <w:tcW w:w="99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宋体"/>
                <w:sz w:val="24"/>
              </w:rPr>
            </w:pPr>
          </w:p>
        </w:tc>
        <w:tc>
          <w:tcPr>
            <w:tcW w:w="1436" w:type="dxa"/>
          </w:tcPr>
          <w:p>
            <w:pPr>
              <w:widowControl/>
              <w:spacing w:line="360" w:lineRule="atLeast"/>
              <w:ind w:firstLine="470" w:firstLineChars="196"/>
              <w:jc w:val="left"/>
              <w:outlineLvl w:val="1"/>
              <w:rPr>
                <w:rFonts w:ascii="宋体"/>
                <w:sz w:val="24"/>
              </w:rPr>
            </w:pPr>
          </w:p>
        </w:tc>
        <w:tc>
          <w:tcPr>
            <w:tcW w:w="3194" w:type="dxa"/>
          </w:tcPr>
          <w:p>
            <w:pPr>
              <w:widowControl/>
              <w:spacing w:line="360" w:lineRule="atLeast"/>
              <w:ind w:firstLine="470" w:firstLineChars="196"/>
              <w:jc w:val="left"/>
              <w:outlineLvl w:val="1"/>
              <w:rPr>
                <w:rFonts w:ascii="宋体"/>
                <w:sz w:val="24"/>
              </w:rPr>
            </w:pPr>
          </w:p>
        </w:tc>
        <w:tc>
          <w:tcPr>
            <w:tcW w:w="1745" w:type="dxa"/>
          </w:tcPr>
          <w:p>
            <w:pPr>
              <w:widowControl/>
              <w:spacing w:line="360" w:lineRule="atLeast"/>
              <w:ind w:firstLine="470" w:firstLineChars="196"/>
              <w:jc w:val="left"/>
              <w:outlineLvl w:val="1"/>
              <w:rPr>
                <w:rFonts w:ascii="宋体"/>
                <w:sz w:val="24"/>
              </w:rPr>
            </w:pPr>
          </w:p>
        </w:tc>
        <w:tc>
          <w:tcPr>
            <w:tcW w:w="99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宋体"/>
                <w:sz w:val="24"/>
              </w:rPr>
            </w:pPr>
          </w:p>
        </w:tc>
        <w:tc>
          <w:tcPr>
            <w:tcW w:w="1436" w:type="dxa"/>
          </w:tcPr>
          <w:p>
            <w:pPr>
              <w:widowControl/>
              <w:spacing w:line="360" w:lineRule="atLeast"/>
              <w:ind w:firstLine="470" w:firstLineChars="196"/>
              <w:jc w:val="left"/>
              <w:outlineLvl w:val="1"/>
              <w:rPr>
                <w:rFonts w:ascii="宋体"/>
                <w:sz w:val="24"/>
              </w:rPr>
            </w:pPr>
          </w:p>
        </w:tc>
        <w:tc>
          <w:tcPr>
            <w:tcW w:w="3194" w:type="dxa"/>
          </w:tcPr>
          <w:p>
            <w:pPr>
              <w:widowControl/>
              <w:spacing w:line="360" w:lineRule="atLeast"/>
              <w:ind w:firstLine="470" w:firstLineChars="196"/>
              <w:jc w:val="left"/>
              <w:outlineLvl w:val="1"/>
              <w:rPr>
                <w:rFonts w:ascii="宋体"/>
                <w:sz w:val="24"/>
              </w:rPr>
            </w:pPr>
          </w:p>
        </w:tc>
        <w:tc>
          <w:tcPr>
            <w:tcW w:w="1745" w:type="dxa"/>
          </w:tcPr>
          <w:p>
            <w:pPr>
              <w:widowControl/>
              <w:spacing w:line="360" w:lineRule="atLeast"/>
              <w:ind w:firstLine="470" w:firstLineChars="196"/>
              <w:jc w:val="left"/>
              <w:outlineLvl w:val="1"/>
              <w:rPr>
                <w:rFonts w:ascii="宋体"/>
                <w:sz w:val="24"/>
              </w:rPr>
            </w:pPr>
          </w:p>
        </w:tc>
        <w:tc>
          <w:tcPr>
            <w:tcW w:w="99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1"/>
              <w:rPr>
                <w:rFonts w:ascii="宋体"/>
                <w:sz w:val="24"/>
              </w:rPr>
            </w:pPr>
          </w:p>
        </w:tc>
        <w:tc>
          <w:tcPr>
            <w:tcW w:w="1436" w:type="dxa"/>
          </w:tcPr>
          <w:p>
            <w:pPr>
              <w:widowControl/>
              <w:spacing w:line="360" w:lineRule="atLeast"/>
              <w:ind w:firstLine="470" w:firstLineChars="196"/>
              <w:jc w:val="left"/>
              <w:outlineLvl w:val="1"/>
              <w:rPr>
                <w:rFonts w:ascii="宋体"/>
                <w:sz w:val="24"/>
              </w:rPr>
            </w:pPr>
          </w:p>
        </w:tc>
        <w:tc>
          <w:tcPr>
            <w:tcW w:w="3194" w:type="dxa"/>
          </w:tcPr>
          <w:p>
            <w:pPr>
              <w:widowControl/>
              <w:spacing w:line="360" w:lineRule="atLeast"/>
              <w:ind w:firstLine="470" w:firstLineChars="196"/>
              <w:jc w:val="left"/>
              <w:outlineLvl w:val="1"/>
              <w:rPr>
                <w:rFonts w:ascii="宋体"/>
                <w:sz w:val="24"/>
              </w:rPr>
            </w:pPr>
          </w:p>
        </w:tc>
        <w:tc>
          <w:tcPr>
            <w:tcW w:w="1745" w:type="dxa"/>
          </w:tcPr>
          <w:p>
            <w:pPr>
              <w:widowControl/>
              <w:spacing w:line="360" w:lineRule="atLeast"/>
              <w:ind w:firstLine="470" w:firstLineChars="196"/>
              <w:jc w:val="left"/>
              <w:outlineLvl w:val="1"/>
              <w:rPr>
                <w:rFonts w:ascii="宋体"/>
                <w:sz w:val="24"/>
              </w:rPr>
            </w:pPr>
          </w:p>
        </w:tc>
        <w:tc>
          <w:tcPr>
            <w:tcW w:w="992" w:type="dxa"/>
          </w:tcPr>
          <w:p>
            <w:pPr>
              <w:widowControl/>
              <w:spacing w:line="360" w:lineRule="atLeast"/>
              <w:ind w:firstLine="470" w:firstLineChars="196"/>
              <w:jc w:val="left"/>
              <w:outlineLvl w:val="1"/>
              <w:rPr>
                <w:rFonts w:ascii="宋体"/>
                <w:sz w:val="24"/>
              </w:rPr>
            </w:pPr>
          </w:p>
        </w:tc>
      </w:tr>
    </w:tbl>
    <w:p>
      <w:pPr>
        <w:spacing w:line="240" w:lineRule="auto"/>
        <w:ind w:firstLine="480" w:firstLineChars="200"/>
        <w:rPr>
          <w:rFonts w:hAnsi="宋体"/>
          <w:sz w:val="24"/>
        </w:rPr>
      </w:pPr>
      <w:r>
        <w:rPr>
          <w:rFonts w:hint="eastAsia" w:hAnsi="宋体"/>
          <w:sz w:val="24"/>
        </w:rPr>
        <w:t>注：1. 投标人若对招标文件第六章全部“技术服务要求”有偏离的，需将内容列入此表。</w:t>
      </w:r>
    </w:p>
    <w:p>
      <w:pPr>
        <w:spacing w:line="240" w:lineRule="auto"/>
        <w:ind w:firstLine="480" w:firstLineChars="200"/>
        <w:rPr>
          <w:rFonts w:hAnsi="宋体"/>
          <w:sz w:val="24"/>
        </w:rPr>
      </w:pPr>
      <w:r>
        <w:rPr>
          <w:rFonts w:hint="eastAsia" w:hAnsi="宋体"/>
          <w:sz w:val="24"/>
        </w:rPr>
        <w:t>2 投标人在应答时，如果以上表格中“投标应答”所对应的空格不够填写的，投标人可在表格外拟定应答内容，但必须在“备注”中注明投标文件对应页码。投标人没有备注页码或备注页码错误所导致的一切责任与后果由投标人自行承担。</w:t>
      </w:r>
    </w:p>
    <w:p>
      <w:pPr>
        <w:spacing w:line="240" w:lineRule="auto"/>
        <w:ind w:firstLine="480" w:firstLineChars="200"/>
        <w:rPr>
          <w:rFonts w:hAnsi="宋体"/>
          <w:sz w:val="24"/>
        </w:rPr>
      </w:pPr>
      <w:r>
        <w:rPr>
          <w:rFonts w:hint="eastAsia" w:hAnsi="宋体"/>
          <w:sz w:val="24"/>
        </w:rPr>
        <w:t>3．投标人必须据实填写，不得虚假填写，否则将取消其投标或中标资格。</w:t>
      </w:r>
    </w:p>
    <w:p>
      <w:pPr>
        <w:spacing w:line="240" w:lineRule="auto"/>
        <w:ind w:firstLine="480" w:firstLineChars="200"/>
        <w:rPr>
          <w:rFonts w:hAnsi="宋体"/>
          <w:sz w:val="24"/>
        </w:rPr>
      </w:pPr>
    </w:p>
    <w:p>
      <w:pPr>
        <w:spacing w:before="156" w:beforeLines="50" w:after="156" w:afterLines="50" w:line="240" w:lineRule="auto"/>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法定代表人/单位负责人或代理人（签字或加盖个人名章）：</w:t>
      </w:r>
      <w:r>
        <w:rPr>
          <w:rFonts w:hint="eastAsia" w:ascii="宋体" w:hAnsi="宋体" w:cs="宋体"/>
          <w:bCs/>
          <w:sz w:val="24"/>
          <w:u w:val="single"/>
        </w:rPr>
        <w:t xml:space="preserve">            </w:t>
      </w:r>
      <w:r>
        <w:rPr>
          <w:rFonts w:hint="eastAsia" w:ascii="宋体" w:hAnsi="宋体" w:cs="宋体"/>
          <w:bCs/>
          <w:sz w:val="24"/>
        </w:rPr>
        <w:t>。</w:t>
      </w:r>
    </w:p>
    <w:p>
      <w:pPr>
        <w:spacing w:line="400" w:lineRule="exact"/>
        <w:rPr>
          <w:rFonts w:hAnsi="宋体"/>
          <w:sz w:val="24"/>
        </w:rPr>
      </w:pPr>
      <w:r>
        <w:rPr>
          <w:rFonts w:hint="eastAsia" w:ascii="宋体" w:hAnsi="宋体" w:cs="宋体"/>
          <w:bCs/>
          <w:sz w:val="24"/>
        </w:rPr>
        <w:t>日    期：</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日。</w:t>
      </w:r>
    </w:p>
    <w:p>
      <w:pPr>
        <w:spacing w:line="360" w:lineRule="auto"/>
        <w:rPr>
          <w:rFonts w:ascii="华文中宋" w:hAnsi="华文中宋" w:eastAsia="华文中宋"/>
          <w:b/>
          <w:sz w:val="32"/>
          <w:szCs w:val="32"/>
        </w:rPr>
      </w:pPr>
      <w:bookmarkStart w:id="168" w:name="_Toc217446091"/>
      <w:r>
        <w:rPr>
          <w:rFonts w:hint="eastAsia" w:ascii="黑体" w:eastAsia="黑体"/>
          <w:b/>
          <w:sz w:val="32"/>
          <w:szCs w:val="32"/>
        </w:rPr>
        <w:br w:type="page"/>
      </w:r>
      <w:r>
        <w:rPr>
          <w:rFonts w:hint="eastAsia" w:ascii="华文中宋" w:hAnsi="华文中宋" w:eastAsia="华文中宋"/>
          <w:b/>
          <w:sz w:val="32"/>
          <w:szCs w:val="32"/>
        </w:rPr>
        <w:t>格式1</w:t>
      </w:r>
      <w:r>
        <w:rPr>
          <w:rFonts w:ascii="华文中宋" w:hAnsi="华文中宋" w:eastAsia="华文中宋"/>
          <w:b/>
          <w:sz w:val="32"/>
          <w:szCs w:val="32"/>
        </w:rPr>
        <w:t>2</w:t>
      </w:r>
    </w:p>
    <w:p>
      <w:pPr>
        <w:widowControl/>
        <w:spacing w:line="360" w:lineRule="atLeast"/>
        <w:jc w:val="center"/>
        <w:outlineLvl w:val="1"/>
        <w:rPr>
          <w:rFonts w:ascii="黑体" w:eastAsia="黑体"/>
          <w:b/>
          <w:sz w:val="32"/>
          <w:szCs w:val="32"/>
        </w:rPr>
      </w:pPr>
      <w:r>
        <w:rPr>
          <w:rFonts w:hint="eastAsia" w:ascii="黑体" w:eastAsia="黑体"/>
          <w:b/>
          <w:sz w:val="32"/>
          <w:szCs w:val="32"/>
        </w:rPr>
        <w:t>投标人本项目管理、技术、服务人员情况表</w:t>
      </w:r>
      <w:bookmarkEnd w:id="168"/>
    </w:p>
    <w:p>
      <w:pPr>
        <w:spacing w:line="400" w:lineRule="exact"/>
        <w:ind w:firstLine="480" w:firstLineChars="200"/>
        <w:rPr>
          <w:rFonts w:hAnsi="宋体"/>
          <w:sz w:val="24"/>
        </w:rPr>
      </w:pPr>
      <w:r>
        <w:rPr>
          <w:rFonts w:hint="eastAsia" w:hAnsi="宋体"/>
          <w:sz w:val="24"/>
        </w:rPr>
        <w:t>招标编号：</w:t>
      </w:r>
    </w:p>
    <w:tbl>
      <w:tblPr>
        <w:tblStyle w:val="39"/>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vAlign w:val="center"/>
          </w:tcPr>
          <w:p>
            <w:pPr>
              <w:widowControl/>
              <w:spacing w:line="360" w:lineRule="atLeast"/>
              <w:jc w:val="left"/>
              <w:outlineLvl w:val="1"/>
              <w:rPr>
                <w:rFonts w:ascii="宋体"/>
                <w:sz w:val="24"/>
              </w:rPr>
            </w:pPr>
            <w:r>
              <w:rPr>
                <w:rFonts w:hint="eastAsia" w:ascii="宋体"/>
                <w:sz w:val="24"/>
              </w:rPr>
              <w:t>类别</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职务</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姓名</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职称</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常住地</w:t>
            </w:r>
          </w:p>
        </w:tc>
        <w:tc>
          <w:tcPr>
            <w:tcW w:w="3390" w:type="dxa"/>
            <w:gridSpan w:val="4"/>
            <w:vAlign w:val="center"/>
          </w:tcPr>
          <w:p>
            <w:pPr>
              <w:widowControl/>
              <w:spacing w:line="360" w:lineRule="atLeast"/>
              <w:ind w:firstLine="470" w:firstLineChars="196"/>
              <w:jc w:val="left"/>
              <w:outlineLvl w:val="1"/>
              <w:rPr>
                <w:rFonts w:ascii="宋体"/>
                <w:sz w:val="24"/>
              </w:rPr>
            </w:pPr>
            <w:r>
              <w:rPr>
                <w:rFonts w:hint="eastAsia" w:asci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vAlign w:val="center"/>
          </w:tcPr>
          <w:p/>
        </w:tc>
        <w:tc>
          <w:tcPr>
            <w:tcW w:w="807" w:type="dxa"/>
            <w:vMerge w:val="continue"/>
            <w:vAlign w:val="center"/>
          </w:tcPr>
          <w:p/>
        </w:tc>
        <w:tc>
          <w:tcPr>
            <w:tcW w:w="807" w:type="dxa"/>
            <w:vMerge w:val="continue"/>
            <w:vAlign w:val="center"/>
          </w:tcPr>
          <w:p/>
        </w:tc>
        <w:tc>
          <w:tcPr>
            <w:tcW w:w="807" w:type="dxa"/>
            <w:vMerge w:val="continue"/>
            <w:vAlign w:val="center"/>
          </w:tcPr>
          <w:p/>
        </w:tc>
        <w:tc>
          <w:tcPr>
            <w:tcW w:w="807" w:type="dxa"/>
            <w:vMerge w:val="continue"/>
            <w:vAlign w:val="center"/>
          </w:tcPr>
          <w:p/>
        </w:tc>
        <w:tc>
          <w:tcPr>
            <w:tcW w:w="851" w:type="dxa"/>
            <w:vAlign w:val="center"/>
          </w:tcPr>
          <w:p>
            <w:pPr>
              <w:widowControl/>
              <w:spacing w:line="360" w:lineRule="atLeast"/>
              <w:jc w:val="left"/>
              <w:outlineLvl w:val="1"/>
              <w:rPr>
                <w:rFonts w:ascii="宋体"/>
                <w:sz w:val="24"/>
              </w:rPr>
            </w:pPr>
            <w:r>
              <w:rPr>
                <w:rFonts w:hint="eastAsia" w:ascii="宋体"/>
                <w:sz w:val="24"/>
              </w:rPr>
              <w:t>证书</w:t>
            </w:r>
          </w:p>
          <w:p>
            <w:pPr>
              <w:widowControl/>
              <w:spacing w:line="360" w:lineRule="atLeast"/>
              <w:jc w:val="left"/>
              <w:outlineLvl w:val="1"/>
              <w:rPr>
                <w:rFonts w:ascii="宋体"/>
                <w:sz w:val="24"/>
              </w:rPr>
            </w:pPr>
            <w:r>
              <w:rPr>
                <w:rFonts w:hint="eastAsia" w:ascii="宋体"/>
                <w:sz w:val="24"/>
              </w:rPr>
              <w:t>名称</w:t>
            </w:r>
          </w:p>
        </w:tc>
        <w:tc>
          <w:tcPr>
            <w:tcW w:w="960" w:type="dxa"/>
            <w:vAlign w:val="center"/>
          </w:tcPr>
          <w:p>
            <w:pPr>
              <w:widowControl/>
              <w:spacing w:line="360" w:lineRule="atLeast"/>
              <w:jc w:val="left"/>
              <w:outlineLvl w:val="1"/>
              <w:rPr>
                <w:rFonts w:ascii="宋体"/>
                <w:sz w:val="24"/>
              </w:rPr>
            </w:pPr>
            <w:r>
              <w:rPr>
                <w:rFonts w:hint="eastAsia" w:ascii="宋体"/>
                <w:sz w:val="24"/>
              </w:rPr>
              <w:t>级别</w:t>
            </w:r>
          </w:p>
        </w:tc>
        <w:tc>
          <w:tcPr>
            <w:tcW w:w="847" w:type="dxa"/>
            <w:vAlign w:val="center"/>
          </w:tcPr>
          <w:p>
            <w:pPr>
              <w:widowControl/>
              <w:spacing w:line="360" w:lineRule="atLeast"/>
              <w:jc w:val="left"/>
              <w:outlineLvl w:val="1"/>
              <w:rPr>
                <w:rFonts w:ascii="宋体"/>
                <w:sz w:val="24"/>
              </w:rPr>
            </w:pPr>
            <w:r>
              <w:rPr>
                <w:rFonts w:hint="eastAsia" w:ascii="宋体"/>
                <w:sz w:val="24"/>
              </w:rPr>
              <w:t>证号</w:t>
            </w:r>
          </w:p>
        </w:tc>
        <w:tc>
          <w:tcPr>
            <w:tcW w:w="732" w:type="dxa"/>
            <w:vAlign w:val="center"/>
          </w:tcPr>
          <w:p>
            <w:pPr>
              <w:widowControl/>
              <w:spacing w:line="360" w:lineRule="atLeast"/>
              <w:jc w:val="left"/>
              <w:outlineLvl w:val="1"/>
              <w:rPr>
                <w:rFonts w:ascii="宋体"/>
                <w:sz w:val="24"/>
              </w:rPr>
            </w:pPr>
            <w:r>
              <w:rPr>
                <w:rFonts w:hint="eastAsia" w:asci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管理</w:t>
            </w:r>
          </w:p>
          <w:p>
            <w:pPr>
              <w:widowControl/>
              <w:spacing w:line="360" w:lineRule="atLeast"/>
              <w:jc w:val="left"/>
              <w:outlineLvl w:val="1"/>
              <w:rPr>
                <w:rFonts w:ascii="宋体"/>
                <w:sz w:val="24"/>
              </w:rPr>
            </w:pPr>
            <w:r>
              <w:rPr>
                <w:rFonts w:hint="eastAsia" w:ascii="宋体"/>
                <w:sz w:val="24"/>
              </w:rPr>
              <w:t>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技术</w:t>
            </w:r>
          </w:p>
          <w:p>
            <w:pPr>
              <w:widowControl/>
              <w:spacing w:line="360" w:lineRule="atLeast"/>
              <w:jc w:val="left"/>
              <w:outlineLvl w:val="1"/>
              <w:rPr>
                <w:rFonts w:ascii="宋体"/>
                <w:sz w:val="24"/>
              </w:rPr>
            </w:pPr>
            <w:r>
              <w:rPr>
                <w:rFonts w:hint="eastAsia" w:ascii="宋体"/>
                <w:sz w:val="24"/>
              </w:rPr>
              <w:t>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售后服务人员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Borders>
              <w:bottom w:val="single" w:color="auto" w:sz="4" w:space="0"/>
            </w:tcBorders>
          </w:tcPr>
          <w:p/>
        </w:tc>
        <w:tc>
          <w:tcPr>
            <w:tcW w:w="807" w:type="dxa"/>
            <w:tcBorders>
              <w:bottom w:val="single" w:color="auto" w:sz="4" w:space="0"/>
            </w:tcBorders>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bl>
    <w:p>
      <w:pPr>
        <w:spacing w:line="400" w:lineRule="exact"/>
        <w:ind w:firstLine="480" w:firstLineChars="200"/>
        <w:rPr>
          <w:rFonts w:hAnsi="宋体"/>
          <w:sz w:val="24"/>
        </w:rPr>
      </w:pPr>
    </w:p>
    <w:p>
      <w:pPr>
        <w:spacing w:before="156" w:beforeLines="50" w:after="156" w:afterLines="50" w:line="240" w:lineRule="auto"/>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法定代表人/单位负责人或代理人（签字或加盖个人名章）：</w:t>
      </w:r>
      <w:r>
        <w:rPr>
          <w:rFonts w:hint="eastAsia"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hAnsi="宋体"/>
          <w:sz w:val="24"/>
        </w:rPr>
      </w:pPr>
      <w:r>
        <w:rPr>
          <w:rFonts w:hint="eastAsia" w:ascii="宋体" w:hAnsi="宋体" w:cs="宋体"/>
          <w:bCs/>
          <w:sz w:val="24"/>
        </w:rPr>
        <w:t>日    期：</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日。</w:t>
      </w:r>
    </w:p>
    <w:p>
      <w:pPr>
        <w:spacing w:line="360" w:lineRule="auto"/>
        <w:rPr>
          <w:rFonts w:ascii="宋体" w:hAnsi="宋体" w:cs="宋体"/>
          <w:sz w:val="24"/>
        </w:rPr>
        <w:sectPr>
          <w:footerReference r:id="rId7" w:type="default"/>
          <w:pgSz w:w="11906" w:h="16838"/>
          <w:pgMar w:top="1440" w:right="1800" w:bottom="1440" w:left="1800" w:header="851" w:footer="992" w:gutter="0"/>
          <w:cols w:space="720" w:num="1"/>
          <w:docGrid w:type="lines" w:linePitch="312" w:charSpace="0"/>
        </w:sectPr>
      </w:pPr>
      <w:r>
        <w:rPr>
          <w:rFonts w:ascii="宋体" w:hAnsi="宋体" w:cs="宋体"/>
          <w:sz w:val="24"/>
        </w:rPr>
        <w:t xml:space="preserve"> </w:t>
      </w:r>
    </w:p>
    <w:p>
      <w:pPr>
        <w:spacing w:line="360" w:lineRule="auto"/>
        <w:rPr>
          <w:rFonts w:ascii="华文中宋" w:hAnsi="华文中宋" w:eastAsia="华文中宋"/>
          <w:b/>
          <w:sz w:val="32"/>
          <w:szCs w:val="32"/>
        </w:rPr>
      </w:pPr>
      <w:bookmarkStart w:id="169" w:name="_Toc513065349"/>
      <w:r>
        <w:rPr>
          <w:rFonts w:hint="eastAsia" w:ascii="华文中宋" w:hAnsi="华文中宋" w:eastAsia="华文中宋"/>
          <w:b/>
          <w:sz w:val="32"/>
          <w:szCs w:val="32"/>
        </w:rPr>
        <w:t>格式1</w:t>
      </w:r>
      <w:r>
        <w:rPr>
          <w:rFonts w:ascii="华文中宋" w:hAnsi="华文中宋" w:eastAsia="华文中宋"/>
          <w:b/>
          <w:sz w:val="32"/>
          <w:szCs w:val="32"/>
        </w:rPr>
        <w:t>3</w:t>
      </w:r>
    </w:p>
    <w:p>
      <w:pPr>
        <w:widowControl/>
        <w:spacing w:line="360" w:lineRule="atLeast"/>
        <w:jc w:val="center"/>
        <w:outlineLvl w:val="1"/>
        <w:rPr>
          <w:rFonts w:ascii="黑体" w:eastAsia="黑体"/>
          <w:b/>
          <w:sz w:val="32"/>
          <w:szCs w:val="32"/>
        </w:rPr>
      </w:pPr>
      <w:r>
        <w:rPr>
          <w:rFonts w:hint="eastAsia" w:ascii="黑体" w:eastAsia="黑体"/>
          <w:b/>
          <w:sz w:val="32"/>
          <w:szCs w:val="32"/>
        </w:rPr>
        <w:t>关于多证合一的声明函(如涉及)</w:t>
      </w:r>
    </w:p>
    <w:p>
      <w:pPr>
        <w:spacing w:before="156" w:beforeLines="50" w:after="156" w:afterLines="50" w:line="360" w:lineRule="auto"/>
        <w:rPr>
          <w:rFonts w:ascii="宋体" w:hAnsi="宋体" w:cs="宋体"/>
          <w:bCs/>
          <w:sz w:val="24"/>
        </w:rPr>
      </w:pPr>
      <w:r>
        <w:rPr>
          <w:rFonts w:hint="eastAsia" w:ascii="宋体" w:hAnsi="宋体" w:cs="宋体"/>
          <w:bCs/>
          <w:sz w:val="24"/>
        </w:rPr>
        <w:t>四川国际招标有限责任公司：</w:t>
      </w:r>
    </w:p>
    <w:p>
      <w:pPr>
        <w:spacing w:before="156" w:beforeLines="50" w:after="156" w:afterLines="50" w:line="360" w:lineRule="auto"/>
        <w:ind w:firstLine="480" w:firstLineChars="200"/>
        <w:rPr>
          <w:rFonts w:ascii="宋体" w:hAnsi="宋体" w:cs="宋体"/>
          <w:bCs/>
          <w:sz w:val="24"/>
        </w:rPr>
      </w:pPr>
      <w:r>
        <w:rPr>
          <w:rFonts w:hint="eastAsia" w:ascii="宋体" w:hAnsi="宋体" w:cs="宋体"/>
          <w:bCs/>
          <w:sz w:val="24"/>
        </w:rPr>
        <w:t>我单位作为本次招标采购项目的投标人，现郑重承诺如下：</w:t>
      </w:r>
    </w:p>
    <w:p>
      <w:pPr>
        <w:spacing w:before="156" w:beforeLines="50" w:after="156" w:afterLines="50" w:line="360" w:lineRule="auto"/>
        <w:ind w:firstLine="480" w:firstLineChars="200"/>
        <w:rPr>
          <w:rFonts w:ascii="宋体" w:hAnsi="宋体" w:cs="宋体"/>
          <w:bCs/>
          <w:sz w:val="24"/>
        </w:rPr>
      </w:pPr>
      <w:r>
        <w:rPr>
          <w:rFonts w:hint="eastAsia" w:ascii="宋体" w:hAnsi="宋体" w:cs="宋体"/>
          <w:bCs/>
          <w:sz w:val="24"/>
        </w:rPr>
        <w:t>根据本项目招标文件</w:t>
      </w:r>
      <w:r>
        <w:rPr>
          <w:rFonts w:ascii="宋体" w:hAnsi="宋体" w:cs="宋体"/>
          <w:bCs/>
          <w:sz w:val="24"/>
        </w:rPr>
        <w:t>第四章资格证明要求中第</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rPr>
        <w:t>项，</w:t>
      </w:r>
      <w:r>
        <w:rPr>
          <w:rFonts w:ascii="宋体" w:hAnsi="宋体" w:cs="宋体"/>
          <w:bCs/>
          <w:sz w:val="24"/>
        </w:rPr>
        <w:t>我</w:t>
      </w:r>
      <w:r>
        <w:rPr>
          <w:rFonts w:hint="eastAsia" w:ascii="宋体" w:hAnsi="宋体" w:cs="宋体"/>
          <w:bCs/>
          <w:sz w:val="24"/>
        </w:rPr>
        <w:t>单位</w:t>
      </w:r>
      <w:r>
        <w:rPr>
          <w:rFonts w:ascii="宋体" w:hAnsi="宋体" w:cs="宋体"/>
          <w:bCs/>
          <w:sz w:val="24"/>
        </w:rPr>
        <w:t>应具备</w:t>
      </w:r>
      <w:r>
        <w:rPr>
          <w:rFonts w:hint="eastAsia" w:ascii="宋体" w:hAnsi="宋体" w:cs="宋体"/>
          <w:bCs/>
          <w:sz w:val="24"/>
        </w:rPr>
        <w:t>（备案</w:t>
      </w:r>
      <w:r>
        <w:rPr>
          <w:rFonts w:ascii="宋体" w:hAnsi="宋体" w:cs="宋体"/>
          <w:bCs/>
          <w:sz w:val="24"/>
        </w:rPr>
        <w:t>、登记、其他证照</w:t>
      </w:r>
      <w:r>
        <w:rPr>
          <w:rFonts w:hint="eastAsia" w:ascii="宋体" w:hAnsi="宋体" w:cs="宋体"/>
          <w:bCs/>
          <w:sz w:val="24"/>
        </w:rPr>
        <w:t>）。但因</w:t>
      </w:r>
      <w:r>
        <w:rPr>
          <w:rFonts w:ascii="宋体" w:hAnsi="宋体" w:cs="宋体"/>
          <w:bCs/>
          <w:sz w:val="24"/>
        </w:rPr>
        <w:t>我单位所在地</w:t>
      </w:r>
      <w:r>
        <w:rPr>
          <w:rFonts w:hint="eastAsia" w:ascii="宋体" w:hAnsi="宋体" w:cs="宋体"/>
          <w:bCs/>
          <w:sz w:val="24"/>
        </w:rPr>
        <w:t>已对</w:t>
      </w:r>
      <w:r>
        <w:rPr>
          <w:rFonts w:ascii="宋体" w:hAnsi="宋体" w:cs="宋体"/>
          <w:bCs/>
          <w:sz w:val="24"/>
        </w:rPr>
        <w:t>上述</w:t>
      </w:r>
      <w:r>
        <w:rPr>
          <w:rFonts w:hint="eastAsia" w:ascii="宋体" w:hAnsi="宋体" w:cs="宋体"/>
          <w:bCs/>
          <w:sz w:val="24"/>
        </w:rPr>
        <w:t>备案</w:t>
      </w:r>
      <w:r>
        <w:rPr>
          <w:rFonts w:ascii="宋体" w:hAnsi="宋体" w:cs="宋体"/>
          <w:bCs/>
          <w:sz w:val="24"/>
        </w:rPr>
        <w:t>、登记、其他证照</w:t>
      </w:r>
      <w:r>
        <w:rPr>
          <w:rFonts w:hint="eastAsia" w:ascii="宋体" w:hAnsi="宋体" w:cs="宋体"/>
          <w:bCs/>
          <w:sz w:val="24"/>
        </w:rPr>
        <w:t>实行</w:t>
      </w:r>
      <w:r>
        <w:rPr>
          <w:rFonts w:ascii="宋体" w:hAnsi="宋体" w:cs="宋体"/>
          <w:bCs/>
          <w:sz w:val="24"/>
        </w:rPr>
        <w:t>“</w:t>
      </w:r>
      <w:r>
        <w:rPr>
          <w:rFonts w:hint="eastAsia" w:ascii="宋体" w:hAnsi="宋体" w:cs="宋体"/>
          <w:bCs/>
          <w:sz w:val="24"/>
        </w:rPr>
        <w:t>多证合一</w:t>
      </w:r>
      <w:r>
        <w:rPr>
          <w:rFonts w:ascii="宋体" w:hAnsi="宋体" w:cs="宋体"/>
          <w:bCs/>
          <w:sz w:val="24"/>
        </w:rPr>
        <w:t>”</w:t>
      </w:r>
      <w:r>
        <w:rPr>
          <w:rFonts w:hint="eastAsia" w:ascii="宋体" w:hAnsi="宋体" w:cs="宋体"/>
          <w:bCs/>
          <w:sz w:val="24"/>
        </w:rPr>
        <w:t>，</w:t>
      </w:r>
      <w:r>
        <w:rPr>
          <w:rFonts w:ascii="宋体" w:hAnsi="宋体" w:cs="宋体"/>
          <w:bCs/>
          <w:sz w:val="24"/>
        </w:rPr>
        <w:t>故在此次招标采购活动</w:t>
      </w:r>
      <w:r>
        <w:rPr>
          <w:rFonts w:hint="eastAsia" w:ascii="宋体" w:hAnsi="宋体" w:cs="宋体"/>
          <w:bCs/>
          <w:sz w:val="24"/>
        </w:rPr>
        <w:t>中</w:t>
      </w:r>
      <w:r>
        <w:rPr>
          <w:rFonts w:ascii="宋体" w:hAnsi="宋体" w:cs="宋体"/>
          <w:bCs/>
          <w:sz w:val="24"/>
        </w:rPr>
        <w:t>提供</w:t>
      </w:r>
      <w:r>
        <w:rPr>
          <w:rFonts w:hint="eastAsia" w:ascii="宋体" w:hAnsi="宋体" w:cs="宋体"/>
          <w:bCs/>
          <w:sz w:val="24"/>
        </w:rPr>
        <w:t>满足</w:t>
      </w:r>
      <w:r>
        <w:rPr>
          <w:rFonts w:ascii="宋体" w:hAnsi="宋体" w:cs="宋体"/>
          <w:bCs/>
          <w:sz w:val="24"/>
        </w:rPr>
        <w:t>资格要求</w:t>
      </w:r>
      <w:r>
        <w:rPr>
          <w:rFonts w:hint="eastAsia" w:ascii="宋体" w:hAnsi="宋体" w:cs="宋体"/>
          <w:bCs/>
          <w:sz w:val="24"/>
        </w:rPr>
        <w:t>（营业执照</w:t>
      </w:r>
      <w:r>
        <w:rPr>
          <w:rFonts w:ascii="宋体" w:hAnsi="宋体" w:cs="宋体"/>
          <w:bCs/>
          <w:sz w:val="24"/>
        </w:rPr>
        <w:t>中对</w:t>
      </w:r>
      <w:r>
        <w:rPr>
          <w:rFonts w:hint="eastAsia" w:ascii="宋体" w:hAnsi="宋体" w:cs="宋体"/>
          <w:bCs/>
          <w:sz w:val="24"/>
        </w:rPr>
        <w:t>该备案</w:t>
      </w:r>
      <w:r>
        <w:rPr>
          <w:rFonts w:ascii="宋体" w:hAnsi="宋体" w:cs="宋体"/>
          <w:bCs/>
          <w:sz w:val="24"/>
        </w:rPr>
        <w:t>、登记、其他证照</w:t>
      </w:r>
      <w:r>
        <w:rPr>
          <w:rFonts w:hint="eastAsia" w:ascii="宋体" w:hAnsi="宋体" w:cs="宋体"/>
          <w:bCs/>
          <w:sz w:val="24"/>
        </w:rPr>
        <w:t>的</w:t>
      </w:r>
      <w:r>
        <w:rPr>
          <w:rFonts w:ascii="宋体" w:hAnsi="宋体" w:cs="宋体"/>
          <w:bCs/>
          <w:sz w:val="24"/>
        </w:rPr>
        <w:t>描述</w:t>
      </w:r>
      <w:r>
        <w:rPr>
          <w:rFonts w:hint="eastAsia" w:ascii="宋体" w:hAnsi="宋体" w:cs="宋体"/>
          <w:bCs/>
          <w:sz w:val="24"/>
        </w:rPr>
        <w:t>）的</w:t>
      </w:r>
      <w:r>
        <w:rPr>
          <w:rFonts w:ascii="宋体" w:hAnsi="宋体" w:cs="宋体"/>
          <w:bCs/>
          <w:sz w:val="24"/>
        </w:rPr>
        <w:t>“</w:t>
      </w:r>
      <w:r>
        <w:rPr>
          <w:rFonts w:hint="eastAsia" w:ascii="宋体" w:hAnsi="宋体" w:cs="宋体"/>
          <w:bCs/>
          <w:sz w:val="24"/>
        </w:rPr>
        <w:t>多证合一</w:t>
      </w:r>
      <w:r>
        <w:rPr>
          <w:rFonts w:ascii="宋体" w:hAnsi="宋体" w:cs="宋体"/>
          <w:bCs/>
          <w:sz w:val="24"/>
        </w:rPr>
        <w:t>”</w:t>
      </w:r>
      <w:r>
        <w:rPr>
          <w:rFonts w:hint="eastAsia" w:ascii="宋体" w:hAnsi="宋体" w:cs="宋体"/>
          <w:bCs/>
          <w:sz w:val="24"/>
        </w:rPr>
        <w:t>营业执照</w:t>
      </w:r>
      <w:r>
        <w:rPr>
          <w:rFonts w:ascii="宋体" w:hAnsi="宋体" w:cs="宋体"/>
          <w:bCs/>
          <w:sz w:val="24"/>
        </w:rPr>
        <w:t>。</w:t>
      </w:r>
    </w:p>
    <w:p>
      <w:pPr>
        <w:spacing w:before="156" w:beforeLines="50" w:after="156" w:afterLines="50" w:line="360" w:lineRule="auto"/>
        <w:ind w:firstLine="480" w:firstLineChars="200"/>
        <w:rPr>
          <w:rFonts w:ascii="宋体" w:hAnsi="宋体" w:cs="宋体"/>
          <w:bCs/>
          <w:sz w:val="24"/>
        </w:rPr>
      </w:pPr>
      <w:r>
        <w:rPr>
          <w:rFonts w:hint="eastAsia" w:ascii="宋体" w:hAnsi="宋体" w:cs="宋体"/>
          <w:bCs/>
          <w:sz w:val="24"/>
        </w:rPr>
        <w:t>我单位对上述承诺的内容事项真实性负责。如经查实上述承诺内容存在虚假，我单位愿意接受以弄虚作假骗取中标追究法律责任。</w:t>
      </w:r>
    </w:p>
    <w:p>
      <w:pPr>
        <w:spacing w:before="156" w:beforeLines="50" w:after="156" w:afterLines="50" w:line="360" w:lineRule="auto"/>
        <w:rPr>
          <w:rFonts w:ascii="宋体" w:hAnsi="宋体" w:cs="宋体"/>
          <w:bCs/>
          <w:sz w:val="24"/>
        </w:rPr>
      </w:pPr>
    </w:p>
    <w:p>
      <w:pPr>
        <w:spacing w:before="156" w:beforeLines="50" w:after="156" w:afterLines="50" w:line="240" w:lineRule="auto"/>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法定代表人/单位负责人或代理人（签字或加盖个人名章）：</w:t>
      </w:r>
      <w:r>
        <w:rPr>
          <w:rFonts w:hint="eastAsia" w:ascii="宋体" w:hAnsi="宋体" w:cs="宋体"/>
          <w:bCs/>
          <w:sz w:val="24"/>
          <w:u w:val="single"/>
        </w:rPr>
        <w:t xml:space="preserve">            </w:t>
      </w:r>
      <w:r>
        <w:rPr>
          <w:rFonts w:hint="eastAsia" w:ascii="宋体" w:hAnsi="宋体" w:cs="宋体"/>
          <w:bCs/>
          <w:sz w:val="24"/>
        </w:rPr>
        <w:t>。</w:t>
      </w:r>
    </w:p>
    <w:p>
      <w:pPr>
        <w:spacing w:before="156" w:beforeLines="50" w:after="156" w:afterLines="50" w:line="240" w:lineRule="auto"/>
        <w:rPr>
          <w:rFonts w:ascii="宋体" w:hAnsi="宋体" w:cs="宋体"/>
          <w:bCs/>
          <w:sz w:val="24"/>
        </w:rPr>
      </w:pPr>
      <w:r>
        <w:rPr>
          <w:rFonts w:hint="eastAsia" w:ascii="宋体" w:hAnsi="宋体" w:cs="宋体"/>
          <w:bCs/>
          <w:sz w:val="24"/>
        </w:rPr>
        <w:t>日    期：</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日。</w:t>
      </w:r>
    </w:p>
    <w:p>
      <w:pPr>
        <w:spacing w:line="480" w:lineRule="auto"/>
        <w:ind w:firstLine="480" w:firstLineChars="200"/>
        <w:rPr>
          <w:rFonts w:ascii="宋体" w:hAnsi="宋体"/>
          <w:sz w:val="24"/>
        </w:rPr>
      </w:pPr>
    </w:p>
    <w:p>
      <w:pPr>
        <w:spacing w:line="360" w:lineRule="auto"/>
        <w:rPr>
          <w:rFonts w:ascii="宋体" w:hAnsi="宋体" w:cs="宋体"/>
          <w:bCs/>
          <w:sz w:val="24"/>
        </w:rPr>
      </w:pPr>
      <w:r>
        <w:rPr>
          <w:rFonts w:hint="eastAsia" w:ascii="宋体" w:hAnsi="宋体" w:cs="宋体"/>
          <w:bCs/>
          <w:sz w:val="24"/>
        </w:rPr>
        <w:t>注：1.</w:t>
      </w:r>
      <w:r>
        <w:rPr>
          <w:rFonts w:ascii="宋体" w:hAnsi="宋体" w:cs="宋体"/>
          <w:bCs/>
          <w:sz w:val="24"/>
        </w:rPr>
        <w:t>根据国务院办公厅关于加快推进“多证合一”改革的指导意见（国办发【2017】41号）等政策要求，若资格要求涉及的登记、备案等有关事项和各类证照已实行多证合一导致投标人无法提供该类证明材料的，投标人须提供</w:t>
      </w:r>
      <w:r>
        <w:rPr>
          <w:rFonts w:hint="eastAsia" w:ascii="宋体" w:hAnsi="宋体" w:cs="宋体"/>
          <w:bCs/>
          <w:sz w:val="24"/>
        </w:rPr>
        <w:t>该</w:t>
      </w:r>
      <w:r>
        <w:rPr>
          <w:rFonts w:ascii="宋体" w:hAnsi="宋体" w:cs="宋体"/>
          <w:bCs/>
          <w:sz w:val="24"/>
        </w:rPr>
        <w:t>承诺。</w:t>
      </w:r>
    </w:p>
    <w:p>
      <w:pPr>
        <w:spacing w:line="360" w:lineRule="auto"/>
        <w:ind w:firstLine="360" w:firstLineChars="150"/>
        <w:rPr>
          <w:rFonts w:ascii="宋体" w:hAnsi="宋体" w:cs="宋体"/>
          <w:bCs/>
          <w:sz w:val="24"/>
        </w:rPr>
      </w:pPr>
      <w:r>
        <w:rPr>
          <w:rFonts w:hint="eastAsia" w:ascii="宋体" w:hAnsi="宋体" w:cs="宋体"/>
          <w:bCs/>
          <w:sz w:val="24"/>
        </w:rPr>
        <w:t>2.若已提供</w:t>
      </w:r>
      <w:r>
        <w:rPr>
          <w:rFonts w:ascii="宋体" w:hAnsi="宋体" w:cs="宋体"/>
          <w:bCs/>
          <w:sz w:val="24"/>
        </w:rPr>
        <w:t>资格要求涉及的登记、备案等有关事项和各类证照</w:t>
      </w:r>
      <w:r>
        <w:rPr>
          <w:rFonts w:hint="eastAsia" w:ascii="宋体" w:hAnsi="宋体" w:cs="宋体"/>
          <w:bCs/>
          <w:sz w:val="24"/>
        </w:rPr>
        <w:t>的证明材料，无需提供该承诺。</w:t>
      </w:r>
    </w:p>
    <w:p>
      <w:pPr>
        <w:spacing w:line="360" w:lineRule="auto"/>
        <w:ind w:firstLine="360" w:firstLineChars="150"/>
        <w:rPr>
          <w:rFonts w:ascii="宋体" w:hAnsi="宋体" w:cs="宋体"/>
          <w:bCs/>
          <w:sz w:val="24"/>
        </w:rPr>
      </w:pPr>
      <w:r>
        <w:rPr>
          <w:rFonts w:hint="eastAsia" w:ascii="宋体" w:hAnsi="宋体" w:cs="宋体"/>
          <w:bCs/>
          <w:sz w:val="24"/>
        </w:rPr>
        <w:t>3.若本项目资格要求不涉及，无需提供该承诺。</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rPr>
          <w:rFonts w:ascii="华文中宋" w:hAnsi="华文中宋" w:eastAsia="华文中宋"/>
          <w:b/>
          <w:sz w:val="32"/>
          <w:szCs w:val="32"/>
        </w:rPr>
      </w:pPr>
      <w:r>
        <w:rPr>
          <w:rFonts w:hint="eastAsia" w:ascii="华文中宋" w:hAnsi="华文中宋" w:eastAsia="华文中宋"/>
          <w:b/>
          <w:sz w:val="32"/>
          <w:szCs w:val="32"/>
        </w:rPr>
        <w:t>格式1</w:t>
      </w:r>
      <w:r>
        <w:rPr>
          <w:rFonts w:ascii="华文中宋" w:hAnsi="华文中宋" w:eastAsia="华文中宋"/>
          <w:b/>
          <w:sz w:val="32"/>
          <w:szCs w:val="32"/>
        </w:rPr>
        <w:t>4</w:t>
      </w:r>
    </w:p>
    <w:p>
      <w:pPr>
        <w:pStyle w:val="3"/>
        <w:jc w:val="center"/>
        <w:rPr>
          <w:rFonts w:cs="黑体"/>
        </w:rPr>
      </w:pPr>
      <w:r>
        <w:rPr>
          <w:rFonts w:hint="eastAsia" w:cs="黑体"/>
        </w:rPr>
        <w:t>应当提供的投标人和投标产品资格、资质性及其他类似效力要求的相关证明材料</w:t>
      </w:r>
    </w:p>
    <w:p>
      <w:pPr>
        <w:spacing w:line="360" w:lineRule="auto"/>
        <w:rPr>
          <w:rFonts w:ascii="宋体" w:hAnsi="宋体" w:cs="宋体"/>
          <w:bCs/>
          <w:sz w:val="24"/>
        </w:rPr>
      </w:pPr>
      <w:r>
        <w:rPr>
          <w:rFonts w:hint="eastAsia" w:ascii="宋体" w:hAnsi="宋体" w:cs="宋体"/>
          <w:bCs/>
          <w:sz w:val="24"/>
        </w:rPr>
        <w:t>注：投标人应严格按招标文件第四、五章相关要求提供相关证明材料，有格式要求的从其要求，无格式要求的格式自拟。</w:t>
      </w: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400" w:lineRule="exact"/>
        <w:rPr>
          <w:rFonts w:ascii="华文中宋" w:hAnsi="华文中宋" w:eastAsia="华文中宋"/>
          <w:b/>
          <w:sz w:val="32"/>
          <w:szCs w:val="32"/>
        </w:rPr>
      </w:pPr>
      <w:r>
        <w:rPr>
          <w:rFonts w:hint="eastAsia" w:ascii="华文中宋" w:hAnsi="华文中宋" w:eastAsia="华文中宋"/>
          <w:b/>
          <w:sz w:val="32"/>
          <w:szCs w:val="32"/>
        </w:rPr>
        <w:t>格式14</w:t>
      </w:r>
    </w:p>
    <w:p>
      <w:pPr>
        <w:pStyle w:val="3"/>
        <w:jc w:val="center"/>
        <w:rPr>
          <w:rFonts w:cs="黑体"/>
        </w:rPr>
      </w:pPr>
      <w:r>
        <w:rPr>
          <w:rFonts w:hint="eastAsia" w:cs="黑体"/>
        </w:rPr>
        <w:t>其它</w:t>
      </w:r>
    </w:p>
    <w:p>
      <w:pPr>
        <w:spacing w:line="360" w:lineRule="auto"/>
        <w:rPr>
          <w:rFonts w:ascii="宋体" w:hAnsi="宋体" w:cs="宋体"/>
          <w:bCs/>
          <w:sz w:val="24"/>
        </w:rPr>
      </w:pPr>
      <w:r>
        <w:rPr>
          <w:rFonts w:hint="eastAsia" w:ascii="宋体" w:hAnsi="宋体" w:cs="宋体"/>
          <w:bCs/>
          <w:sz w:val="24"/>
        </w:rPr>
        <w:t>投标人按照招标文件要求作出的其他应答和承诺。</w:t>
      </w: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widowControl/>
        <w:spacing w:line="360" w:lineRule="atLeast"/>
        <w:ind w:firstLine="630" w:firstLineChars="196"/>
        <w:jc w:val="center"/>
        <w:outlineLvl w:val="1"/>
        <w:rPr>
          <w:rFonts w:ascii="华文中宋" w:hAnsi="华文中宋" w:eastAsia="华文中宋"/>
          <w:b/>
          <w:sz w:val="32"/>
          <w:szCs w:val="32"/>
        </w:rPr>
      </w:pPr>
      <w:r>
        <w:rPr>
          <w:rFonts w:hint="eastAsia" w:ascii="黑体" w:eastAsia="黑体"/>
          <w:b/>
          <w:sz w:val="32"/>
          <w:szCs w:val="32"/>
        </w:rPr>
        <w:br w:type="page"/>
      </w:r>
    </w:p>
    <w:p>
      <w:pPr>
        <w:pStyle w:val="2"/>
        <w:spacing w:line="240" w:lineRule="atLeast"/>
        <w:jc w:val="center"/>
        <w:rPr>
          <w:rFonts w:ascii="华文中宋" w:hAnsi="华文中宋" w:eastAsia="华文中宋"/>
          <w:sz w:val="36"/>
          <w:szCs w:val="36"/>
        </w:rPr>
      </w:pPr>
      <w:r>
        <w:rPr>
          <w:rFonts w:hint="eastAsia" w:ascii="华文中宋" w:hAnsi="华文中宋" w:eastAsia="华文中宋"/>
          <w:sz w:val="36"/>
          <w:szCs w:val="36"/>
        </w:rPr>
        <w:t>第四章  投标人的资格、资质性及其他类似效力要求</w:t>
      </w:r>
      <w:bookmarkEnd w:id="158"/>
      <w:bookmarkEnd w:id="169"/>
    </w:p>
    <w:p>
      <w:pPr>
        <w:pStyle w:val="3"/>
        <w:spacing w:before="156" w:beforeLines="50" w:after="156" w:afterLines="50" w:line="360" w:lineRule="exact"/>
        <w:rPr>
          <w:rFonts w:ascii="宋体" w:eastAsia="宋体"/>
          <w:sz w:val="24"/>
          <w:szCs w:val="24"/>
        </w:rPr>
      </w:pPr>
      <w:r>
        <w:rPr>
          <w:rFonts w:hint="eastAsia"/>
          <w:sz w:val="24"/>
          <w:szCs w:val="24"/>
        </w:rPr>
        <w:t>一、</w:t>
      </w:r>
      <w:r>
        <w:rPr>
          <w:rFonts w:hint="eastAsia" w:ascii="宋体" w:eastAsia="宋体"/>
          <w:sz w:val="24"/>
          <w:szCs w:val="24"/>
        </w:rPr>
        <w:t>投标人资格、资质性及其他类似效力要求</w:t>
      </w:r>
    </w:p>
    <w:p>
      <w:pPr>
        <w:pStyle w:val="70"/>
        <w:spacing w:before="156" w:beforeLines="50" w:after="156" w:afterLines="50" w:line="360" w:lineRule="exact"/>
        <w:ind w:firstLine="0" w:firstLineChars="0"/>
        <w:rPr>
          <w:rFonts w:ascii="宋体"/>
          <w:b/>
          <w:bCs/>
          <w:sz w:val="24"/>
        </w:rPr>
      </w:pPr>
      <w:r>
        <w:rPr>
          <w:b/>
          <w:bCs/>
          <w:sz w:val="24"/>
        </w:rPr>
        <w:t>（一）</w:t>
      </w:r>
      <w:r>
        <w:rPr>
          <w:rFonts w:hint="eastAsia"/>
          <w:b/>
          <w:bCs/>
          <w:sz w:val="24"/>
        </w:rPr>
        <w:t>投标人的资格和资质性要求</w:t>
      </w:r>
      <w:r>
        <w:rPr>
          <w:rFonts w:hint="eastAsia" w:ascii="宋体"/>
          <w:b/>
          <w:bCs/>
          <w:sz w:val="24"/>
        </w:rPr>
        <w:t>：</w:t>
      </w:r>
    </w:p>
    <w:p>
      <w:pPr>
        <w:pStyle w:val="70"/>
        <w:spacing w:before="156" w:beforeLines="50" w:after="156" w:afterLines="50" w:line="360" w:lineRule="exact"/>
        <w:ind w:firstLine="0" w:firstLineChars="0"/>
        <w:rPr>
          <w:sz w:val="24"/>
        </w:rPr>
      </w:pPr>
      <w:r>
        <w:rPr>
          <w:rFonts w:hint="eastAsia"/>
          <w:sz w:val="24"/>
        </w:rPr>
        <w:t>1、具有独立承担民事责任的能力。</w:t>
      </w:r>
    </w:p>
    <w:p>
      <w:pPr>
        <w:tabs>
          <w:tab w:val="left" w:pos="7665"/>
        </w:tabs>
        <w:spacing w:before="156" w:beforeLines="50" w:after="156" w:afterLines="50" w:line="360" w:lineRule="exact"/>
        <w:rPr>
          <w:rFonts w:ascii="宋体"/>
          <w:sz w:val="24"/>
        </w:rPr>
      </w:pPr>
      <w:r>
        <w:rPr>
          <w:rFonts w:hint="eastAsia"/>
          <w:sz w:val="24"/>
        </w:rPr>
        <w:t>2、</w:t>
      </w:r>
      <w:r>
        <w:rPr>
          <w:rFonts w:hint="eastAsia" w:ascii="宋体"/>
          <w:sz w:val="24"/>
        </w:rPr>
        <w:t>具有良好的商业信誉和健全的财务会计制度。</w:t>
      </w:r>
    </w:p>
    <w:p>
      <w:pPr>
        <w:tabs>
          <w:tab w:val="left" w:pos="7665"/>
        </w:tabs>
        <w:spacing w:before="156" w:beforeLines="50" w:after="156" w:afterLines="50" w:line="360" w:lineRule="exact"/>
        <w:rPr>
          <w:rFonts w:ascii="宋体"/>
          <w:sz w:val="24"/>
        </w:rPr>
      </w:pPr>
      <w:r>
        <w:rPr>
          <w:rFonts w:hint="eastAsia" w:ascii="宋体"/>
          <w:sz w:val="24"/>
        </w:rPr>
        <w:t>3、具有履行合同所必须的设备和专业技术能力。</w:t>
      </w:r>
    </w:p>
    <w:p>
      <w:pPr>
        <w:tabs>
          <w:tab w:val="left" w:pos="7665"/>
        </w:tabs>
        <w:spacing w:before="156" w:beforeLines="50" w:after="156" w:afterLines="50" w:line="360" w:lineRule="exact"/>
        <w:rPr>
          <w:rFonts w:ascii="宋体"/>
          <w:sz w:val="24"/>
        </w:rPr>
      </w:pPr>
      <w:r>
        <w:rPr>
          <w:rFonts w:hint="eastAsia" w:ascii="宋体"/>
          <w:sz w:val="24"/>
        </w:rPr>
        <w:t>4、具有依法缴纳税收和社会保障资金的良好记录。</w:t>
      </w:r>
    </w:p>
    <w:p>
      <w:pPr>
        <w:tabs>
          <w:tab w:val="left" w:pos="7665"/>
        </w:tabs>
        <w:spacing w:before="156" w:beforeLines="50" w:after="156" w:afterLines="50" w:line="360" w:lineRule="exact"/>
        <w:rPr>
          <w:rFonts w:ascii="宋体"/>
          <w:sz w:val="24"/>
        </w:rPr>
      </w:pPr>
      <w:r>
        <w:rPr>
          <w:rFonts w:hint="eastAsia" w:ascii="宋体"/>
          <w:sz w:val="24"/>
        </w:rPr>
        <w:t>5、参加本次招标采购活动前三年内，在经营活动中没有重大违法记录。</w:t>
      </w:r>
    </w:p>
    <w:p>
      <w:pPr>
        <w:pStyle w:val="70"/>
        <w:spacing w:before="156" w:beforeLines="50" w:after="156" w:afterLines="50" w:line="360" w:lineRule="exact"/>
        <w:ind w:firstLine="0" w:firstLineChars="0"/>
        <w:rPr>
          <w:sz w:val="24"/>
        </w:rPr>
      </w:pPr>
      <w:r>
        <w:rPr>
          <w:sz w:val="24"/>
        </w:rPr>
        <w:t>6</w:t>
      </w:r>
      <w:r>
        <w:rPr>
          <w:rFonts w:hint="eastAsia"/>
          <w:sz w:val="24"/>
        </w:rPr>
        <w:t>、</w:t>
      </w:r>
      <w:r>
        <w:rPr>
          <w:rFonts w:hint="eastAsia" w:ascii="宋体" w:hAnsi="宋体" w:cs="宋体"/>
          <w:sz w:val="24"/>
        </w:rPr>
        <w:t>投标人还符合法律、行政法规规定的其他强制性条件</w:t>
      </w:r>
      <w:r>
        <w:rPr>
          <w:rFonts w:hint="eastAsia"/>
          <w:sz w:val="24"/>
        </w:rPr>
        <w:t>。</w:t>
      </w:r>
    </w:p>
    <w:p>
      <w:pPr>
        <w:pStyle w:val="70"/>
        <w:spacing w:before="156" w:beforeLines="50" w:after="156" w:afterLines="50" w:line="360" w:lineRule="exact"/>
        <w:ind w:firstLine="0" w:firstLineChars="0"/>
        <w:rPr>
          <w:b/>
          <w:bCs/>
          <w:sz w:val="24"/>
        </w:rPr>
      </w:pPr>
      <w:r>
        <w:rPr>
          <w:rFonts w:hint="eastAsia"/>
          <w:b/>
          <w:bCs/>
          <w:sz w:val="24"/>
        </w:rPr>
        <w:t>（二）其他类似效力要求：</w:t>
      </w:r>
    </w:p>
    <w:p>
      <w:pPr>
        <w:pStyle w:val="70"/>
        <w:spacing w:before="156" w:beforeLines="50" w:after="156" w:afterLines="50" w:line="360" w:lineRule="exact"/>
        <w:ind w:firstLine="0" w:firstLineChars="0"/>
        <w:rPr>
          <w:sz w:val="24"/>
        </w:rPr>
      </w:pPr>
      <w:r>
        <w:rPr>
          <w:rFonts w:hint="eastAsia"/>
          <w:sz w:val="24"/>
        </w:rPr>
        <w:t>1、缴纳本次招标要求的投标保证金。</w:t>
      </w:r>
    </w:p>
    <w:p>
      <w:pPr>
        <w:pStyle w:val="70"/>
        <w:spacing w:line="240" w:lineRule="auto"/>
        <w:ind w:firstLine="0" w:firstLineChars="0"/>
        <w:rPr>
          <w:sz w:val="24"/>
        </w:rPr>
      </w:pPr>
      <w:r>
        <w:rPr>
          <w:rFonts w:hint="eastAsia"/>
          <w:sz w:val="24"/>
        </w:rPr>
        <w:t>2、参加本次投标活动的投标人代表的授权。</w:t>
      </w:r>
    </w:p>
    <w:p>
      <w:pPr>
        <w:pStyle w:val="70"/>
        <w:spacing w:line="240" w:lineRule="auto"/>
        <w:ind w:firstLine="0" w:firstLineChars="0"/>
        <w:rPr>
          <w:b/>
          <w:sz w:val="24"/>
        </w:rPr>
      </w:pPr>
      <w:r>
        <w:rPr>
          <w:sz w:val="24"/>
        </w:rPr>
        <w:t>3</w:t>
      </w:r>
      <w:r>
        <w:rPr>
          <w:rFonts w:hint="eastAsia"/>
          <w:sz w:val="24"/>
        </w:rPr>
        <w:t>、按招标要求向本项目招标代理机构购买招标文件。</w:t>
      </w:r>
    </w:p>
    <w:p>
      <w:pPr>
        <w:pStyle w:val="70"/>
        <w:spacing w:before="156" w:beforeLines="50" w:after="156" w:afterLines="50" w:line="240" w:lineRule="exact"/>
        <w:ind w:firstLine="0" w:firstLineChars="0"/>
        <w:rPr>
          <w:b/>
          <w:sz w:val="24"/>
        </w:rPr>
      </w:pPr>
    </w:p>
    <w:p>
      <w:pPr>
        <w:pStyle w:val="70"/>
        <w:spacing w:before="156" w:beforeLines="50" w:after="156" w:afterLines="50" w:line="240" w:lineRule="exact"/>
        <w:ind w:firstLine="0" w:firstLineChars="0"/>
        <w:rPr>
          <w:rFonts w:ascii="仿宋_GB2312" w:hAnsi="宋体" w:eastAsia="仿宋_GB2312" w:cs="宋体"/>
          <w:kern w:val="0"/>
          <w:sz w:val="29"/>
          <w:szCs w:val="29"/>
        </w:rPr>
      </w:pPr>
      <w:r>
        <w:rPr>
          <w:rFonts w:hint="eastAsia"/>
          <w:b/>
          <w:sz w:val="24"/>
        </w:rPr>
        <w:t>注：1、本章所称“重大违法”，是指投标人因违法经营受到刑事处罚或者责令停产停业、吊销许可证或者执照、较大数额罚款的行政处罚。（“较大数额罚款”的金额标准是指：若招标项目所属行业行政主管部门对较大数额罚款金额标准有明文规定的，以所属行业行政主管部门规定的较大数额罚款金额标准；若招标项目所属行业行政主管部门对较大数额罚款金额标准未明文规定的，以处罚所在地的省级人民政府规定的行政处罚罚款听证标准金额为准。）</w:t>
      </w:r>
    </w:p>
    <w:p>
      <w:pPr>
        <w:pStyle w:val="70"/>
        <w:numPr>
          <w:ilvl w:val="0"/>
          <w:numId w:val="2"/>
        </w:numPr>
        <w:spacing w:before="156" w:beforeLines="50" w:after="156" w:afterLines="50" w:line="240" w:lineRule="exact"/>
        <w:ind w:firstLine="472" w:firstLineChars="196"/>
        <w:rPr>
          <w:b/>
          <w:sz w:val="24"/>
        </w:rPr>
      </w:pPr>
      <w:r>
        <w:rPr>
          <w:rFonts w:hint="eastAsia"/>
          <w:b/>
          <w:sz w:val="24"/>
        </w:rPr>
        <w:t>投标人在参加本次招标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2"/>
        <w:spacing w:line="240" w:lineRule="atLeast"/>
        <w:jc w:val="center"/>
        <w:rPr>
          <w:rFonts w:ascii="华文中宋" w:hAnsi="华文中宋" w:eastAsia="华文中宋"/>
          <w:sz w:val="36"/>
          <w:szCs w:val="36"/>
        </w:rPr>
      </w:pPr>
      <w:bookmarkStart w:id="170" w:name="_Toc1588"/>
      <w:r>
        <w:rPr>
          <w:rFonts w:hint="eastAsia"/>
          <w:sz w:val="36"/>
          <w:szCs w:val="36"/>
        </w:rPr>
        <w:br w:type="page"/>
      </w:r>
      <w:bookmarkStart w:id="171" w:name="_Toc513065350"/>
      <w:r>
        <w:rPr>
          <w:rFonts w:hint="eastAsia" w:ascii="华文中宋" w:hAnsi="华文中宋" w:eastAsia="华文中宋"/>
          <w:sz w:val="36"/>
          <w:szCs w:val="36"/>
        </w:rPr>
        <w:t>第五章  投标人应当提供的资格、资质性及其他类似效力要求的相关证明材料</w:t>
      </w:r>
      <w:bookmarkEnd w:id="170"/>
      <w:bookmarkEnd w:id="171"/>
    </w:p>
    <w:p>
      <w:pPr>
        <w:pStyle w:val="3"/>
        <w:spacing w:before="156" w:beforeLines="50" w:after="156" w:afterLines="50" w:line="400" w:lineRule="exact"/>
        <w:rPr>
          <w:rFonts w:ascii="宋体" w:eastAsia="宋体"/>
          <w:sz w:val="24"/>
          <w:szCs w:val="24"/>
        </w:rPr>
      </w:pPr>
      <w:r>
        <w:rPr>
          <w:rFonts w:hint="eastAsia" w:ascii="宋体" w:eastAsia="宋体"/>
          <w:sz w:val="24"/>
          <w:szCs w:val="24"/>
        </w:rPr>
        <w:t>一、应当提供的投标人资格、资质性及其他类似效力要求的相关证明材料</w:t>
      </w:r>
    </w:p>
    <w:p>
      <w:pPr>
        <w:spacing w:before="156" w:beforeLines="50" w:after="156" w:afterLines="50" w:line="400" w:lineRule="exact"/>
        <w:rPr>
          <w:rFonts w:hAnsi="宋体"/>
          <w:b/>
          <w:bCs/>
          <w:sz w:val="24"/>
        </w:rPr>
      </w:pPr>
      <w:r>
        <w:rPr>
          <w:rFonts w:hint="eastAsia" w:hAnsi="宋体"/>
          <w:b/>
          <w:bCs/>
          <w:sz w:val="24"/>
        </w:rPr>
        <w:t>（一）投标人的资格和资质性要求相关证明材料：</w:t>
      </w:r>
    </w:p>
    <w:p>
      <w:pPr>
        <w:pStyle w:val="70"/>
        <w:spacing w:before="156" w:beforeLines="50" w:after="156" w:afterLines="50" w:line="400" w:lineRule="exact"/>
        <w:ind w:firstLine="0" w:firstLineChars="0"/>
        <w:rPr>
          <w:sz w:val="24"/>
        </w:rPr>
      </w:pPr>
      <w:r>
        <w:rPr>
          <w:rFonts w:hint="eastAsia"/>
          <w:sz w:val="24"/>
        </w:rPr>
        <w:t>1、具有独立承担民事责任的能力。（注：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以上材料均提供复印件）。</w:t>
      </w:r>
    </w:p>
    <w:p>
      <w:pPr>
        <w:pStyle w:val="70"/>
        <w:spacing w:before="156" w:beforeLines="50" w:after="156" w:afterLines="50" w:line="400" w:lineRule="exact"/>
        <w:ind w:firstLine="0" w:firstLineChars="0"/>
        <w:rPr>
          <w:sz w:val="24"/>
        </w:rPr>
      </w:pPr>
      <w:r>
        <w:rPr>
          <w:rFonts w:hint="eastAsia"/>
          <w:sz w:val="24"/>
        </w:rPr>
        <w:t>2、具备良好商业信誉的证明材料（可提供承诺函原件，格式详见第三章格式3）；</w:t>
      </w:r>
    </w:p>
    <w:p>
      <w:pPr>
        <w:pStyle w:val="70"/>
        <w:spacing w:before="156" w:beforeLines="50" w:after="156" w:afterLines="50" w:line="400" w:lineRule="exact"/>
        <w:ind w:firstLine="0" w:firstLineChars="0"/>
        <w:rPr>
          <w:sz w:val="24"/>
        </w:rPr>
      </w:pPr>
      <w:r>
        <w:rPr>
          <w:rFonts w:hint="eastAsia"/>
          <w:sz w:val="24"/>
        </w:rPr>
        <w:t>3、具备健全的财务会计制度的证明材料。｛注：①可提供2018或2019年度经审计的财务报告复印件（包含审计报告和审计报告中所涉及的财务报表和报表附注）；②也可提供2018或2019年度投标人内部的财务报表复印件（至少包含资产负债表和利润表）；③也可提供投标文件递交截止日前一年内银行出具的有效资信证明；④投标人注册时间距投标文件递交截止日不足一年的，也可提供加盖工商备案主管部门印章的公司章程复印件｝</w:t>
      </w:r>
    </w:p>
    <w:p>
      <w:pPr>
        <w:pStyle w:val="70"/>
        <w:spacing w:before="156" w:beforeLines="50" w:after="156" w:afterLines="50" w:line="400" w:lineRule="exact"/>
        <w:ind w:firstLine="0" w:firstLineChars="0"/>
        <w:rPr>
          <w:sz w:val="24"/>
        </w:rPr>
      </w:pPr>
      <w:r>
        <w:rPr>
          <w:rFonts w:hint="eastAsia"/>
          <w:sz w:val="24"/>
        </w:rPr>
        <w:t>4、具有依法缴纳税收和社会保障资金良好记录的证明材料（可提供承诺函原件，格式详见第三章格式3）；</w:t>
      </w:r>
    </w:p>
    <w:p>
      <w:pPr>
        <w:pStyle w:val="70"/>
        <w:spacing w:before="156" w:beforeLines="50" w:after="156" w:afterLines="50" w:line="400" w:lineRule="exact"/>
        <w:ind w:firstLine="0" w:firstLineChars="0"/>
        <w:rPr>
          <w:sz w:val="24"/>
        </w:rPr>
      </w:pPr>
      <w:r>
        <w:rPr>
          <w:rFonts w:hint="eastAsia"/>
          <w:sz w:val="24"/>
        </w:rPr>
        <w:t>5、具备履行合同所必需的设备和专业技术能力的证明材料（可提供承诺函原件，格式详见第三章格式3）；</w:t>
      </w:r>
    </w:p>
    <w:p>
      <w:pPr>
        <w:pStyle w:val="70"/>
        <w:spacing w:before="156" w:beforeLines="50" w:after="156" w:afterLines="50" w:line="400" w:lineRule="exact"/>
        <w:ind w:firstLine="0" w:firstLineChars="0"/>
        <w:rPr>
          <w:sz w:val="24"/>
        </w:rPr>
      </w:pPr>
      <w:r>
        <w:rPr>
          <w:rFonts w:hint="eastAsia"/>
          <w:sz w:val="24"/>
        </w:rPr>
        <w:t>6、参加本次招标采购活动前3年内在经营活动中没有重大违法记录的证明材料（可提供承诺函原件，格式详见第三章格式3）；</w:t>
      </w:r>
    </w:p>
    <w:p>
      <w:pPr>
        <w:pStyle w:val="70"/>
        <w:spacing w:before="156" w:beforeLines="50" w:after="156" w:afterLines="50" w:line="400" w:lineRule="exact"/>
        <w:ind w:firstLine="0" w:firstLineChars="0"/>
        <w:rPr>
          <w:sz w:val="24"/>
        </w:rPr>
      </w:pPr>
      <w:r>
        <w:rPr>
          <w:sz w:val="24"/>
        </w:rPr>
        <w:t>7</w:t>
      </w:r>
      <w:r>
        <w:rPr>
          <w:rFonts w:hint="eastAsia"/>
          <w:sz w:val="24"/>
        </w:rPr>
        <w:t xml:space="preserve">、投标人还符合法律、行政法规规定的其他强制性条件的证明材料（可提供承诺函原件，格式详见第三章格式3）。 </w:t>
      </w:r>
    </w:p>
    <w:p>
      <w:pPr>
        <w:spacing w:before="156" w:beforeLines="50" w:after="156" w:afterLines="50" w:line="400" w:lineRule="exact"/>
        <w:rPr>
          <w:rFonts w:hAnsi="宋体"/>
          <w:b/>
          <w:bCs/>
          <w:sz w:val="24"/>
        </w:rPr>
      </w:pPr>
      <w:r>
        <w:rPr>
          <w:rFonts w:hint="eastAsia" w:hAnsi="宋体"/>
          <w:b/>
          <w:bCs/>
          <w:sz w:val="24"/>
        </w:rPr>
        <w:t>（二）其他类似效力要求相关证明材料：</w:t>
      </w:r>
    </w:p>
    <w:p>
      <w:pPr>
        <w:pStyle w:val="70"/>
        <w:spacing w:before="156" w:beforeLines="50" w:after="156" w:afterLines="50" w:line="400" w:lineRule="exact"/>
        <w:ind w:firstLine="0" w:firstLineChars="0"/>
        <w:rPr>
          <w:sz w:val="24"/>
        </w:rPr>
      </w:pPr>
      <w:r>
        <w:rPr>
          <w:rFonts w:hint="eastAsia"/>
          <w:sz w:val="24"/>
        </w:rPr>
        <w:t>1、按招标文件第二章“投标人须知附表”的要求交纳投标保证金的证明材料。（注：须符合本项目招标文件第二章“投标人须知附表”中针对投标保证金的全部要求）</w:t>
      </w:r>
    </w:p>
    <w:p>
      <w:pPr>
        <w:pStyle w:val="70"/>
        <w:spacing w:before="156" w:beforeLines="50" w:after="156" w:afterLines="50" w:line="400" w:lineRule="exact"/>
        <w:ind w:firstLine="0" w:firstLineChars="0"/>
        <w:rPr>
          <w:sz w:val="24"/>
        </w:rPr>
      </w:pPr>
      <w:r>
        <w:rPr>
          <w:rFonts w:hint="eastAsia"/>
          <w:sz w:val="24"/>
        </w:rPr>
        <w:t>2、非法定代表人参与投标并签署投标文件时，提供法定代表人授权书原件以及法定代表人和代理人的身份证复印件（提供身份证有困难的，也可提供户口本或军官证或护照等身份证明材料）。</w:t>
      </w:r>
    </w:p>
    <w:p>
      <w:pPr>
        <w:pStyle w:val="70"/>
        <w:spacing w:before="156" w:beforeLines="50" w:after="156" w:afterLines="50" w:line="400" w:lineRule="exact"/>
        <w:ind w:firstLine="0" w:firstLineChars="0"/>
        <w:rPr>
          <w:sz w:val="24"/>
        </w:rPr>
      </w:pPr>
      <w:r>
        <w:rPr>
          <w:rFonts w:hint="eastAsia"/>
          <w:sz w:val="24"/>
        </w:rPr>
        <w:t>3、法定代表人直接参与投标并签署投标文件时，提供法定代表人证明书原件和法定代表人身份证复印件（提供身份证有困难的，也可提供户口本或军官证或护照等身份证明材料）。</w:t>
      </w:r>
    </w:p>
    <w:p>
      <w:pPr>
        <w:pStyle w:val="70"/>
        <w:spacing w:before="156" w:beforeLines="50" w:after="156" w:afterLines="50" w:line="400" w:lineRule="exact"/>
        <w:ind w:firstLine="0" w:firstLineChars="0"/>
        <w:rPr>
          <w:sz w:val="24"/>
        </w:rPr>
      </w:pPr>
      <w:r>
        <w:rPr>
          <w:rFonts w:hint="eastAsia"/>
          <w:sz w:val="24"/>
        </w:rPr>
        <w:t>4、按招标要求向本项目招标代理机构购买招标文件（由代理机构提供投标人购买招标文件情况的相关证明材料，投标人不用提供证明材料）。</w:t>
      </w:r>
    </w:p>
    <w:p>
      <w:pPr>
        <w:spacing w:before="156" w:beforeLines="50" w:after="156" w:afterLines="50" w:line="400" w:lineRule="exact"/>
        <w:rPr>
          <w:rFonts w:ascii="宋体" w:hAnsi="宋体" w:cs="宋体"/>
          <w:b/>
          <w:kern w:val="0"/>
          <w:sz w:val="24"/>
        </w:rPr>
      </w:pPr>
    </w:p>
    <w:p>
      <w:pPr>
        <w:spacing w:before="156" w:beforeLines="50" w:after="156" w:afterLines="50" w:line="400" w:lineRule="exact"/>
        <w:rPr>
          <w:rFonts w:ascii="宋体" w:hAnsi="宋体" w:cs="宋体"/>
          <w:b/>
          <w:kern w:val="0"/>
          <w:sz w:val="24"/>
        </w:rPr>
      </w:pPr>
      <w:r>
        <w:rPr>
          <w:rFonts w:hint="eastAsia" w:ascii="宋体" w:hAnsi="宋体" w:cs="宋体"/>
          <w:b/>
          <w:kern w:val="0"/>
          <w:sz w:val="24"/>
        </w:rPr>
        <w:t>注：1、本章要求提供的材料复印件均须加盖投标单位的公章（鲜章）。</w:t>
      </w:r>
    </w:p>
    <w:p>
      <w:pPr>
        <w:spacing w:before="156" w:beforeLines="50" w:after="156" w:afterLines="50" w:line="400" w:lineRule="exact"/>
        <w:ind w:firstLine="482" w:firstLineChars="200"/>
        <w:rPr>
          <w:rFonts w:ascii="宋体" w:hAnsi="宋体" w:cs="宋体"/>
          <w:b/>
          <w:kern w:val="0"/>
          <w:sz w:val="24"/>
        </w:rPr>
      </w:pPr>
      <w:r>
        <w:rPr>
          <w:rFonts w:hint="eastAsia" w:ascii="宋体" w:hAnsi="宋体" w:cs="宋体"/>
          <w:b/>
          <w:kern w:val="0"/>
          <w:sz w:val="24"/>
        </w:rPr>
        <w:t>2、</w:t>
      </w:r>
      <w:bookmarkStart w:id="172" w:name="_Toc217446093"/>
      <w:r>
        <w:rPr>
          <w:rFonts w:ascii="宋体" w:hAnsi="宋体" w:cs="宋体"/>
          <w:b/>
          <w:kern w:val="0"/>
          <w:sz w:val="24"/>
        </w:rPr>
        <w:t>根据国务院办公厅关于加快推进“多证合一”改革的指导意见（国办发【2017】41号）等政策要求，若资格要求涉及的登记、备案等有关事项和各类证照已实行多证合一导致投标人无法提供该类证明材料的，投标人须提供“多证合一”的营业执照，并就被“多证合一”整合的相关登记、备案和各类证照的真实性作出声明（</w:t>
      </w:r>
      <w:r>
        <w:rPr>
          <w:rFonts w:hint="eastAsia" w:ascii="宋体" w:hAnsi="宋体" w:cs="宋体"/>
          <w:b/>
          <w:kern w:val="0"/>
          <w:sz w:val="24"/>
        </w:rPr>
        <w:t>声明函</w:t>
      </w:r>
      <w:r>
        <w:rPr>
          <w:rFonts w:ascii="宋体" w:hAnsi="宋体" w:cs="宋体"/>
          <w:b/>
          <w:kern w:val="0"/>
          <w:sz w:val="24"/>
        </w:rPr>
        <w:t>格式详见第</w:t>
      </w:r>
      <w:r>
        <w:rPr>
          <w:rFonts w:hint="eastAsia" w:ascii="宋体" w:hAnsi="宋体" w:cs="宋体"/>
          <w:b/>
          <w:kern w:val="0"/>
          <w:sz w:val="24"/>
        </w:rPr>
        <w:t>三</w:t>
      </w:r>
      <w:r>
        <w:rPr>
          <w:rFonts w:ascii="宋体" w:hAnsi="宋体" w:cs="宋体"/>
          <w:b/>
          <w:kern w:val="0"/>
          <w:sz w:val="24"/>
        </w:rPr>
        <w:t>章格式</w:t>
      </w:r>
      <w:r>
        <w:rPr>
          <w:rFonts w:hint="eastAsia" w:ascii="宋体" w:hAnsi="宋体" w:cs="宋体"/>
          <w:b/>
          <w:kern w:val="0"/>
          <w:sz w:val="24"/>
        </w:rPr>
        <w:t>1-</w:t>
      </w:r>
      <w:r>
        <w:rPr>
          <w:rFonts w:ascii="宋体" w:hAnsi="宋体" w:cs="宋体"/>
          <w:b/>
          <w:kern w:val="0"/>
          <w:sz w:val="24"/>
        </w:rPr>
        <w:t xml:space="preserve">5）。 </w:t>
      </w:r>
    </w:p>
    <w:p>
      <w:pPr>
        <w:spacing w:before="156" w:beforeLines="50" w:after="156" w:afterLines="50" w:line="400" w:lineRule="exact"/>
        <w:rPr>
          <w:sz w:val="36"/>
          <w:szCs w:val="36"/>
        </w:rPr>
        <w:sectPr>
          <w:pgSz w:w="11906" w:h="16838"/>
          <w:pgMar w:top="1440" w:right="1800" w:bottom="1440" w:left="1800" w:header="851" w:footer="992" w:gutter="0"/>
          <w:cols w:space="720" w:num="1"/>
          <w:docGrid w:type="lines" w:linePitch="312" w:charSpace="0"/>
        </w:sectPr>
      </w:pPr>
    </w:p>
    <w:p>
      <w:pPr>
        <w:pStyle w:val="2"/>
        <w:spacing w:line="240" w:lineRule="atLeast"/>
        <w:jc w:val="center"/>
        <w:rPr>
          <w:rFonts w:ascii="华文中宋" w:hAnsi="华文中宋" w:eastAsia="华文中宋"/>
          <w:sz w:val="36"/>
          <w:szCs w:val="36"/>
        </w:rPr>
      </w:pPr>
      <w:bookmarkStart w:id="173" w:name="_Toc513065351"/>
      <w:r>
        <w:rPr>
          <w:rFonts w:hint="eastAsia" w:ascii="华文中宋" w:hAnsi="华文中宋" w:eastAsia="华文中宋"/>
          <w:sz w:val="36"/>
          <w:szCs w:val="36"/>
        </w:rPr>
        <w:t>第六章  招标项目要求</w:t>
      </w:r>
      <w:bookmarkEnd w:id="173"/>
    </w:p>
    <w:bookmarkEnd w:id="159"/>
    <w:bookmarkEnd w:id="172"/>
    <w:p>
      <w:pPr>
        <w:pStyle w:val="3"/>
        <w:spacing w:line="240" w:lineRule="auto"/>
        <w:rPr>
          <w:rFonts w:ascii="宋体" w:hAnsi="宋体"/>
          <w:sz w:val="24"/>
          <w:szCs w:val="24"/>
        </w:rPr>
      </w:pPr>
      <w:bookmarkStart w:id="174" w:name="_Toc217446094"/>
      <w:bookmarkStart w:id="175" w:name="PO_默认文件内容_21"/>
      <w:bookmarkStart w:id="176" w:name="_Toc24786"/>
      <w:r>
        <w:rPr>
          <w:rFonts w:hint="eastAsia" w:ascii="宋体" w:hAnsi="宋体"/>
          <w:color w:val="000000" w:themeColor="text1"/>
          <w:sz w:val="24"/>
          <w:szCs w:val="24"/>
          <w14:textFill>
            <w14:solidFill>
              <w14:schemeClr w14:val="tx1"/>
            </w14:solidFill>
          </w14:textFill>
        </w:rPr>
        <w:t>前提：本章中标注“*”的条款为本项目的实质性要求条款，投标人不满足的，将在符合性审查时按照无效投标处理。标注“</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”得条款为重点扣分条款，不满足作重点扣分处理，具体详见第七章“综合评分明细表”。</w:t>
      </w:r>
    </w:p>
    <w:bookmarkEnd w:id="174"/>
    <w:bookmarkEnd w:id="175"/>
    <w:p>
      <w:pPr>
        <w:pStyle w:val="3"/>
        <w:numPr>
          <w:ilvl w:val="0"/>
          <w:numId w:val="3"/>
        </w:numPr>
        <w:spacing w:line="400" w:lineRule="exact"/>
        <w:rPr>
          <w:rFonts w:ascii="宋体" w:hAnsi="宋体"/>
          <w:color w:val="000000" w:themeColor="text1"/>
          <w:sz w:val="24"/>
          <w:szCs w:val="24"/>
          <w14:textFill>
            <w14:solidFill>
              <w14:schemeClr w14:val="tx1"/>
            </w14:solidFill>
          </w14:textFill>
        </w:rPr>
      </w:pPr>
      <w:bookmarkStart w:id="177" w:name="_Toc517242081"/>
      <w:bookmarkStart w:id="178" w:name="_Toc513065352"/>
      <w:bookmarkStart w:id="179" w:name="PO_默认文件内容_35"/>
      <w:r>
        <w:rPr>
          <w:rFonts w:hint="eastAsia" w:ascii="宋体" w:hAnsi="宋体"/>
          <w:color w:val="000000" w:themeColor="text1"/>
          <w:sz w:val="24"/>
          <w:szCs w:val="24"/>
          <w14:textFill>
            <w14:solidFill>
              <w14:schemeClr w14:val="tx1"/>
            </w14:solidFill>
          </w14:textFill>
        </w:rPr>
        <w:t>项目概述</w:t>
      </w:r>
      <w:bookmarkStart w:id="180" w:name="_Toc217446095"/>
    </w:p>
    <w:tbl>
      <w:tblPr>
        <w:tblStyle w:val="39"/>
        <w:tblpPr w:leftFromText="180" w:rightFromText="180" w:vertAnchor="text" w:horzAnchor="page" w:tblpX="949" w:tblpY="301"/>
        <w:tblOverlap w:val="never"/>
        <w:tblW w:w="10350" w:type="dxa"/>
        <w:tblInd w:w="0" w:type="dxa"/>
        <w:tblLayout w:type="autofit"/>
        <w:tblCellMar>
          <w:top w:w="0" w:type="dxa"/>
          <w:left w:w="0" w:type="dxa"/>
          <w:bottom w:w="0" w:type="dxa"/>
          <w:right w:w="0" w:type="dxa"/>
        </w:tblCellMar>
      </w:tblPr>
      <w:tblGrid>
        <w:gridCol w:w="2709"/>
        <w:gridCol w:w="4110"/>
        <w:gridCol w:w="3531"/>
      </w:tblGrid>
      <w:tr>
        <w:tblPrEx>
          <w:tblCellMar>
            <w:top w:w="0" w:type="dxa"/>
            <w:left w:w="0" w:type="dxa"/>
            <w:bottom w:w="0" w:type="dxa"/>
            <w:right w:w="0" w:type="dxa"/>
          </w:tblCellMar>
        </w:tblPrEx>
        <w:trPr>
          <w:trHeight w:val="574"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kern w:val="0"/>
                <w:sz w:val="22"/>
                <w:szCs w:val="22"/>
                <w:lang w:bidi="ar"/>
                <w14:textFill>
                  <w14:solidFill>
                    <w14:schemeClr w14:val="tx1"/>
                  </w14:solidFill>
                </w14:textFill>
              </w:rPr>
              <w:t>包件</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kern w:val="0"/>
                <w:sz w:val="22"/>
                <w:szCs w:val="22"/>
                <w:lang w:bidi="ar"/>
                <w14:textFill>
                  <w14:solidFill>
                    <w14:schemeClr w14:val="tx1"/>
                  </w14:solidFill>
                </w14:textFill>
              </w:rPr>
              <w:t>设备清单</w:t>
            </w:r>
          </w:p>
        </w:tc>
        <w:tc>
          <w:tcPr>
            <w:tcW w:w="3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kern w:val="0"/>
                <w:sz w:val="22"/>
                <w:szCs w:val="22"/>
                <w:lang w:bidi="ar"/>
                <w14:textFill>
                  <w14:solidFill>
                    <w14:schemeClr w14:val="tx1"/>
                  </w14:solidFill>
                </w14:textFill>
              </w:rPr>
              <w:t>数量（批）</w:t>
            </w:r>
          </w:p>
        </w:tc>
      </w:tr>
      <w:tr>
        <w:tblPrEx>
          <w:tblCellMar>
            <w:top w:w="0" w:type="dxa"/>
            <w:left w:w="0" w:type="dxa"/>
            <w:bottom w:w="0" w:type="dxa"/>
            <w:right w:w="0" w:type="dxa"/>
          </w:tblCellMar>
        </w:tblPrEx>
        <w:trPr>
          <w:trHeight w:val="53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lang w:bidi="ar"/>
                <w14:textFill>
                  <w14:solidFill>
                    <w14:schemeClr w14:val="tx1"/>
                  </w14:solidFill>
                </w14:textFill>
              </w:rPr>
              <w:t>0</w:t>
            </w:r>
            <w:r>
              <w:rPr>
                <w:rFonts w:hint="eastAsia" w:ascii="宋体" w:hAnsi="宋体" w:cs="宋体"/>
                <w:color w:val="000000" w:themeColor="text1"/>
                <w:kern w:val="0"/>
                <w:sz w:val="22"/>
                <w:szCs w:val="22"/>
                <w:lang w:bidi="ar"/>
                <w14:textFill>
                  <w14:solidFill>
                    <w14:schemeClr w14:val="tx1"/>
                  </w14:solidFill>
                </w14:textFill>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日用百货</w:t>
            </w:r>
          </w:p>
        </w:tc>
        <w:tc>
          <w:tcPr>
            <w:tcW w:w="3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r>
    </w:tbl>
    <w:p>
      <w:pPr>
        <w:rPr>
          <w:color w:val="000000" w:themeColor="text1"/>
          <w14:textFill>
            <w14:solidFill>
              <w14:schemeClr w14:val="tx1"/>
            </w14:solidFill>
          </w14:textFill>
        </w:rPr>
      </w:pPr>
    </w:p>
    <w:p>
      <w:pPr>
        <w:pStyle w:val="3"/>
        <w:numPr>
          <w:ilvl w:val="0"/>
          <w:numId w:val="3"/>
        </w:numPr>
        <w:spacing w:line="400" w:lineRule="exact"/>
        <w:rPr>
          <w:rFonts w:ascii="宋体" w:hAnsi="宋体"/>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商务要求</w:t>
      </w:r>
    </w:p>
    <w:p>
      <w:pPr>
        <w:pStyle w:val="169"/>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1、交货</w:t>
      </w:r>
      <w:r>
        <w:rPr>
          <w:color w:val="000000" w:themeColor="text1"/>
          <w14:textFill>
            <w14:solidFill>
              <w14:schemeClr w14:val="tx1"/>
            </w14:solidFill>
          </w14:textFill>
        </w:rPr>
        <w:t>时间：</w:t>
      </w:r>
      <w:r>
        <w:rPr>
          <w:rFonts w:hint="eastAsia"/>
          <w:color w:val="000000" w:themeColor="text1"/>
          <w14:textFill>
            <w14:solidFill>
              <w14:schemeClr w14:val="tx1"/>
            </w14:solidFill>
          </w14:textFill>
        </w:rPr>
        <w:t>供应商应遵守医院的工作流程，接医院通知后及时完善票据资料办理相关物资报账事宜，单次</w:t>
      </w:r>
      <w:r>
        <w:rPr>
          <w:color w:val="000000" w:themeColor="text1"/>
          <w14:textFill>
            <w14:solidFill>
              <w14:schemeClr w14:val="tx1"/>
            </w14:solidFill>
          </w14:textFill>
        </w:rPr>
        <w:t>交货</w:t>
      </w:r>
      <w:r>
        <w:rPr>
          <w:rFonts w:hint="eastAsia"/>
          <w:color w:val="000000" w:themeColor="text1"/>
          <w14:textFill>
            <w14:solidFill>
              <w14:schemeClr w14:val="tx1"/>
            </w14:solidFill>
          </w14:textFill>
        </w:rPr>
        <w:t>时间为接院方通知后24小时内。</w:t>
      </w:r>
    </w:p>
    <w:p>
      <w:pPr>
        <w:pStyle w:val="169"/>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2、交货</w:t>
      </w:r>
      <w:r>
        <w:rPr>
          <w:color w:val="000000" w:themeColor="text1"/>
          <w14:textFill>
            <w14:solidFill>
              <w14:schemeClr w14:val="tx1"/>
            </w14:solidFill>
          </w14:textFill>
        </w:rPr>
        <w:t>地点：金堂县第一人民医院。</w:t>
      </w:r>
    </w:p>
    <w:p>
      <w:pPr>
        <w:pStyle w:val="169"/>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3、严格按照医院要求提供近期生产的货物，不得出现陈货，且所有货物外包装清洁完整、无损坏、无污迹。</w:t>
      </w:r>
    </w:p>
    <w:p>
      <w:pPr>
        <w:pStyle w:val="169"/>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4、货物款项结算方式：</w:t>
      </w:r>
    </w:p>
    <w:p>
      <w:pPr>
        <w:pStyle w:val="169"/>
        <w:spacing w:line="36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.1因采购物资实际数量无法做出精准预算，依据工作开展情况，本次报价为统一折扣率报价，以实际供货在预算内结算货款，</w:t>
      </w:r>
      <w:r>
        <w:rPr>
          <w:color w:val="000000" w:themeColor="text1"/>
          <w14:textFill>
            <w14:solidFill>
              <w14:schemeClr w14:val="tx1"/>
            </w14:solidFill>
          </w14:textFill>
        </w:rPr>
        <w:t>结算金额=实际供货数量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最高单价限价×统一折扣率</w:t>
      </w:r>
      <w:r>
        <w:rPr>
          <w:rFonts w:hint="eastAsia"/>
          <w:color w:val="000000" w:themeColor="text1"/>
          <w14:textFill>
            <w14:solidFill>
              <w14:schemeClr w14:val="tx1"/>
            </w14:solidFill>
          </w14:textFill>
        </w:rPr>
        <w:t>）。</w:t>
      </w:r>
    </w:p>
    <w:p>
      <w:pPr>
        <w:pStyle w:val="169"/>
        <w:spacing w:line="36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.2按照采购计划先送货，货物无质量问题，于次月采购计划前完善票据资料，交财务支付上月货款。</w:t>
      </w:r>
    </w:p>
    <w:p>
      <w:pPr>
        <w:pStyle w:val="169"/>
        <w:spacing w:line="36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验收标准：</w:t>
      </w:r>
    </w:p>
    <w:p>
      <w:pPr>
        <w:pStyle w:val="169"/>
        <w:spacing w:line="360" w:lineRule="auto"/>
        <w:ind w:firstLine="0" w:firstLineChars="0"/>
      </w:pPr>
      <w:r>
        <w:rPr>
          <w:rFonts w:hint="eastAsia"/>
        </w:rPr>
        <w:t>参照《四川省政府采购项目需求论证和履约验收管理办法》（川财采〔2015〕32号）的要求组织验收。</w:t>
      </w:r>
    </w:p>
    <w:p>
      <w:pPr>
        <w:pStyle w:val="169"/>
        <w:spacing w:line="360" w:lineRule="auto"/>
        <w:ind w:firstLine="0" w:firstLineChars="0"/>
        <w:rPr>
          <w:color w:val="000000" w:themeColor="text1"/>
          <w14:textFill>
            <w14:solidFill>
              <w14:schemeClr w14:val="tx1"/>
            </w14:solidFill>
          </w14:textFill>
        </w:rPr>
      </w:pPr>
      <w:r>
        <w:rPr>
          <w:rFonts w:hint="eastAsia"/>
        </w:rPr>
        <w:t>6</w:t>
      </w:r>
      <w:r>
        <w:t>.</w:t>
      </w:r>
      <w:r>
        <w:rPr>
          <w:rFonts w:hint="eastAsia"/>
        </w:rPr>
        <w:t>服务期限：3年</w:t>
      </w:r>
      <w:r>
        <w:t>,</w:t>
      </w:r>
      <w:r>
        <w:rPr>
          <w:rFonts w:hint="eastAsia"/>
        </w:rPr>
        <w:t>合同一年一签。</w:t>
      </w:r>
    </w:p>
    <w:p>
      <w:pPr>
        <w:pStyle w:val="3"/>
        <w:spacing w:line="400" w:lineRule="exact"/>
        <w:rPr>
          <w:rFonts w:ascii="宋体" w:hAnsi="宋体"/>
          <w:b w:val="0"/>
          <w:bCs w:val="0"/>
          <w:color w:val="FF0000"/>
          <w:sz w:val="24"/>
        </w:rPr>
      </w:pPr>
      <w:r>
        <w:rPr>
          <w:rFonts w:hint="eastAsia" w:ascii="宋体" w:hAnsi="宋体"/>
          <w:color w:val="000000" w:themeColor="text1"/>
          <w:sz w:val="24"/>
          <w:szCs w:val="24"/>
          <w14:textFill>
            <w14:solidFill>
              <w14:schemeClr w14:val="tx1"/>
            </w14:solidFill>
          </w14:textFill>
        </w:rPr>
        <w:t>三、技术参数要求</w:t>
      </w:r>
      <w:bookmarkEnd w:id="180"/>
      <w:r>
        <w:rPr>
          <w:rFonts w:hint="eastAsia" w:ascii="宋体" w:hAnsi="宋体"/>
          <w:b w:val="0"/>
          <w:bCs w:val="0"/>
          <w:color w:val="FF0000"/>
          <w:sz w:val="24"/>
        </w:rPr>
        <w:t>（单价</w:t>
      </w:r>
      <w:r>
        <w:rPr>
          <w:rFonts w:ascii="宋体" w:hAnsi="宋体"/>
          <w:b w:val="0"/>
          <w:bCs w:val="0"/>
          <w:color w:val="FF0000"/>
          <w:sz w:val="24"/>
        </w:rPr>
        <w:t>最高</w:t>
      </w:r>
      <w:r>
        <w:rPr>
          <w:rFonts w:hint="eastAsia" w:ascii="宋体" w:hAnsi="宋体"/>
          <w:b w:val="0"/>
          <w:bCs w:val="0"/>
          <w:color w:val="FF0000"/>
          <w:sz w:val="24"/>
        </w:rPr>
        <w:t>限价的</w:t>
      </w:r>
      <w:r>
        <w:rPr>
          <w:rFonts w:ascii="宋体" w:hAnsi="宋体"/>
          <w:b w:val="0"/>
          <w:bCs w:val="0"/>
          <w:color w:val="FF0000"/>
          <w:sz w:val="24"/>
        </w:rPr>
        <w:t>响应</w:t>
      </w:r>
      <w:r>
        <w:rPr>
          <w:rFonts w:hint="eastAsia" w:ascii="宋体" w:hAnsi="宋体"/>
          <w:b w:val="0"/>
          <w:bCs w:val="0"/>
          <w:color w:val="FF0000"/>
          <w:sz w:val="24"/>
        </w:rPr>
        <w:t>在分项报价明细表中体现，投标人可不在技术参数响应表中重复响应）</w:t>
      </w:r>
    </w:p>
    <w:tbl>
      <w:tblPr>
        <w:tblStyle w:val="39"/>
        <w:tblW w:w="9634" w:type="dxa"/>
        <w:tblInd w:w="113" w:type="dxa"/>
        <w:tblLayout w:type="autofit"/>
        <w:tblCellMar>
          <w:top w:w="0" w:type="dxa"/>
          <w:left w:w="108" w:type="dxa"/>
          <w:bottom w:w="0" w:type="dxa"/>
          <w:right w:w="108" w:type="dxa"/>
        </w:tblCellMar>
      </w:tblPr>
      <w:tblGrid>
        <w:gridCol w:w="640"/>
        <w:gridCol w:w="2320"/>
        <w:gridCol w:w="720"/>
        <w:gridCol w:w="2836"/>
        <w:gridCol w:w="3118"/>
      </w:tblGrid>
      <w:tr>
        <w:tblPrEx>
          <w:tblCellMar>
            <w:top w:w="0" w:type="dxa"/>
            <w:left w:w="108" w:type="dxa"/>
            <w:bottom w:w="0" w:type="dxa"/>
            <w:right w:w="108" w:type="dxa"/>
          </w:tblCellMar>
        </w:tblPrEx>
        <w:trPr>
          <w:trHeight w:val="559"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2836" w:type="dxa"/>
            <w:tcBorders>
              <w:top w:val="single" w:color="auto" w:sz="4" w:space="0"/>
              <w:left w:val="nil"/>
              <w:bottom w:val="single" w:color="auto" w:sz="4" w:space="0"/>
              <w:right w:val="single" w:color="auto" w:sz="4" w:space="0"/>
            </w:tcBorders>
            <w:shd w:val="clear" w:color="auto" w:fill="auto"/>
            <w:vAlign w:val="center"/>
          </w:tcPr>
          <w:p>
            <w:pPr>
              <w:pStyle w:val="14"/>
              <w:ind w:firstLine="840" w:firstLineChars="400"/>
              <w:rPr>
                <w:rFonts w:hint="eastAsia"/>
              </w:rPr>
            </w:pPr>
            <w:r>
              <w:rPr>
                <w:rFonts w:hint="eastAsia"/>
              </w:rPr>
              <w:t>技术参数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限价（元） 最高单价</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百洁布</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含砂吸水、高效耐磨、3 片装</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毛巾</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纯棉 A 类 34×71cm 吸水</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18</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线手套</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棉纱手套、耐磨耐用、10 双/包</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小方巾</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30g 纯棉、25×25cm</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2.7</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枕芯</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48cm×74cm、白色</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45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棉带</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扎</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纯棉 1cm×50m</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盖絮</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床</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1.5m 盖絮一级棉 5斤</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85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垫絮</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床</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1.5m 垫絮一级棉 3 斤</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83</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擦手纸盒</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全新聚乙烯， 27×30mm</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40</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卫生纸（卷纸）</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提</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双层原生木浆、110g 卷/提 卫生纸、10</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26</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擦手纸盒</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不锈钢</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95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洗衣粉</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包</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净白去渍、260g/包。</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肥皂</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去污去渍、202g/块、48 块/件。</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2.3</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拖把</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圆头布拖</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扫把</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塑料扫把</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生活垃圾袋1</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黑色大号加厚型垃圾袋（30 克）65×100cm，10 把/件。</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45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生活垃圾袋2</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白色 34×55 生活垃圾袋，耳袋，45 根/把。</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生活垃圾袋3</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把</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黑色 36×55 生活垃圾袋，耳袋，40 根/把。</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18.9</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灭蚊器</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插电式电热灭蚊器</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灭蚊药片</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无味灭蚊药片、36 片/盒</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12.5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沐浴露</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婴儿沐浴露、1L/瓶、不含酒精</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30</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粘钩</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承重 2kg、粘贴式挂钩</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2.5</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指甲刀</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碳钢指甲刀、持久锋利</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电池 1</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粒</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1#碱性无汞干电池</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9</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电池 2</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粒</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5#碱性无汞干电池、对装</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2.1</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电池 3</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粒</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7#碱性无汞干电池、对装</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2.1</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纽扣电池</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粒</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2032 锂电池，3V、5 粒装</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保鲜袋</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卷</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25cm*38cm</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灭害灵</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600 升</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17</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3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纸杯</w:t>
            </w:r>
          </w:p>
        </w:tc>
        <w:tc>
          <w:tcPr>
            <w:tcW w:w="72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件</w:t>
            </w:r>
          </w:p>
        </w:tc>
        <w:tc>
          <w:tcPr>
            <w:tcW w:w="283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40 提/件</w:t>
            </w:r>
          </w:p>
        </w:tc>
        <w:tc>
          <w:tcPr>
            <w:tcW w:w="3118"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160</w:t>
            </w:r>
          </w:p>
        </w:tc>
      </w:tr>
    </w:tbl>
    <w:p>
      <w:bookmarkStart w:id="208" w:name="_GoBack"/>
      <w:bookmarkEnd w:id="208"/>
    </w:p>
    <w:p>
      <w:pPr>
        <w:spacing w:line="36" w:lineRule="exact"/>
        <w:rPr>
          <w:rFonts w:asciiTheme="minorEastAsia" w:hAnsiTheme="minorEastAsia"/>
          <w:color w:val="000000" w:themeColor="text1"/>
          <w:sz w:val="24"/>
          <w14:textFill>
            <w14:solidFill>
              <w14:schemeClr w14:val="tx1"/>
            </w14:solidFill>
          </w14:textFill>
        </w:rPr>
      </w:pPr>
    </w:p>
    <w:bookmarkEnd w:id="177"/>
    <w:p>
      <w:pPr>
        <w:pStyle w:val="3"/>
        <w:spacing w:line="480" w:lineRule="auto"/>
        <w:rPr>
          <w:rFonts w:asciiTheme="minorEastAsia" w:hAnsiTheme="minorEastAsia"/>
          <w:sz w:val="24"/>
        </w:rPr>
        <w:sectPr>
          <w:headerReference r:id="rId8" w:type="default"/>
          <w:footerReference r:id="rId9" w:type="default"/>
          <w:pgSz w:w="11906" w:h="16838"/>
          <w:pgMar w:top="1440" w:right="1800" w:bottom="1440" w:left="1800" w:header="851" w:footer="992" w:gutter="0"/>
          <w:cols w:space="720" w:num="1"/>
          <w:docGrid w:type="lines" w:linePitch="312" w:charSpace="0"/>
        </w:sectPr>
      </w:pPr>
      <w:r>
        <w:rPr>
          <w:rFonts w:hint="eastAsia" w:asciiTheme="minorEastAsia" w:hAnsiTheme="minorEastAsia"/>
          <w:sz w:val="24"/>
        </w:rPr>
        <w:t>注：本项目购置数量未定，投标人中标后，根据采购人对各产品的数量要求进行供货，最终采购数量以采购人实际需求为准。本项目包含 但不限于以上品目，如涉及规格尺寸的调整，最终价格以采购人与投标人协商为准</w:t>
      </w:r>
      <w:r>
        <w:rPr>
          <w:rFonts w:hint="eastAsia" w:asciiTheme="minorEastAsia" w:hAnsiTheme="minorEastAsia"/>
          <w:sz w:val="24"/>
          <w:lang w:eastAsia="zh-CN"/>
        </w:rPr>
        <w:t>，</w:t>
      </w:r>
      <w:r>
        <w:rPr>
          <w:rFonts w:hint="eastAsia" w:asciiTheme="minorEastAsia" w:hAnsiTheme="minorEastAsia"/>
          <w:sz w:val="24"/>
          <w:lang w:val="en-US" w:eastAsia="zh-CN"/>
        </w:rPr>
        <w:t>价格不高于同期产品市场价</w:t>
      </w:r>
      <w:r>
        <w:rPr>
          <w:rFonts w:hint="eastAsia" w:asciiTheme="minorEastAsia" w:hAnsiTheme="minorEastAsia"/>
          <w:sz w:val="24"/>
        </w:rPr>
        <w:t>。</w:t>
      </w:r>
      <w:r>
        <w:commentReference w:id="0"/>
      </w:r>
    </w:p>
    <w:p>
      <w:pPr>
        <w:pStyle w:val="3"/>
        <w:spacing w:line="480" w:lineRule="auto"/>
        <w:rPr>
          <w:rFonts w:asciiTheme="minorEastAsia" w:hAnsiTheme="minorEastAsia"/>
          <w:sz w:val="24"/>
        </w:rPr>
      </w:pPr>
    </w:p>
    <w:p>
      <w:pPr>
        <w:pStyle w:val="2"/>
        <w:spacing w:line="240" w:lineRule="atLeast"/>
        <w:jc w:val="center"/>
        <w:rPr>
          <w:rFonts w:ascii="华文中宋" w:hAnsi="华文中宋" w:eastAsia="华文中宋"/>
          <w:sz w:val="36"/>
          <w:szCs w:val="36"/>
        </w:rPr>
      </w:pPr>
      <w:r>
        <w:rPr>
          <w:rFonts w:hint="eastAsia" w:ascii="华文中宋" w:hAnsi="华文中宋" w:eastAsia="华文中宋"/>
          <w:sz w:val="36"/>
          <w:szCs w:val="36"/>
        </w:rPr>
        <w:t>第七章  评标办法</w:t>
      </w:r>
      <w:bookmarkEnd w:id="176"/>
      <w:bookmarkEnd w:id="178"/>
      <w:bookmarkStart w:id="181" w:name="_Hlt101846155"/>
      <w:bookmarkEnd w:id="181"/>
      <w:bookmarkStart w:id="182" w:name="_Toc183582280"/>
      <w:bookmarkStart w:id="183" w:name="_Toc183682415"/>
      <w:bookmarkStart w:id="184" w:name="_Toc208849007"/>
      <w:bookmarkStart w:id="185" w:name="_Toc217446097"/>
    </w:p>
    <w:bookmarkEnd w:id="179"/>
    <w:bookmarkEnd w:id="182"/>
    <w:bookmarkEnd w:id="183"/>
    <w:bookmarkEnd w:id="184"/>
    <w:bookmarkEnd w:id="185"/>
    <w:p>
      <w:pPr>
        <w:pStyle w:val="2"/>
        <w:spacing w:before="156" w:beforeLines="50" w:after="156" w:afterLines="50" w:line="400" w:lineRule="exact"/>
        <w:ind w:firstLine="482" w:firstLineChars="200"/>
        <w:rPr>
          <w:rFonts w:ascii="黑体" w:eastAsia="黑体"/>
          <w:bCs w:val="0"/>
          <w:szCs w:val="32"/>
        </w:rPr>
      </w:pPr>
      <w:bookmarkStart w:id="186" w:name="_Toc23042"/>
      <w:bookmarkStart w:id="187" w:name="PO_默认文件内容_36"/>
      <w:r>
        <w:rPr>
          <w:rFonts w:hint="eastAsia" w:ascii="黑体" w:eastAsia="黑体"/>
          <w:sz w:val="24"/>
          <w:szCs w:val="24"/>
        </w:rPr>
        <w:t>1. 总则</w:t>
      </w:r>
    </w:p>
    <w:p>
      <w:pPr>
        <w:spacing w:before="156" w:beforeLines="50" w:after="156" w:afterLines="50" w:line="400" w:lineRule="exact"/>
        <w:ind w:firstLine="480" w:firstLineChars="200"/>
        <w:rPr>
          <w:rFonts w:ascii="宋体"/>
          <w:sz w:val="24"/>
        </w:rPr>
      </w:pPr>
      <w:r>
        <w:rPr>
          <w:rFonts w:hint="eastAsia" w:ascii="宋体"/>
          <w:sz w:val="24"/>
        </w:rPr>
        <w:t>1.1 按照公开、公平、公正和诚实守信的原则，结合本次招标项目特点制定本评标办法。</w:t>
      </w:r>
    </w:p>
    <w:p>
      <w:pPr>
        <w:spacing w:before="156" w:beforeLines="50" w:after="156" w:afterLines="50" w:line="400" w:lineRule="exact"/>
        <w:ind w:firstLine="480" w:firstLineChars="200"/>
        <w:rPr>
          <w:rFonts w:ascii="宋体"/>
          <w:sz w:val="24"/>
        </w:rPr>
      </w:pPr>
      <w:r>
        <w:rPr>
          <w:rFonts w:hint="eastAsia" w:ascii="宋体"/>
          <w:sz w:val="24"/>
        </w:rPr>
        <w:t xml:space="preserve">1.2 </w:t>
      </w:r>
      <w:r>
        <w:rPr>
          <w:rFonts w:hint="eastAsia" w:ascii="宋体"/>
          <w:bCs/>
          <w:sz w:val="24"/>
        </w:rPr>
        <w:t>评标工作由招标代理机构负责组织，具体评标事务由招标代理机构依法组建的评标委员会负责。</w:t>
      </w:r>
    </w:p>
    <w:p>
      <w:pPr>
        <w:spacing w:before="156" w:beforeLines="50" w:after="156" w:afterLines="50" w:line="400" w:lineRule="exact"/>
        <w:ind w:firstLine="480" w:firstLineChars="200"/>
        <w:rPr>
          <w:rFonts w:ascii="宋体"/>
          <w:sz w:val="24"/>
        </w:rPr>
      </w:pPr>
      <w:r>
        <w:rPr>
          <w:rFonts w:hint="eastAsia" w:ascii="宋体"/>
          <w:sz w:val="24"/>
        </w:rPr>
        <w:t>1.3 评标工作应遵循公平、公正、科学及择优的原则，并以相同的评标程序和标准对待所有的投标人。</w:t>
      </w:r>
    </w:p>
    <w:p>
      <w:pPr>
        <w:spacing w:before="156" w:beforeLines="50" w:after="156" w:afterLines="50" w:line="400" w:lineRule="exact"/>
        <w:ind w:firstLine="480" w:firstLineChars="200"/>
        <w:rPr>
          <w:rFonts w:ascii="宋体"/>
          <w:sz w:val="24"/>
        </w:rPr>
      </w:pPr>
      <w:r>
        <w:rPr>
          <w:rFonts w:hint="eastAsia" w:ascii="宋体"/>
          <w:sz w:val="24"/>
        </w:rPr>
        <w:t>1.4 评标委员会按照招标文件规定的评标方法和标准进行评标，并独立履行下列职责：</w:t>
      </w:r>
    </w:p>
    <w:p>
      <w:pPr>
        <w:spacing w:before="156" w:beforeLines="50" w:after="156" w:afterLines="50" w:line="400" w:lineRule="exact"/>
        <w:ind w:firstLine="480" w:firstLineChars="200"/>
        <w:rPr>
          <w:rFonts w:ascii="宋体"/>
          <w:sz w:val="24"/>
        </w:rPr>
      </w:pPr>
      <w:bookmarkStart w:id="188" w:name="_Toc217446098"/>
      <w:r>
        <w:rPr>
          <w:rFonts w:hint="eastAsia" w:ascii="宋体"/>
          <w:sz w:val="24"/>
        </w:rPr>
        <w:t>（一）熟悉和理解招标文件；</w:t>
      </w:r>
    </w:p>
    <w:p>
      <w:pPr>
        <w:spacing w:before="156" w:beforeLines="50" w:after="156" w:afterLines="50" w:line="400" w:lineRule="exact"/>
        <w:ind w:firstLine="480" w:firstLineChars="200"/>
        <w:rPr>
          <w:rFonts w:ascii="宋体"/>
          <w:sz w:val="24"/>
        </w:rPr>
      </w:pPr>
      <w:r>
        <w:rPr>
          <w:rFonts w:hint="eastAsia" w:ascii="宋体"/>
          <w:sz w:val="24"/>
        </w:rPr>
        <w:t>（二）审查投标人投标文件等是否满足招标文件要求，并作出评价；</w:t>
      </w:r>
    </w:p>
    <w:p>
      <w:pPr>
        <w:spacing w:before="156" w:beforeLines="50" w:after="156" w:afterLines="50" w:line="400" w:lineRule="exact"/>
        <w:ind w:firstLine="480" w:firstLineChars="200"/>
        <w:rPr>
          <w:rFonts w:ascii="宋体"/>
          <w:sz w:val="24"/>
        </w:rPr>
      </w:pPr>
      <w:r>
        <w:rPr>
          <w:rFonts w:hint="eastAsia" w:ascii="宋体"/>
          <w:sz w:val="24"/>
        </w:rPr>
        <w:t>（三）根据需要要求招标采购单位对招标文件作出解释；根据需要要求投标人对投标文件有关事项作出澄清、说明或者更正；</w:t>
      </w:r>
    </w:p>
    <w:p>
      <w:pPr>
        <w:spacing w:before="156" w:beforeLines="50" w:after="156" w:afterLines="50" w:line="400" w:lineRule="exact"/>
        <w:ind w:firstLine="480" w:firstLineChars="200"/>
        <w:rPr>
          <w:rFonts w:ascii="宋体"/>
          <w:sz w:val="24"/>
        </w:rPr>
      </w:pPr>
      <w:r>
        <w:rPr>
          <w:rFonts w:hint="eastAsia" w:ascii="宋体"/>
          <w:sz w:val="24"/>
        </w:rPr>
        <w:t>（四）推荐中标候选人，或者受招标人委托确定中标人；</w:t>
      </w:r>
    </w:p>
    <w:p>
      <w:pPr>
        <w:spacing w:before="156" w:beforeLines="50" w:after="156" w:afterLines="50" w:line="400" w:lineRule="exact"/>
        <w:ind w:firstLine="480" w:firstLineChars="200"/>
        <w:rPr>
          <w:rFonts w:ascii="宋体"/>
          <w:sz w:val="24"/>
        </w:rPr>
      </w:pPr>
      <w:r>
        <w:rPr>
          <w:rFonts w:hint="eastAsia" w:ascii="宋体"/>
          <w:sz w:val="24"/>
        </w:rPr>
        <w:t>（五）起草评标报告并进行签署；</w:t>
      </w:r>
    </w:p>
    <w:p>
      <w:pPr>
        <w:spacing w:before="156" w:beforeLines="50" w:after="156" w:afterLines="50" w:line="400" w:lineRule="exact"/>
        <w:ind w:firstLine="480" w:firstLineChars="200"/>
        <w:rPr>
          <w:rFonts w:ascii="宋体"/>
          <w:sz w:val="24"/>
        </w:rPr>
      </w:pPr>
      <w:r>
        <w:rPr>
          <w:rFonts w:hint="eastAsia" w:ascii="宋体"/>
          <w:sz w:val="24"/>
        </w:rPr>
        <w:t>（六）向招标人报告恶意干预评标工作的行为。</w:t>
      </w:r>
    </w:p>
    <w:p>
      <w:pPr>
        <w:spacing w:before="156" w:beforeLines="50" w:after="156" w:afterLines="50" w:line="400" w:lineRule="exact"/>
        <w:ind w:firstLine="480" w:firstLineChars="200"/>
        <w:rPr>
          <w:rFonts w:ascii="宋体"/>
          <w:sz w:val="24"/>
        </w:rPr>
      </w:pPr>
      <w:r>
        <w:rPr>
          <w:rFonts w:hint="eastAsia" w:ascii="宋体"/>
          <w:sz w:val="24"/>
        </w:rPr>
        <w:t>1.5 评标过程独立、保密。投标人恶意干预评标过程的行为将导致其投标文件作为无效处理。</w:t>
      </w:r>
    </w:p>
    <w:p>
      <w:pPr>
        <w:spacing w:before="156" w:beforeLines="50" w:after="156" w:afterLines="50" w:line="400" w:lineRule="exact"/>
        <w:ind w:firstLine="480" w:firstLineChars="200"/>
        <w:rPr>
          <w:rFonts w:ascii="宋体"/>
          <w:sz w:val="24"/>
        </w:rPr>
      </w:pPr>
      <w:r>
        <w:rPr>
          <w:rFonts w:hint="eastAsia" w:ascii="宋体"/>
          <w:sz w:val="24"/>
        </w:rPr>
        <w:t>1.6评标委员会评价投标文件的响应性，对于投标人而言，除评标委员会要求其澄清、说明或者更正而提供的资料外，仅依据投标文件本身的内容，不寻求其他外部证据。</w:t>
      </w:r>
    </w:p>
    <w:p>
      <w:pPr>
        <w:pStyle w:val="2"/>
        <w:spacing w:before="156" w:beforeLines="50" w:after="156" w:afterLines="50" w:line="400" w:lineRule="exact"/>
        <w:ind w:firstLine="482" w:firstLineChars="200"/>
        <w:rPr>
          <w:rFonts w:ascii="黑体" w:eastAsia="黑体"/>
          <w:sz w:val="24"/>
          <w:szCs w:val="24"/>
        </w:rPr>
      </w:pPr>
      <w:r>
        <w:rPr>
          <w:rFonts w:hint="eastAsia" w:ascii="黑体" w:eastAsia="黑体"/>
          <w:sz w:val="24"/>
          <w:szCs w:val="24"/>
        </w:rPr>
        <w:t>2、评标方法</w:t>
      </w:r>
    </w:p>
    <w:p>
      <w:pPr>
        <w:spacing w:before="156" w:beforeLines="50" w:after="156" w:afterLines="50" w:line="400" w:lineRule="exact"/>
        <w:ind w:firstLine="480" w:firstLineChars="200"/>
        <w:rPr>
          <w:sz w:val="24"/>
        </w:rPr>
      </w:pPr>
      <w:r>
        <w:rPr>
          <w:rFonts w:hint="eastAsia"/>
          <w:sz w:val="24"/>
        </w:rPr>
        <w:t>本项目评标方法为：综合评分法。</w:t>
      </w:r>
    </w:p>
    <w:p>
      <w:pPr>
        <w:pStyle w:val="2"/>
        <w:spacing w:before="156" w:beforeLines="50" w:after="156" w:afterLines="50" w:line="400" w:lineRule="exact"/>
        <w:ind w:firstLine="482" w:firstLineChars="200"/>
        <w:rPr>
          <w:rFonts w:ascii="黑体" w:eastAsia="黑体"/>
          <w:sz w:val="24"/>
          <w:szCs w:val="24"/>
        </w:rPr>
      </w:pPr>
      <w:r>
        <w:rPr>
          <w:rFonts w:hint="eastAsia" w:ascii="黑体" w:eastAsia="黑体"/>
          <w:sz w:val="24"/>
          <w:szCs w:val="24"/>
        </w:rPr>
        <w:t>3、 评标程序</w:t>
      </w:r>
      <w:bookmarkEnd w:id="188"/>
    </w:p>
    <w:p>
      <w:pPr>
        <w:spacing w:before="156" w:beforeLines="50" w:after="156" w:afterLines="50" w:line="400" w:lineRule="exact"/>
        <w:ind w:firstLine="482" w:firstLineChars="200"/>
        <w:rPr>
          <w:rFonts w:ascii="宋体"/>
          <w:b/>
          <w:sz w:val="24"/>
        </w:rPr>
      </w:pPr>
      <w:bookmarkStart w:id="189" w:name="_Toc217446103"/>
      <w:bookmarkStart w:id="190" w:name="_Toc217446099"/>
      <w:r>
        <w:rPr>
          <w:rFonts w:hint="eastAsia" w:ascii="宋体"/>
          <w:b/>
          <w:sz w:val="24"/>
        </w:rPr>
        <w:t>3.1熟悉和理解招标文件和停止评标。</w:t>
      </w:r>
    </w:p>
    <w:p>
      <w:pPr>
        <w:spacing w:before="156" w:beforeLines="50" w:after="156" w:afterLines="50" w:line="400" w:lineRule="exact"/>
        <w:ind w:firstLine="480" w:firstLineChars="200"/>
        <w:rPr>
          <w:rFonts w:ascii="宋体"/>
          <w:sz w:val="24"/>
        </w:rPr>
      </w:pPr>
      <w:r>
        <w:rPr>
          <w:rFonts w:hint="eastAsia" w:ascii="宋体"/>
          <w:sz w:val="24"/>
        </w:rPr>
        <w:t>3.1.1评标委员会正式评标前，应当对招标文件进行熟悉和理解，内容主要包括招标文件中投标人资格条件要求、招标项目技术、服务和商务要求、评标方法和标准以及可能涉及签订采购合同的内容等。</w:t>
      </w:r>
    </w:p>
    <w:p>
      <w:pPr>
        <w:spacing w:before="156" w:beforeLines="50" w:after="156" w:afterLines="50" w:line="400" w:lineRule="exact"/>
        <w:ind w:firstLine="480" w:firstLineChars="200"/>
        <w:rPr>
          <w:rFonts w:ascii="宋体"/>
          <w:sz w:val="24"/>
        </w:rPr>
      </w:pPr>
      <w:r>
        <w:rPr>
          <w:rFonts w:hint="eastAsia" w:ascii="宋体"/>
          <w:sz w:val="24"/>
        </w:rPr>
        <w:t>3.1.2评标委员会熟悉和理解招标文件以及评标过程中，发现本招标文件有违反国家相关强制性规定或者存在歧义、重大缺陷以致评审工作无法进行的，评标委员会应当停止评标。</w:t>
      </w:r>
    </w:p>
    <w:p>
      <w:pPr>
        <w:spacing w:before="156" w:beforeLines="50" w:after="156" w:afterLines="50" w:line="400" w:lineRule="exact"/>
        <w:ind w:firstLine="480" w:firstLineChars="200"/>
        <w:rPr>
          <w:rFonts w:ascii="宋体"/>
          <w:sz w:val="24"/>
        </w:rPr>
      </w:pPr>
      <w:r>
        <w:rPr>
          <w:rFonts w:hint="eastAsia" w:ascii="宋体"/>
          <w:sz w:val="24"/>
        </w:rPr>
        <w:t>3.1.3评标委员会停止评标的，评标委员会成员应当向招标采购单位书面说明情况。除评标委员会无法组建的情形外，评标委员会成员不得以任何方式和理由停止评标。</w:t>
      </w:r>
    </w:p>
    <w:p>
      <w:pPr>
        <w:spacing w:before="156" w:beforeLines="50" w:after="156" w:afterLines="50" w:line="400" w:lineRule="exact"/>
        <w:ind w:firstLine="482" w:firstLineChars="200"/>
        <w:rPr>
          <w:rFonts w:ascii="宋体"/>
          <w:b/>
          <w:sz w:val="24"/>
        </w:rPr>
      </w:pPr>
      <w:r>
        <w:rPr>
          <w:rFonts w:hint="eastAsia" w:ascii="宋体"/>
          <w:b/>
          <w:sz w:val="24"/>
        </w:rPr>
        <w:t>3.2资格性检查。</w:t>
      </w:r>
    </w:p>
    <w:p>
      <w:pPr>
        <w:spacing w:before="156" w:beforeLines="50" w:after="156" w:afterLines="50" w:line="400" w:lineRule="exact"/>
        <w:ind w:firstLine="480" w:firstLineChars="200"/>
        <w:rPr>
          <w:rFonts w:ascii="宋体"/>
          <w:sz w:val="24"/>
        </w:rPr>
      </w:pPr>
      <w:r>
        <w:rPr>
          <w:rFonts w:hint="eastAsia" w:ascii="宋体"/>
          <w:sz w:val="24"/>
        </w:rPr>
        <w:t>评标委员会应依据法律法规和本招标文件的规定，对投标文件是否按照规定要求提供资格性证明材料、是否按照规定交纳投标保证金等进行审查，以确定投标投标人是否具备投标资格。</w:t>
      </w:r>
    </w:p>
    <w:p>
      <w:pPr>
        <w:spacing w:before="156" w:beforeLines="50" w:after="156" w:afterLines="50" w:line="400" w:lineRule="exact"/>
        <w:ind w:firstLine="482" w:firstLineChars="200"/>
        <w:rPr>
          <w:rFonts w:ascii="宋体"/>
          <w:b/>
          <w:sz w:val="24"/>
        </w:rPr>
      </w:pPr>
      <w:r>
        <w:rPr>
          <w:rFonts w:hint="eastAsia" w:ascii="宋体"/>
          <w:b/>
          <w:sz w:val="24"/>
        </w:rPr>
        <w:t>3.3符合性检查。</w:t>
      </w:r>
    </w:p>
    <w:p>
      <w:pPr>
        <w:spacing w:before="156" w:beforeLines="50" w:after="156" w:afterLines="50" w:line="400" w:lineRule="exact"/>
        <w:ind w:firstLine="480" w:firstLineChars="200"/>
        <w:rPr>
          <w:rFonts w:ascii="宋体"/>
          <w:sz w:val="24"/>
        </w:rPr>
      </w:pPr>
      <w:r>
        <w:rPr>
          <w:rFonts w:hint="eastAsia" w:ascii="宋体"/>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before="156" w:beforeLines="50" w:after="156" w:afterLines="50" w:line="400" w:lineRule="exact"/>
        <w:ind w:firstLine="480" w:firstLineChars="200"/>
        <w:rPr>
          <w:rFonts w:ascii="宋体"/>
          <w:sz w:val="24"/>
        </w:rPr>
      </w:pPr>
      <w:r>
        <w:rPr>
          <w:rFonts w:hint="eastAsia" w:ascii="宋体"/>
          <w:sz w:val="24"/>
        </w:rPr>
        <w:t>3.3.2投标文件有下列情形的，本项目不作为实质性要求进行规定，即不作为符合性审查事项，不得作为无效投标处理：</w:t>
      </w:r>
    </w:p>
    <w:p>
      <w:pPr>
        <w:spacing w:before="156" w:beforeLines="50" w:after="156" w:afterLines="50" w:line="400" w:lineRule="exact"/>
        <w:ind w:firstLine="480" w:firstLineChars="200"/>
        <w:rPr>
          <w:rFonts w:ascii="宋体"/>
          <w:sz w:val="24"/>
        </w:rPr>
      </w:pPr>
      <w:r>
        <w:rPr>
          <w:rFonts w:hint="eastAsia" w:ascii="宋体"/>
          <w:sz w:val="24"/>
        </w:rPr>
        <w:t>（一）存在个别地方（不超过2个）没有法定代表人/单位负责人签字，但有法定代表人/单位负责人的私人印章或者其有效授权代理人签字的；</w:t>
      </w:r>
    </w:p>
    <w:p>
      <w:pPr>
        <w:spacing w:before="156" w:beforeLines="50" w:after="156" w:afterLines="50" w:line="400" w:lineRule="exact"/>
        <w:ind w:firstLine="480" w:firstLineChars="200"/>
        <w:rPr>
          <w:rFonts w:ascii="宋体"/>
          <w:sz w:val="24"/>
        </w:rPr>
      </w:pPr>
      <w:r>
        <w:rPr>
          <w:rFonts w:hint="eastAsia" w:ascii="宋体"/>
          <w:sz w:val="24"/>
        </w:rPr>
        <w:t>（二）除招标文件明确要求加盖单位(法人)公章的以外，其他地方以相关专用章加盖的；</w:t>
      </w:r>
    </w:p>
    <w:p>
      <w:pPr>
        <w:spacing w:before="156" w:beforeLines="50" w:after="156" w:afterLines="50" w:line="400" w:lineRule="exact"/>
        <w:ind w:firstLine="480" w:firstLineChars="200"/>
        <w:rPr>
          <w:rFonts w:ascii="宋体"/>
          <w:sz w:val="24"/>
        </w:rPr>
      </w:pPr>
      <w:r>
        <w:rPr>
          <w:rFonts w:hint="eastAsia" w:ascii="宋体"/>
          <w:sz w:val="24"/>
        </w:rPr>
        <w:t>（三）以骑缝章的形式代替投标文件内容逐页盖章的（但是骑缝章模糊不清，印章名称无法辨认的除外）；</w:t>
      </w:r>
    </w:p>
    <w:p>
      <w:pPr>
        <w:spacing w:before="156" w:beforeLines="50" w:after="156" w:afterLines="50" w:line="400" w:lineRule="exact"/>
        <w:ind w:firstLine="480" w:firstLineChars="200"/>
        <w:rPr>
          <w:rFonts w:ascii="宋体"/>
          <w:sz w:val="24"/>
        </w:rPr>
      </w:pPr>
      <w:r>
        <w:rPr>
          <w:rFonts w:hint="eastAsia" w:ascii="宋体"/>
          <w:sz w:val="24"/>
        </w:rPr>
        <w:t>（四）其他不影响招标项目实质性要求的情形。</w:t>
      </w:r>
    </w:p>
    <w:p>
      <w:pPr>
        <w:spacing w:before="156" w:beforeLines="50" w:after="156" w:afterLines="50" w:line="400" w:lineRule="exact"/>
        <w:ind w:firstLine="480" w:firstLineChars="200"/>
        <w:rPr>
          <w:rFonts w:ascii="宋体"/>
          <w:sz w:val="24"/>
        </w:rPr>
      </w:pPr>
      <w:r>
        <w:rPr>
          <w:rFonts w:hint="eastAsia" w:ascii="宋体"/>
          <w:sz w:val="24"/>
        </w:rPr>
        <w:t>3.3.3本项目投标人或者其投标文件有下列情形之一的，作为无效投标处理：</w:t>
      </w:r>
    </w:p>
    <w:p>
      <w:pPr>
        <w:spacing w:before="156" w:beforeLines="50" w:after="156" w:afterLines="50" w:line="400" w:lineRule="exact"/>
        <w:ind w:firstLine="480" w:firstLineChars="200"/>
        <w:rPr>
          <w:rFonts w:ascii="宋体"/>
          <w:sz w:val="24"/>
        </w:rPr>
      </w:pPr>
      <w:r>
        <w:rPr>
          <w:rFonts w:hint="eastAsia" w:ascii="宋体"/>
          <w:sz w:val="24"/>
        </w:rPr>
        <w:t>（一）投标文件正副本数量不足的；</w:t>
      </w:r>
    </w:p>
    <w:p>
      <w:pPr>
        <w:spacing w:before="156" w:beforeLines="50" w:after="156" w:afterLines="50" w:line="400" w:lineRule="exact"/>
        <w:ind w:firstLine="480" w:firstLineChars="200"/>
        <w:rPr>
          <w:rFonts w:ascii="宋体"/>
          <w:sz w:val="24"/>
        </w:rPr>
      </w:pPr>
      <w:r>
        <w:rPr>
          <w:rFonts w:hint="eastAsia" w:ascii="宋体"/>
          <w:sz w:val="24"/>
        </w:rPr>
        <w:t>（二）投标文件组成明显不符合招标文件的规定要求，影响评标委员会评判的；</w:t>
      </w:r>
    </w:p>
    <w:p>
      <w:pPr>
        <w:spacing w:before="156" w:beforeLines="50" w:after="156" w:afterLines="50" w:line="400" w:lineRule="exact"/>
        <w:ind w:firstLine="480" w:firstLineChars="200"/>
        <w:rPr>
          <w:rFonts w:ascii="宋体"/>
          <w:sz w:val="24"/>
        </w:rPr>
      </w:pPr>
      <w:r>
        <w:rPr>
          <w:rFonts w:hint="eastAsia" w:ascii="宋体"/>
          <w:sz w:val="24"/>
        </w:rPr>
        <w:t>（三）投标文件的语言、计量单位、报价货币、知识产权、投标有效期等不符合招标文件的规定，影响评标委员会评判的；</w:t>
      </w:r>
    </w:p>
    <w:p>
      <w:pPr>
        <w:spacing w:before="156" w:beforeLines="50" w:after="156" w:afterLines="50" w:line="400" w:lineRule="exact"/>
        <w:ind w:firstLine="480" w:firstLineChars="200"/>
        <w:rPr>
          <w:rFonts w:ascii="宋体"/>
          <w:sz w:val="24"/>
        </w:rPr>
      </w:pPr>
      <w:r>
        <w:rPr>
          <w:rFonts w:hint="eastAsia" w:ascii="宋体"/>
          <w:sz w:val="24"/>
        </w:rPr>
        <w:t>（四）投标文件未按招标文件要求签署、盖章的（本章3.</w:t>
      </w:r>
      <w:r>
        <w:rPr>
          <w:rFonts w:ascii="宋体"/>
          <w:sz w:val="24"/>
        </w:rPr>
        <w:t>3</w:t>
      </w:r>
      <w:r>
        <w:rPr>
          <w:rFonts w:hint="eastAsia" w:ascii="宋体"/>
          <w:sz w:val="24"/>
        </w:rPr>
        <w:t>.2规定的例外情形除外）；</w:t>
      </w:r>
    </w:p>
    <w:p>
      <w:pPr>
        <w:spacing w:before="156" w:beforeLines="50" w:after="156" w:afterLines="50" w:line="400" w:lineRule="exact"/>
        <w:ind w:firstLine="480" w:firstLineChars="200"/>
        <w:rPr>
          <w:rFonts w:ascii="宋体"/>
          <w:sz w:val="24"/>
        </w:rPr>
      </w:pPr>
      <w:r>
        <w:rPr>
          <w:rFonts w:hint="eastAsia" w:ascii="宋体"/>
          <w:sz w:val="24"/>
        </w:rPr>
        <w:t>（五）投标报价不符合招标文件规定的招标采购预算或限价或其他报价规定的；</w:t>
      </w:r>
    </w:p>
    <w:p>
      <w:pPr>
        <w:spacing w:before="156" w:beforeLines="50" w:after="156" w:afterLines="50" w:line="400" w:lineRule="exact"/>
        <w:ind w:firstLine="480" w:firstLineChars="200"/>
        <w:rPr>
          <w:rFonts w:ascii="宋体"/>
          <w:sz w:val="24"/>
        </w:rPr>
      </w:pPr>
      <w:r>
        <w:rPr>
          <w:rFonts w:hint="eastAsia" w:ascii="宋体"/>
          <w:sz w:val="24"/>
        </w:rPr>
        <w:t>（六）投标应答内容没有完全响应招标文件的实质性要求的；</w:t>
      </w:r>
    </w:p>
    <w:p>
      <w:pPr>
        <w:spacing w:before="156" w:beforeLines="50" w:after="156" w:afterLines="50" w:line="400" w:lineRule="exact"/>
        <w:ind w:firstLine="480" w:firstLineChars="200"/>
        <w:rPr>
          <w:rFonts w:ascii="宋体"/>
          <w:sz w:val="24"/>
        </w:rPr>
      </w:pPr>
      <w:r>
        <w:rPr>
          <w:rFonts w:hint="eastAsia" w:ascii="宋体"/>
          <w:sz w:val="24"/>
        </w:rPr>
        <w:t>（七）、招标文件规定的其它投标无效情形。</w:t>
      </w:r>
    </w:p>
    <w:p>
      <w:pPr>
        <w:spacing w:before="156" w:beforeLines="50" w:after="156" w:afterLines="50" w:line="400" w:lineRule="exact"/>
        <w:ind w:firstLine="480" w:firstLineChars="200"/>
        <w:rPr>
          <w:rFonts w:ascii="宋体"/>
          <w:sz w:val="24"/>
        </w:rPr>
      </w:pPr>
      <w:r>
        <w:rPr>
          <w:rFonts w:hint="eastAsia" w:ascii="宋体"/>
          <w:sz w:val="24"/>
        </w:rPr>
        <w:t>3.4比较与评价。按招标文件中规定的评标方法和标准，对未作无效投标处理的投标文件进行技术、服务、商务等方面评估，综合比较与评价。</w:t>
      </w:r>
    </w:p>
    <w:p>
      <w:pPr>
        <w:spacing w:before="156" w:beforeLines="50" w:after="156" w:afterLines="50" w:line="400" w:lineRule="exact"/>
        <w:ind w:firstLine="480" w:firstLineChars="200"/>
        <w:rPr>
          <w:rFonts w:ascii="宋体"/>
          <w:sz w:val="24"/>
        </w:rPr>
      </w:pPr>
      <w:r>
        <w:rPr>
          <w:rFonts w:hint="eastAsia" w:ascii="宋体"/>
          <w:sz w:val="24"/>
        </w:rPr>
        <w:t>3.5复核。评分汇总结束后，评标委员会应当进行复核，特别要对拟推荐为中标候选人的、报价最低的、投标文件被认定为无效的进行重点复核。</w:t>
      </w:r>
    </w:p>
    <w:p>
      <w:pPr>
        <w:spacing w:before="156" w:beforeLines="50" w:after="156" w:afterLines="50" w:line="400" w:lineRule="exact"/>
        <w:ind w:firstLine="480" w:firstLineChars="200"/>
        <w:rPr>
          <w:rFonts w:ascii="宋体"/>
          <w:sz w:val="24"/>
        </w:rPr>
      </w:pPr>
      <w:r>
        <w:rPr>
          <w:rFonts w:hint="eastAsia" w:ascii="宋体"/>
          <w:sz w:val="24"/>
        </w:rPr>
        <w:t>3.6推荐中标候选人。中标候选人数量应当根据招标采购需要确定，中标候选人为3个，但必须按顺序排列中标候选人。本项目采用综合评分法，评标结果按评审后综合得分由高到低顺序排列；综合得分相同的，按投标报价由低到高顺序排列；综合得分且投标报价相同的并列，由招标人自主采取公平、择优的方式选择中标人。</w:t>
      </w:r>
    </w:p>
    <w:p>
      <w:pPr>
        <w:spacing w:before="156" w:beforeLines="50" w:after="156" w:afterLines="50" w:line="400" w:lineRule="exact"/>
        <w:ind w:firstLine="480" w:firstLineChars="200"/>
        <w:rPr>
          <w:rFonts w:ascii="宋体"/>
          <w:sz w:val="24"/>
        </w:rPr>
      </w:pPr>
      <w:r>
        <w:rPr>
          <w:rFonts w:hint="eastAsia" w:ascii="宋体"/>
          <w:sz w:val="24"/>
        </w:rPr>
        <w:t>注：“综合得分”指投标文件满足招标文件全部资格性要求和符合性要求后，按照《综合评分明细表》中各评审因素的指标评审后的得分汇总。</w:t>
      </w:r>
    </w:p>
    <w:p>
      <w:pPr>
        <w:spacing w:before="156" w:beforeLines="50" w:after="156" w:afterLines="50" w:line="400" w:lineRule="exact"/>
        <w:ind w:firstLine="480" w:firstLineChars="200"/>
        <w:rPr>
          <w:rFonts w:ascii="宋体"/>
          <w:sz w:val="24"/>
        </w:rPr>
      </w:pPr>
      <w:r>
        <w:rPr>
          <w:rFonts w:hint="eastAsia" w:ascii="宋体"/>
          <w:sz w:val="24"/>
        </w:rPr>
        <w:t>评标委员会可推荐的中标候选人数量不能满足招标文件规定的数量的，只有在获得招标人书面同意后，可以根据实际情况推荐中标候选人。未获得招标人的书面同意,评标委员会不得在招标文件规定之外推荐中标候选人，否则，招标人可以不予认可。</w:t>
      </w:r>
    </w:p>
    <w:p>
      <w:pPr>
        <w:spacing w:before="156" w:beforeLines="50" w:after="156" w:afterLines="50" w:line="400" w:lineRule="exact"/>
        <w:ind w:firstLine="480" w:firstLineChars="200"/>
        <w:rPr>
          <w:rFonts w:ascii="宋体"/>
          <w:sz w:val="24"/>
        </w:rPr>
      </w:pPr>
      <w:r>
        <w:rPr>
          <w:rFonts w:hint="eastAsia" w:ascii="宋体"/>
          <w:sz w:val="24"/>
        </w:rPr>
        <w:t>3.7出具评标报告。评标委员会推荐中标候选人后，应当向招标采购单位出具评标报告。评标报告应当包括下列内容：</w:t>
      </w:r>
    </w:p>
    <w:p>
      <w:pPr>
        <w:spacing w:before="156" w:beforeLines="50" w:after="156" w:afterLines="50" w:line="400" w:lineRule="exact"/>
        <w:ind w:firstLine="480" w:firstLineChars="200"/>
        <w:rPr>
          <w:rFonts w:ascii="宋体"/>
          <w:sz w:val="24"/>
        </w:rPr>
      </w:pPr>
      <w:r>
        <w:rPr>
          <w:rFonts w:hint="eastAsia" w:ascii="宋体"/>
          <w:sz w:val="24"/>
        </w:rPr>
        <w:t>（一）招标公告刊登的媒体名称、开标日期和地点；</w:t>
      </w:r>
    </w:p>
    <w:p>
      <w:pPr>
        <w:spacing w:before="156" w:beforeLines="50" w:after="156" w:afterLines="50" w:line="400" w:lineRule="exact"/>
        <w:ind w:firstLine="480" w:firstLineChars="200"/>
        <w:rPr>
          <w:rFonts w:ascii="宋体"/>
          <w:sz w:val="24"/>
        </w:rPr>
      </w:pPr>
      <w:r>
        <w:rPr>
          <w:rFonts w:hint="eastAsia" w:ascii="宋体"/>
          <w:sz w:val="24"/>
        </w:rPr>
        <w:t>（二）获取招标文件的投标人名单和评标委员会成员名单；</w:t>
      </w:r>
    </w:p>
    <w:p>
      <w:pPr>
        <w:spacing w:before="156" w:beforeLines="50" w:after="156" w:afterLines="50" w:line="400" w:lineRule="exact"/>
        <w:ind w:firstLine="480" w:firstLineChars="200"/>
        <w:rPr>
          <w:rFonts w:ascii="宋体"/>
          <w:sz w:val="24"/>
        </w:rPr>
      </w:pPr>
      <w:r>
        <w:rPr>
          <w:rFonts w:hint="eastAsia" w:ascii="宋体"/>
          <w:sz w:val="24"/>
        </w:rPr>
        <w:t>（三）评标方法和标准；</w:t>
      </w:r>
    </w:p>
    <w:p>
      <w:pPr>
        <w:spacing w:before="156" w:beforeLines="50" w:after="156" w:afterLines="50" w:line="400" w:lineRule="exact"/>
        <w:ind w:firstLine="480" w:firstLineChars="200"/>
        <w:rPr>
          <w:rFonts w:ascii="宋体"/>
          <w:sz w:val="24"/>
        </w:rPr>
      </w:pPr>
      <w:r>
        <w:rPr>
          <w:rFonts w:hint="eastAsia" w:ascii="宋体"/>
          <w:sz w:val="24"/>
        </w:rPr>
        <w:t>（四）开标记录和评标情况及说明，包括无效投标人名单及原因；</w:t>
      </w:r>
    </w:p>
    <w:p>
      <w:pPr>
        <w:spacing w:before="156" w:beforeLines="50" w:after="156" w:afterLines="50" w:line="400" w:lineRule="exact"/>
        <w:ind w:firstLine="480" w:firstLineChars="200"/>
        <w:rPr>
          <w:rFonts w:ascii="宋体"/>
          <w:sz w:val="24"/>
        </w:rPr>
      </w:pPr>
      <w:r>
        <w:rPr>
          <w:rFonts w:hint="eastAsia" w:ascii="宋体"/>
          <w:sz w:val="24"/>
        </w:rPr>
        <w:t>（五）评标结果和中标候选人排序表；</w:t>
      </w:r>
    </w:p>
    <w:p>
      <w:pPr>
        <w:spacing w:before="156" w:beforeLines="50" w:after="156" w:afterLines="50" w:line="400" w:lineRule="exact"/>
        <w:ind w:firstLine="480" w:firstLineChars="200"/>
        <w:rPr>
          <w:rFonts w:ascii="宋体"/>
          <w:sz w:val="24"/>
        </w:rPr>
      </w:pPr>
      <w:r>
        <w:rPr>
          <w:rFonts w:hint="eastAsia" w:ascii="宋体"/>
          <w:sz w:val="24"/>
        </w:rPr>
        <w:t>（六）评标委员会授标建议；</w:t>
      </w:r>
    </w:p>
    <w:p>
      <w:pPr>
        <w:spacing w:before="156" w:beforeLines="50" w:after="156" w:afterLines="50" w:line="400" w:lineRule="exact"/>
        <w:ind w:firstLine="480" w:firstLineChars="200"/>
        <w:rPr>
          <w:rFonts w:ascii="宋体"/>
          <w:sz w:val="24"/>
        </w:rPr>
      </w:pPr>
      <w:r>
        <w:rPr>
          <w:rFonts w:hint="eastAsia" w:ascii="宋体"/>
          <w:sz w:val="24"/>
        </w:rPr>
        <w:t>（七）报价最高的投标人为中标候选人的，评标委员会应当对其报价的合理性予以特别说明。</w:t>
      </w:r>
    </w:p>
    <w:p>
      <w:pPr>
        <w:spacing w:before="156" w:beforeLines="50" w:after="156" w:afterLines="50" w:line="400" w:lineRule="exact"/>
        <w:ind w:firstLine="480" w:firstLineChars="200"/>
        <w:rPr>
          <w:rFonts w:ascii="宋体"/>
          <w:sz w:val="24"/>
        </w:rPr>
      </w:pPr>
      <w:r>
        <w:rPr>
          <w:rFonts w:hint="eastAsia" w:ascii="宋体"/>
          <w:sz w:val="24"/>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spacing w:before="156" w:beforeLines="50" w:after="156" w:afterLines="50" w:line="400" w:lineRule="exact"/>
        <w:ind w:firstLine="480" w:firstLineChars="200"/>
        <w:rPr>
          <w:rFonts w:ascii="宋体"/>
          <w:sz w:val="24"/>
        </w:rPr>
      </w:pPr>
      <w:r>
        <w:rPr>
          <w:rFonts w:hint="eastAsia" w:ascii="宋体"/>
          <w:sz w:val="24"/>
        </w:rPr>
        <w:t>3.8评标争议处理规则。评标委员会在评审过程中，对于资格性审查、符合性审查、对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处理。</w:t>
      </w:r>
    </w:p>
    <w:p>
      <w:pPr>
        <w:spacing w:before="156" w:beforeLines="50" w:after="156" w:afterLines="50" w:line="400" w:lineRule="exact"/>
        <w:ind w:firstLine="480" w:firstLineChars="200"/>
        <w:rPr>
          <w:rFonts w:ascii="宋体"/>
          <w:sz w:val="24"/>
        </w:rPr>
      </w:pPr>
      <w:r>
        <w:rPr>
          <w:rFonts w:hint="eastAsia" w:ascii="宋体"/>
          <w:sz w:val="24"/>
        </w:rPr>
        <w:t>3.9投标人应当书面澄清、说明或者更正。</w:t>
      </w:r>
    </w:p>
    <w:p>
      <w:pPr>
        <w:spacing w:before="156" w:beforeLines="50" w:after="156" w:afterLines="50" w:line="400" w:lineRule="exact"/>
        <w:ind w:firstLine="480" w:firstLineChars="200"/>
        <w:rPr>
          <w:rFonts w:ascii="宋体"/>
          <w:sz w:val="24"/>
        </w:rPr>
      </w:pPr>
      <w:r>
        <w:rPr>
          <w:rFonts w:hint="eastAsia" w:ascii="宋体"/>
          <w:sz w:val="24"/>
        </w:rPr>
        <w:t>3.9.1在评标过程中，评标委员会对投标文件中含义不明确、同类问题表述不一致或者有明显文字和计算错误的内容，可以以书面形式（须由评标委员会全体成员签字）要求投标人作出必要的书面澄清、说明或者更正，并给予投标人必要的反馈时间。</w:t>
      </w:r>
    </w:p>
    <w:p>
      <w:pPr>
        <w:spacing w:before="156" w:beforeLines="50" w:after="156" w:afterLines="50" w:line="400" w:lineRule="exact"/>
        <w:ind w:firstLine="480" w:firstLineChars="200"/>
        <w:rPr>
          <w:rFonts w:ascii="宋体"/>
          <w:sz w:val="24"/>
        </w:rPr>
      </w:pPr>
      <w:r>
        <w:rPr>
          <w:rFonts w:hint="eastAsia" w:ascii="宋体"/>
          <w:sz w:val="24"/>
        </w:rPr>
        <w:t>3.9.2投标人应当书面澄清、说明或者更正，并加盖公章或签字确认（投标人为法人的，应当由其法定代表人/单位负责人或者代理人签字确认；投标人为其他组织的，应当由其主要负责人或者代理人签字确认），否则无效。澄清、说明或者更正不影响投标文件的效力，有效的澄清、说明或者更正材料，是投标文件的组成部分。</w:t>
      </w:r>
    </w:p>
    <w:p>
      <w:pPr>
        <w:spacing w:before="156" w:beforeLines="50" w:after="156" w:afterLines="50" w:line="400" w:lineRule="exact"/>
        <w:ind w:firstLine="480" w:firstLineChars="200"/>
        <w:rPr>
          <w:rFonts w:ascii="宋体"/>
          <w:sz w:val="24"/>
        </w:rPr>
      </w:pPr>
      <w:r>
        <w:rPr>
          <w:rFonts w:hint="eastAsia" w:ascii="宋体"/>
          <w:sz w:val="24"/>
        </w:rPr>
        <w:t>3.9.3评标委员会要求投标人澄清、说明或者更正，不得超出招标文件的范围，不得以此让投标人实质改变投标文件的内容，不得影响投标人公平竞争。</w:t>
      </w:r>
    </w:p>
    <w:p>
      <w:pPr>
        <w:spacing w:before="156" w:beforeLines="50" w:after="156" w:afterLines="50" w:line="400" w:lineRule="exact"/>
        <w:ind w:firstLine="480" w:firstLineChars="200"/>
        <w:rPr>
          <w:rFonts w:ascii="宋体"/>
          <w:sz w:val="24"/>
        </w:rPr>
      </w:pPr>
      <w:r>
        <w:rPr>
          <w:rFonts w:hint="eastAsia" w:ascii="宋体"/>
          <w:sz w:val="24"/>
        </w:rPr>
        <w:t>3.9.4 本项目招标采购过程中，投标文件报价出现前后不一致的，按照下列规定修正：</w:t>
      </w:r>
    </w:p>
    <w:p>
      <w:pPr>
        <w:spacing w:before="156" w:beforeLines="50" w:after="156" w:afterLines="50" w:line="400" w:lineRule="exact"/>
        <w:ind w:firstLine="480" w:firstLineChars="200"/>
        <w:rPr>
          <w:rFonts w:ascii="宋体"/>
          <w:sz w:val="24"/>
        </w:rPr>
      </w:pPr>
      <w:r>
        <w:rPr>
          <w:rFonts w:hint="eastAsia" w:ascii="宋体"/>
          <w:sz w:val="24"/>
        </w:rPr>
        <w:t>（一）投标文件中开标一览表（报价表）内容与投标文件中相应内容不一致的，以开标一览表（报价表）为准；</w:t>
      </w:r>
    </w:p>
    <w:p>
      <w:pPr>
        <w:spacing w:before="156" w:beforeLines="50" w:after="156" w:afterLines="50" w:line="400" w:lineRule="exact"/>
        <w:ind w:firstLine="480" w:firstLineChars="200"/>
        <w:rPr>
          <w:rFonts w:ascii="宋体"/>
          <w:sz w:val="24"/>
        </w:rPr>
      </w:pPr>
      <w:r>
        <w:rPr>
          <w:rFonts w:hint="eastAsia" w:ascii="宋体"/>
          <w:sz w:val="24"/>
        </w:rPr>
        <w:t>（二）大写金额和小写金额不一致的，以大写金额为准；</w:t>
      </w:r>
    </w:p>
    <w:p>
      <w:pPr>
        <w:spacing w:before="156" w:beforeLines="50" w:after="156" w:afterLines="50" w:line="400" w:lineRule="exact"/>
        <w:ind w:firstLine="480" w:firstLineChars="200"/>
        <w:rPr>
          <w:rFonts w:ascii="宋体"/>
          <w:sz w:val="24"/>
        </w:rPr>
      </w:pPr>
      <w:r>
        <w:rPr>
          <w:rFonts w:hint="eastAsia" w:ascii="宋体"/>
          <w:sz w:val="24"/>
        </w:rPr>
        <w:t>（三）单价金额小数点或者百分比有明显错位的，以开标一览表的总价为准，并修改单价；</w:t>
      </w:r>
    </w:p>
    <w:p>
      <w:pPr>
        <w:spacing w:before="156" w:beforeLines="50" w:after="156" w:afterLines="50" w:line="400" w:lineRule="exact"/>
        <w:ind w:firstLine="480" w:firstLineChars="200"/>
        <w:rPr>
          <w:rFonts w:ascii="宋体"/>
          <w:sz w:val="24"/>
        </w:rPr>
      </w:pPr>
      <w:r>
        <w:rPr>
          <w:rFonts w:hint="eastAsia" w:ascii="宋体"/>
          <w:sz w:val="24"/>
        </w:rPr>
        <w:t>（四）总价金额与按单价汇总金额不一致的，以单价金额计算结果为准。</w:t>
      </w:r>
    </w:p>
    <w:p>
      <w:pPr>
        <w:spacing w:before="156" w:beforeLines="50" w:after="156" w:afterLines="50" w:line="400" w:lineRule="exact"/>
        <w:ind w:firstLine="480" w:firstLineChars="200"/>
        <w:rPr>
          <w:rFonts w:ascii="宋体"/>
          <w:sz w:val="24"/>
        </w:rPr>
      </w:pPr>
      <w:r>
        <w:rPr>
          <w:rFonts w:hint="eastAsia" w:ascii="宋体"/>
          <w:sz w:val="24"/>
        </w:rPr>
        <w:t>同时出现两种以上不一致的，按照前款规定的顺序修正。修正后的报价按照本章3.9.1-3.9.3的规定经投标人确认后产生约束力，投标人不确认的，其投标无效。</w:t>
      </w:r>
    </w:p>
    <w:p>
      <w:pPr>
        <w:spacing w:before="156" w:beforeLines="50" w:after="156" w:afterLines="50" w:line="400" w:lineRule="exact"/>
        <w:ind w:firstLine="482" w:firstLineChars="200"/>
        <w:rPr>
          <w:rFonts w:ascii="宋体"/>
          <w:b/>
          <w:sz w:val="24"/>
        </w:rPr>
      </w:pPr>
      <w:r>
        <w:rPr>
          <w:rFonts w:hint="eastAsia" w:ascii="宋体"/>
          <w:b/>
          <w:sz w:val="24"/>
        </w:rPr>
        <w:t>注：评标委员会当积极履行澄清、说明或者更正的职责，不得滥用权力。投标人的投标文件应当要求澄清、说明或者更正的，不得未经澄清、说明或者更正而直接作无效投标处理。</w:t>
      </w:r>
    </w:p>
    <w:p>
      <w:pPr>
        <w:pStyle w:val="69"/>
        <w:spacing w:before="156" w:beforeLines="50" w:after="156" w:afterLines="50" w:line="400" w:lineRule="exact"/>
        <w:ind w:firstLine="480" w:firstLineChars="200"/>
        <w:jc w:val="both"/>
      </w:pPr>
      <w:r>
        <w:rPr>
          <w:rFonts w:hint="eastAsia"/>
        </w:rPr>
        <w:t>3.10</w:t>
      </w:r>
      <w:r>
        <w:t xml:space="preserve"> </w:t>
      </w:r>
      <w:r>
        <w:rPr>
          <w:rFonts w:hint="eastAsia"/>
        </w:rPr>
        <w:t>低于成本价投标处理。</w:t>
      </w:r>
    </w:p>
    <w:p>
      <w:pPr>
        <w:pStyle w:val="69"/>
        <w:spacing w:before="156" w:beforeLines="50" w:after="156" w:afterLines="50" w:line="400" w:lineRule="exact"/>
        <w:ind w:firstLine="480" w:firstLineChars="200"/>
      </w:pPr>
      <w:r>
        <w:rPr>
          <w:rFonts w:hint="eastAsia"/>
        </w:rPr>
        <w:t>评标委员会认为投标人的报价明显低于其他通过符合性审查投标人的报价，有可能影响服务质量或者不能诚信履约的，应当要求其在评标现场合理的时间内提供书面说明，必要时提交相关证明材料。书面说明应当按照国家财务会计制度的规定要求，逐项就投标人提供的服务的主营业务成本（应根据投标人企业类型予以区别）、税金及附加、销售费用、管理费用、财务费用等成本构成事项详细陈述。</w:t>
      </w:r>
    </w:p>
    <w:p>
      <w:pPr>
        <w:pStyle w:val="69"/>
        <w:spacing w:before="156" w:beforeLines="50" w:after="156" w:afterLines="50" w:line="400" w:lineRule="exact"/>
        <w:ind w:firstLine="480" w:firstLineChars="200"/>
      </w:pPr>
      <w:r>
        <w:rPr>
          <w:rFonts w:hint="eastAsia"/>
        </w:rPr>
        <w:t>投标人书面说明应当签字确认或者加盖公章，否则无效。</w:t>
      </w:r>
    </w:p>
    <w:p>
      <w:pPr>
        <w:pStyle w:val="69"/>
        <w:spacing w:before="156" w:beforeLines="50" w:after="156" w:afterLines="50" w:line="400" w:lineRule="exact"/>
        <w:ind w:firstLine="480" w:firstLineChars="200"/>
        <w:jc w:val="both"/>
      </w:pPr>
      <w:r>
        <w:rPr>
          <w:rFonts w:hint="eastAsia"/>
        </w:rPr>
        <w:t>投标人提供书面说明后，评审委员会应当结合招标项目采购需求、专业实际情况、投标人财务状况报告、与其他投标人比较情况等就投标人书面说明进行审查评价。投标人拒绝或者变相拒绝提供有效书面说明或者书面说明不能证明其报价合理性的，评标委员会应当将其作为无效投标处理。</w:t>
      </w:r>
    </w:p>
    <w:p>
      <w:pPr>
        <w:pStyle w:val="69"/>
        <w:spacing w:before="156" w:beforeLines="50" w:after="156" w:afterLines="50" w:line="400" w:lineRule="exact"/>
        <w:ind w:firstLine="480" w:firstLineChars="200"/>
        <w:jc w:val="both"/>
      </w:pPr>
      <w:r>
        <w:rPr>
          <w:rFonts w:hint="eastAsia"/>
        </w:rPr>
        <w:t>3.11</w:t>
      </w:r>
      <w:r>
        <w:t xml:space="preserve"> </w:t>
      </w:r>
      <w:r>
        <w:rPr>
          <w:rFonts w:hint="eastAsia"/>
        </w:rPr>
        <w:t>招标采购单位现场复核评标结果。</w:t>
      </w:r>
    </w:p>
    <w:p>
      <w:pPr>
        <w:pStyle w:val="69"/>
        <w:spacing w:before="156" w:beforeLines="50" w:after="156" w:afterLines="50" w:line="400" w:lineRule="exact"/>
        <w:ind w:firstLine="480" w:firstLineChars="200"/>
        <w:jc w:val="both"/>
      </w:pPr>
      <w:r>
        <w:rPr>
          <w:rFonts w:hint="eastAsia"/>
        </w:rPr>
        <w:t>3.11.1</w:t>
      </w:r>
      <w:r>
        <w:t xml:space="preserve"> </w:t>
      </w:r>
      <w:r>
        <w:rPr>
          <w:rFonts w:hint="eastAsia"/>
        </w:rPr>
        <w:t>评标结果汇总完成后，评标委员会拟出具评标报告前，招标采购单位应当组织2名以上的本单位工作人员，在现场监督代表的监督之下，依据有关的法律制度和招标文件对评标结果进行复核，出具复核报告。存在下列情形之一的，招标采购单位应当根据情况书面建议评标委员会现场修改评标结果：</w:t>
      </w:r>
    </w:p>
    <w:p>
      <w:pPr>
        <w:pStyle w:val="69"/>
        <w:spacing w:before="156" w:beforeLines="50" w:after="156" w:afterLines="50" w:line="400" w:lineRule="exact"/>
        <w:ind w:firstLine="480" w:firstLineChars="200"/>
        <w:jc w:val="both"/>
      </w:pPr>
      <w:r>
        <w:rPr>
          <w:rFonts w:hint="eastAsia"/>
        </w:rPr>
        <w:t>（一）资格性审查认定错误的；</w:t>
      </w:r>
    </w:p>
    <w:p>
      <w:pPr>
        <w:pStyle w:val="69"/>
        <w:spacing w:before="156" w:beforeLines="50" w:after="156" w:afterLines="50" w:line="400" w:lineRule="exact"/>
        <w:ind w:firstLine="480" w:firstLineChars="200"/>
        <w:jc w:val="both"/>
      </w:pPr>
      <w:r>
        <w:rPr>
          <w:rFonts w:hint="eastAsia"/>
        </w:rPr>
        <w:t>（二）分值汇总计算错误的；</w:t>
      </w:r>
    </w:p>
    <w:p>
      <w:pPr>
        <w:pStyle w:val="69"/>
        <w:spacing w:before="156" w:beforeLines="50" w:after="156" w:afterLines="50" w:line="400" w:lineRule="exact"/>
        <w:ind w:firstLine="480" w:firstLineChars="200"/>
        <w:jc w:val="both"/>
      </w:pPr>
      <w:r>
        <w:rPr>
          <w:rFonts w:hint="eastAsia"/>
        </w:rPr>
        <w:t>（三）分项评分超出评分标准范围的；</w:t>
      </w:r>
    </w:p>
    <w:p>
      <w:pPr>
        <w:pStyle w:val="69"/>
        <w:spacing w:before="156" w:beforeLines="50" w:after="156" w:afterLines="50" w:line="400" w:lineRule="exact"/>
        <w:ind w:firstLine="480" w:firstLineChars="200"/>
        <w:jc w:val="both"/>
      </w:pPr>
      <w:r>
        <w:rPr>
          <w:rFonts w:hint="eastAsia"/>
        </w:rPr>
        <w:t>（四）客观评分不一致的。</w:t>
      </w:r>
    </w:p>
    <w:p>
      <w:pPr>
        <w:pStyle w:val="69"/>
        <w:spacing w:before="156" w:beforeLines="50" w:after="156" w:afterLines="50" w:line="400" w:lineRule="exact"/>
        <w:ind w:firstLine="480" w:firstLineChars="200"/>
        <w:jc w:val="both"/>
      </w:pPr>
      <w:r>
        <w:rPr>
          <w:rFonts w:hint="eastAsia"/>
        </w:rPr>
        <w:t>（五）经评标委员会认定评分畸高畸低的。</w:t>
      </w:r>
    </w:p>
    <w:p>
      <w:pPr>
        <w:pStyle w:val="69"/>
        <w:spacing w:before="156" w:beforeLines="50" w:after="156" w:afterLines="50" w:line="400" w:lineRule="exact"/>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招标采购活动，不得擅自中止招标采购活动。</w:t>
      </w:r>
    </w:p>
    <w:p>
      <w:pPr>
        <w:pStyle w:val="2"/>
        <w:spacing w:before="156" w:beforeLines="50" w:after="156" w:afterLines="50" w:line="400" w:lineRule="exact"/>
        <w:ind w:firstLine="482" w:firstLineChars="200"/>
        <w:rPr>
          <w:rFonts w:ascii="黑体" w:eastAsia="黑体"/>
          <w:sz w:val="24"/>
          <w:szCs w:val="24"/>
        </w:rPr>
      </w:pPr>
      <w:r>
        <w:rPr>
          <w:rFonts w:hint="eastAsia" w:ascii="黑体" w:eastAsia="黑体"/>
          <w:sz w:val="24"/>
          <w:szCs w:val="24"/>
        </w:rPr>
        <w:t>4、评标细则及标准</w:t>
      </w:r>
      <w:bookmarkEnd w:id="189"/>
    </w:p>
    <w:p>
      <w:pPr>
        <w:spacing w:before="156" w:beforeLines="50" w:after="156" w:afterLines="50" w:line="400" w:lineRule="exact"/>
        <w:ind w:firstLine="480" w:firstLineChars="200"/>
        <w:rPr>
          <w:rFonts w:ascii="宋体" w:hAnsi="宋体" w:cs="宋体"/>
          <w:kern w:val="0"/>
          <w:sz w:val="24"/>
        </w:rPr>
      </w:pPr>
      <w:r>
        <w:rPr>
          <w:rFonts w:hint="eastAsia" w:ascii="宋体" w:hAnsi="宋体" w:cs="宋体"/>
          <w:kern w:val="0"/>
          <w:sz w:val="24"/>
        </w:rPr>
        <w:t>4.1本次综合评分的因素是：报价、技术、商务等。</w:t>
      </w:r>
    </w:p>
    <w:p>
      <w:pPr>
        <w:pStyle w:val="17"/>
        <w:tabs>
          <w:tab w:val="left" w:pos="600"/>
        </w:tabs>
        <w:spacing w:before="156" w:beforeLines="50" w:after="156" w:afterLines="50" w:line="400" w:lineRule="exact"/>
        <w:ind w:firstLine="480" w:firstLineChars="200"/>
        <w:rPr>
          <w:rFonts w:ascii="宋体"/>
          <w:sz w:val="24"/>
          <w:szCs w:val="24"/>
        </w:rPr>
      </w:pPr>
      <w:r>
        <w:rPr>
          <w:rFonts w:hint="eastAsia" w:ascii="宋体"/>
          <w:sz w:val="24"/>
          <w:szCs w:val="24"/>
        </w:rPr>
        <w:t>4.2综合评分明细表</w:t>
      </w:r>
    </w:p>
    <w:tbl>
      <w:tblPr>
        <w:tblStyle w:val="39"/>
        <w:tblW w:w="9623" w:type="dxa"/>
        <w:jc w:val="center"/>
        <w:tblLayout w:type="fixed"/>
        <w:tblCellMar>
          <w:top w:w="0" w:type="dxa"/>
          <w:left w:w="108" w:type="dxa"/>
          <w:bottom w:w="0" w:type="dxa"/>
          <w:right w:w="108" w:type="dxa"/>
        </w:tblCellMar>
      </w:tblPr>
      <w:tblGrid>
        <w:gridCol w:w="709"/>
        <w:gridCol w:w="1134"/>
        <w:gridCol w:w="709"/>
        <w:gridCol w:w="5145"/>
        <w:gridCol w:w="1926"/>
      </w:tblGrid>
      <w:tr>
        <w:tblPrEx>
          <w:tblCellMar>
            <w:top w:w="0" w:type="dxa"/>
            <w:left w:w="108" w:type="dxa"/>
            <w:bottom w:w="0" w:type="dxa"/>
            <w:right w:w="108" w:type="dxa"/>
          </w:tblCellMar>
        </w:tblPrEx>
        <w:trPr>
          <w:trHeight w:val="684" w:hRule="atLeast"/>
          <w:jc w:val="center"/>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序号</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评分因素</w:t>
            </w:r>
          </w:p>
        </w:tc>
        <w:tc>
          <w:tcPr>
            <w:tcW w:w="7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分值</w:t>
            </w:r>
          </w:p>
        </w:tc>
        <w:tc>
          <w:tcPr>
            <w:tcW w:w="51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评分标准</w:t>
            </w:r>
          </w:p>
        </w:tc>
        <w:tc>
          <w:tcPr>
            <w:tcW w:w="1926"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350" w:hRule="atLeast"/>
          <w:jc w:val="center"/>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报价</w:t>
            </w:r>
          </w:p>
        </w:tc>
        <w:tc>
          <w:tcPr>
            <w:tcW w:w="7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3</w:t>
            </w:r>
            <w:r>
              <w:rPr>
                <w:rFonts w:hint="eastAsia" w:cs="宋体" w:asciiTheme="minorEastAsia" w:hAnsiTheme="minorEastAsia" w:eastAsiaTheme="minorEastAsia"/>
                <w:color w:val="000000" w:themeColor="text1"/>
                <w:kern w:val="0"/>
                <w:szCs w:val="21"/>
                <w14:textFill>
                  <w14:solidFill>
                    <w14:schemeClr w14:val="tx1"/>
                  </w14:solidFill>
                </w14:textFill>
              </w:rPr>
              <w:t>0分</w:t>
            </w:r>
          </w:p>
        </w:tc>
        <w:tc>
          <w:tcPr>
            <w:tcW w:w="51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以本次最低有效投标报价为基准价，投标报价得分=(基准价／投标报价)×</w:t>
            </w:r>
            <w:r>
              <w:rPr>
                <w:rFonts w:cs="宋体" w:asciiTheme="minorEastAsia" w:hAnsiTheme="minorEastAsia" w:eastAsiaTheme="minorEastAsia"/>
                <w:color w:val="000000" w:themeColor="text1"/>
                <w:kern w:val="0"/>
                <w:szCs w:val="21"/>
                <w14:textFill>
                  <w14:solidFill>
                    <w14:schemeClr w14:val="tx1"/>
                  </w14:solidFill>
                </w14:textFill>
              </w:rPr>
              <w:t>3</w:t>
            </w:r>
            <w:r>
              <w:rPr>
                <w:rFonts w:hint="eastAsia" w:cs="宋体" w:asciiTheme="minorEastAsia" w:hAnsiTheme="minorEastAsia" w:eastAsiaTheme="minorEastAsia"/>
                <w:color w:val="000000" w:themeColor="text1"/>
                <w:kern w:val="0"/>
                <w:szCs w:val="21"/>
                <w14:textFill>
                  <w14:solidFill>
                    <w14:schemeClr w14:val="tx1"/>
                  </w14:solidFill>
                </w14:textFill>
              </w:rPr>
              <w:t>0</w:t>
            </w:r>
          </w:p>
        </w:tc>
        <w:tc>
          <w:tcPr>
            <w:tcW w:w="1926" w:type="dxa"/>
            <w:tcBorders>
              <w:top w:val="single" w:color="000000" w:sz="4" w:space="0"/>
              <w:bottom w:val="single" w:color="000000" w:sz="4" w:space="0"/>
              <w:right w:val="single" w:color="000000" w:sz="4" w:space="0"/>
            </w:tcBorders>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58" w:hRule="atLeast"/>
          <w:jc w:val="center"/>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技术指标和配置</w:t>
            </w:r>
          </w:p>
        </w:tc>
        <w:tc>
          <w:tcPr>
            <w:tcW w:w="7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50</w:t>
            </w:r>
            <w:r>
              <w:rPr>
                <w:rFonts w:hint="eastAsia" w:cs="宋体" w:asciiTheme="minorEastAsia" w:hAnsiTheme="minorEastAsia" w:eastAsiaTheme="minorEastAsia"/>
                <w:color w:val="000000" w:themeColor="text1"/>
                <w:kern w:val="0"/>
                <w:szCs w:val="21"/>
                <w14:textFill>
                  <w14:solidFill>
                    <w14:schemeClr w14:val="tx1"/>
                  </w14:solidFill>
                </w14:textFill>
              </w:rPr>
              <w:t>分</w:t>
            </w:r>
          </w:p>
        </w:tc>
        <w:tc>
          <w:tcPr>
            <w:tcW w:w="51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投标人</w:t>
            </w:r>
            <w:r>
              <w:rPr>
                <w:rFonts w:hint="eastAsia" w:hAnsi="宋体" w:cs="宋体"/>
                <w:color w:val="000000" w:themeColor="text1"/>
                <w:szCs w:val="21"/>
                <w14:textFill>
                  <w14:solidFill>
                    <w14:schemeClr w14:val="tx1"/>
                  </w14:solidFill>
                </w14:textFill>
              </w:rPr>
              <w:t>针对</w:t>
            </w:r>
            <w:r>
              <w:rPr>
                <w:rFonts w:hint="eastAsia" w:cs="宋体" w:asciiTheme="minorEastAsia" w:hAnsiTheme="minorEastAsia" w:eastAsiaTheme="minorEastAsia"/>
                <w:color w:val="000000" w:themeColor="text1"/>
                <w:kern w:val="0"/>
                <w:szCs w:val="21"/>
                <w14:textFill>
                  <w14:solidFill>
                    <w14:schemeClr w14:val="tx1"/>
                  </w14:solidFill>
                </w14:textFill>
              </w:rPr>
              <w:t>招标文件</w:t>
            </w:r>
            <w:r>
              <w:rPr>
                <w:rFonts w:hint="eastAsia" w:hAnsi="宋体" w:cs="宋体"/>
                <w:color w:val="000000" w:themeColor="text1"/>
                <w:szCs w:val="21"/>
                <w14:textFill>
                  <w14:solidFill>
                    <w14:schemeClr w14:val="tx1"/>
                  </w14:solidFill>
                </w14:textFill>
              </w:rPr>
              <w:t>第六章对应的</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参数要求</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条款的响应得分规则如下：</w:t>
            </w:r>
            <w:r>
              <w:rPr>
                <w:rFonts w:asciiTheme="minorEastAsia" w:hAnsiTheme="minorEastAsia" w:eastAsiaTheme="minorEastAsia"/>
                <w:color w:val="000000" w:themeColor="text1"/>
                <w:szCs w:val="21"/>
                <w14:textFill>
                  <w14:solidFill>
                    <w14:schemeClr w14:val="tx1"/>
                  </w14:solidFill>
                </w14:textFill>
              </w:rPr>
              <w:t xml:space="preserve"> </w:t>
            </w:r>
          </w:p>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参数要求</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条款条款响应得分=（</w:t>
            </w:r>
            <w:r>
              <w:rPr>
                <w:rFonts w:hint="eastAsia" w:cs="宋体" w:asciiTheme="minorEastAsia" w:hAnsiTheme="minorEastAsia" w:eastAsiaTheme="minorEastAsia"/>
                <w:color w:val="000000" w:themeColor="text1"/>
                <w:kern w:val="0"/>
                <w:szCs w:val="21"/>
                <w14:textFill>
                  <w14:solidFill>
                    <w14:schemeClr w14:val="tx1"/>
                  </w14:solidFill>
                </w14:textFill>
              </w:rPr>
              <w:t>投标人满足</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参数要求</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条款的数量÷对应</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参数要求</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条款的总数量）×</w:t>
            </w:r>
            <w:r>
              <w:rPr>
                <w:rFonts w:asciiTheme="minorEastAsia" w:hAnsiTheme="minorEastAsia" w:eastAsiaTheme="minorEastAsia"/>
                <w:color w:val="000000" w:themeColor="text1"/>
                <w:szCs w:val="21"/>
                <w14:textFill>
                  <w14:solidFill>
                    <w14:schemeClr w14:val="tx1"/>
                  </w14:solidFill>
                </w14:textFill>
              </w:rPr>
              <w:t>50</w:t>
            </w:r>
            <w:r>
              <w:rPr>
                <w:rFonts w:hint="eastAsia" w:asciiTheme="minorEastAsia" w:hAnsiTheme="minorEastAsia" w:eastAsiaTheme="minorEastAsia"/>
                <w:color w:val="000000" w:themeColor="text1"/>
                <w:szCs w:val="21"/>
                <w14:textFill>
                  <w14:solidFill>
                    <w14:schemeClr w14:val="tx1"/>
                  </w14:solidFill>
                </w14:textFill>
              </w:rPr>
              <w:t>分。</w:t>
            </w:r>
          </w:p>
          <w:p>
            <w:pPr>
              <w:spacing w:after="1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如果招标文件第六章“参数要求”中技术参数条款对技术支撑材料有要求，应按要求提供，否则对应技术参数条款将视为不满足。</w:t>
            </w:r>
          </w:p>
          <w:p>
            <w:pPr>
              <w:widowControl/>
              <w:jc w:val="left"/>
              <w:rPr>
                <w:rFonts w:asciiTheme="minorEastAsia" w:hAnsiTheme="minorEastAsia"/>
                <w:color w:val="000000" w:themeColor="text1"/>
                <w14:textFill>
                  <w14:solidFill>
                    <w14:schemeClr w14:val="tx1"/>
                  </w14:solidFill>
                </w14:textFill>
              </w:rPr>
            </w:pPr>
            <w:r>
              <w:rPr>
                <w:rStyle w:val="170"/>
                <w:rFonts w:hint="eastAsia" w:ascii="宋体" w:hAnsi="宋体"/>
                <w:color w:val="000000" w:themeColor="text1"/>
                <w14:textFill>
                  <w14:solidFill>
                    <w14:schemeClr w14:val="tx1"/>
                  </w14:solidFill>
                </w14:textFill>
              </w:rPr>
              <w:t>以标有阿拉伯数字的序号“1”“</w:t>
            </w:r>
            <w:r>
              <w:rPr>
                <w:rStyle w:val="170"/>
                <w:rFonts w:ascii="宋体" w:hAnsi="宋体"/>
                <w:color w:val="000000" w:themeColor="text1"/>
                <w14:textFill>
                  <w14:solidFill>
                    <w14:schemeClr w14:val="tx1"/>
                  </w14:solidFill>
                </w14:textFill>
              </w:rPr>
              <w:t>2</w:t>
            </w:r>
            <w:r>
              <w:rPr>
                <w:rStyle w:val="170"/>
                <w:rFonts w:hint="eastAsia" w:ascii="宋体" w:hAnsi="宋体"/>
                <w:color w:val="000000" w:themeColor="text1"/>
                <w14:textFill>
                  <w14:solidFill>
                    <w14:schemeClr w14:val="tx1"/>
                  </w14:solidFill>
                </w14:textFill>
              </w:rPr>
              <w:t>”“</w:t>
            </w:r>
            <w:r>
              <w:rPr>
                <w:rStyle w:val="170"/>
                <w:rFonts w:ascii="宋体" w:hAnsi="宋体"/>
                <w:color w:val="000000" w:themeColor="text1"/>
                <w14:textFill>
                  <w14:solidFill>
                    <w14:schemeClr w14:val="tx1"/>
                  </w14:solidFill>
                </w14:textFill>
              </w:rPr>
              <w:t>3</w:t>
            </w:r>
            <w:r>
              <w:rPr>
                <w:rStyle w:val="170"/>
                <w:rFonts w:hint="eastAsia" w:ascii="宋体" w:hAnsi="宋体"/>
                <w:color w:val="000000" w:themeColor="text1"/>
                <w14:textFill>
                  <w14:solidFill>
                    <w14:schemeClr w14:val="tx1"/>
                  </w14:solidFill>
                </w14:textFill>
              </w:rPr>
              <w:t>”……为1项（标题</w:t>
            </w:r>
            <w:r>
              <w:rPr>
                <w:rStyle w:val="170"/>
                <w:rFonts w:ascii="宋体" w:hAnsi="宋体"/>
                <w:color w:val="000000" w:themeColor="text1"/>
                <w14:textFill>
                  <w14:solidFill>
                    <w14:schemeClr w14:val="tx1"/>
                  </w14:solidFill>
                </w14:textFill>
              </w:rPr>
              <w:t>除外</w:t>
            </w:r>
            <w:r>
              <w:rPr>
                <w:rStyle w:val="170"/>
                <w:rFonts w:hint="eastAsia" w:ascii="宋体" w:hAnsi="宋体"/>
                <w:color w:val="000000" w:themeColor="text1"/>
                <w14:textFill>
                  <w14:solidFill>
                    <w14:schemeClr w14:val="tx1"/>
                  </w14:solidFill>
                </w14:textFill>
              </w:rPr>
              <w:t>）。</w:t>
            </w:r>
          </w:p>
        </w:tc>
        <w:tc>
          <w:tcPr>
            <w:tcW w:w="1926" w:type="dxa"/>
            <w:tcBorders>
              <w:top w:val="single" w:color="000000" w:sz="4" w:space="0"/>
              <w:bottom w:val="single" w:color="000000" w:sz="4" w:space="0"/>
              <w:right w:val="single" w:color="000000" w:sz="4" w:space="0"/>
            </w:tcBorders>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投标人须认真核实所有技术支持资料，并对其在投标文件中提供的技术支持资料的真实性负责，并承担由此带来的一切法律责任和后果。</w:t>
            </w:r>
          </w:p>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411" w:hRule="atLeast"/>
          <w:jc w:val="center"/>
        </w:trPr>
        <w:tc>
          <w:tcPr>
            <w:tcW w:w="709"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jc w:val="center"/>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w:t>
            </w:r>
          </w:p>
        </w:tc>
        <w:tc>
          <w:tcPr>
            <w:tcW w:w="1134" w:type="dxa"/>
            <w:tcBorders>
              <w:top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履约能力</w:t>
            </w:r>
          </w:p>
        </w:tc>
        <w:tc>
          <w:tcPr>
            <w:tcW w:w="7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分</w:t>
            </w:r>
          </w:p>
        </w:tc>
        <w:tc>
          <w:tcPr>
            <w:tcW w:w="5145" w:type="dxa"/>
            <w:tcBorders>
              <w:top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1、供应商提供自2017年1月1日（含）以来已完成的类似项目业绩，每有1个得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分，本项满分为</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分。（提供中标/成交通知书、协议/合同复印件盖供应商鲜章）</w:t>
            </w:r>
          </w:p>
        </w:tc>
        <w:tc>
          <w:tcPr>
            <w:tcW w:w="1926" w:type="dxa"/>
            <w:tcBorders>
              <w:top w:val="single" w:color="000000" w:sz="4" w:space="0"/>
              <w:right w:val="single" w:color="000000" w:sz="4" w:space="0"/>
            </w:tcBorders>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411" w:hRule="atLeast"/>
          <w:jc w:val="center"/>
        </w:trPr>
        <w:tc>
          <w:tcPr>
            <w:tcW w:w="709"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jc w:val="center"/>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w:t>
            </w:r>
          </w:p>
        </w:tc>
        <w:tc>
          <w:tcPr>
            <w:tcW w:w="1134" w:type="dxa"/>
            <w:tcBorders>
              <w:top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ascii="宋体" w:hAnsi="宋体"/>
                <w:color w:val="000000" w:themeColor="text1"/>
                <w14:textFill>
                  <w14:solidFill>
                    <w14:schemeClr w14:val="tx1"/>
                  </w14:solidFill>
                </w14:textFill>
              </w:rPr>
              <w:t>服务</w:t>
            </w:r>
            <w:r>
              <w:rPr>
                <w:rFonts w:hint="eastAsia" w:ascii="宋体" w:hAnsi="宋体"/>
                <w:color w:val="000000" w:themeColor="text1"/>
                <w14:textFill>
                  <w14:solidFill>
                    <w14:schemeClr w14:val="tx1"/>
                  </w14:solidFill>
                </w14:textFill>
              </w:rPr>
              <w:t>方案</w:t>
            </w:r>
          </w:p>
        </w:tc>
        <w:tc>
          <w:tcPr>
            <w:tcW w:w="7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分</w:t>
            </w:r>
          </w:p>
        </w:tc>
        <w:tc>
          <w:tcPr>
            <w:tcW w:w="5145"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cs="Arial" w:asciiTheme="minorEastAsia" w:hAnsiTheme="minorEastAsia" w:eastAsia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投标人针对本项目提供的服务方案包括但不限于（1）产品质量保障方案；（2）配送货物</w:t>
            </w:r>
            <w:r>
              <w:rPr>
                <w:rFonts w:ascii="宋体" w:hAnsi="宋体"/>
                <w:color w:val="000000" w:themeColor="text1"/>
                <w:szCs w:val="21"/>
                <w14:textFill>
                  <w14:solidFill>
                    <w14:schemeClr w14:val="tx1"/>
                  </w14:solidFill>
                </w14:textFill>
              </w:rPr>
              <w:t>流程</w:t>
            </w:r>
            <w:r>
              <w:rPr>
                <w:rFonts w:hint="eastAsia" w:ascii="宋体" w:hAnsi="宋体"/>
                <w:color w:val="000000" w:themeColor="text1"/>
                <w:szCs w:val="21"/>
                <w14:textFill>
                  <w14:solidFill>
                    <w14:schemeClr w14:val="tx1"/>
                  </w14:solidFill>
                </w14:textFill>
              </w:rPr>
              <w:t>；（3）退换货</w:t>
            </w:r>
            <w:r>
              <w:rPr>
                <w:rFonts w:ascii="宋体" w:hAnsi="宋体"/>
                <w:color w:val="000000" w:themeColor="text1"/>
                <w:szCs w:val="21"/>
                <w14:textFill>
                  <w14:solidFill>
                    <w14:schemeClr w14:val="tx1"/>
                  </w14:solidFill>
                </w14:textFill>
              </w:rPr>
              <w:t>条件与流程</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服务团队人员配置及岗位职责</w:t>
            </w:r>
            <w:r>
              <w:rPr>
                <w:rFonts w:hint="eastAsia" w:ascii="宋体" w:hAnsi="宋体"/>
                <w:color w:val="000000" w:themeColor="text1"/>
                <w:szCs w:val="21"/>
                <w14:textFill>
                  <w14:solidFill>
                    <w14:schemeClr w14:val="tx1"/>
                  </w14:solidFill>
                </w14:textFill>
              </w:rPr>
              <w:t>，得12分</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服务方案具有漏项或者方案与实际有偏差或者相关内容需优化后才能满足项目需求或者方案描述存在不清晰不合理的，每有一项扣</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分，扣完为止。</w:t>
            </w:r>
          </w:p>
        </w:tc>
        <w:tc>
          <w:tcPr>
            <w:tcW w:w="1926" w:type="dxa"/>
            <w:tcBorders>
              <w:top w:val="single" w:color="000000" w:sz="4" w:space="0"/>
              <w:right w:val="single" w:color="000000" w:sz="4" w:space="0"/>
            </w:tcBorders>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50" w:hRule="atLeast"/>
          <w:jc w:val="center"/>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4</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投标文件的规范性</w:t>
            </w:r>
          </w:p>
        </w:tc>
        <w:tc>
          <w:tcPr>
            <w:tcW w:w="7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2</w:t>
            </w:r>
            <w:r>
              <w:rPr>
                <w:rFonts w:hint="eastAsia" w:cs="宋体" w:asciiTheme="minorEastAsia" w:hAnsiTheme="minorEastAsia" w:eastAsiaTheme="minorEastAsia"/>
                <w:color w:val="000000" w:themeColor="text1"/>
                <w:kern w:val="0"/>
                <w:szCs w:val="21"/>
                <w14:textFill>
                  <w14:solidFill>
                    <w14:schemeClr w14:val="tx1"/>
                  </w14:solidFill>
                </w14:textFill>
              </w:rPr>
              <w:t>分</w:t>
            </w:r>
          </w:p>
        </w:tc>
        <w:tc>
          <w:tcPr>
            <w:tcW w:w="514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投标文件制作规范，得</w:t>
            </w:r>
            <w:r>
              <w:rPr>
                <w:rFonts w:cs="宋体" w:asciiTheme="minorEastAsia" w:hAnsiTheme="minorEastAsia" w:eastAsiaTheme="minorEastAsia"/>
                <w:color w:val="000000" w:themeColor="text1"/>
                <w:kern w:val="0"/>
                <w:szCs w:val="21"/>
                <w14:textFill>
                  <w14:solidFill>
                    <w14:schemeClr w14:val="tx1"/>
                  </w14:solidFill>
                </w14:textFill>
              </w:rPr>
              <w:t>2</w:t>
            </w:r>
            <w:r>
              <w:rPr>
                <w:rFonts w:hint="eastAsia" w:cs="宋体" w:asciiTheme="minorEastAsia" w:hAnsiTheme="minorEastAsia" w:eastAsiaTheme="minorEastAsia"/>
                <w:color w:val="000000" w:themeColor="text1"/>
                <w:kern w:val="0"/>
                <w:szCs w:val="21"/>
                <w14:textFill>
                  <w14:solidFill>
                    <w14:schemeClr w14:val="tx1"/>
                  </w14:solidFill>
                </w14:textFill>
              </w:rPr>
              <w:t>分；有一项细微偏差扣0.5分，直至该项分值扣完为止。</w:t>
            </w:r>
          </w:p>
        </w:tc>
        <w:tc>
          <w:tcPr>
            <w:tcW w:w="1926" w:type="dxa"/>
            <w:tcBorders>
              <w:top w:val="single" w:color="000000" w:sz="4" w:space="0"/>
              <w:bottom w:val="single" w:color="000000" w:sz="4" w:space="0"/>
              <w:right w:val="single" w:color="000000" w:sz="4" w:space="0"/>
            </w:tcBorders>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50" w:hRule="atLeast"/>
          <w:jc w:val="center"/>
        </w:trPr>
        <w:tc>
          <w:tcPr>
            <w:tcW w:w="9623"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注：评标委员会在评标过程中计算得分分数时，如涉及小数的，四舍五入后保留小数点后两位。</w:t>
            </w:r>
          </w:p>
        </w:tc>
      </w:tr>
    </w:tbl>
    <w:p>
      <w:pPr>
        <w:pStyle w:val="17"/>
        <w:tabs>
          <w:tab w:val="left" w:pos="600"/>
        </w:tabs>
        <w:spacing w:before="156" w:beforeLines="50" w:after="156" w:afterLines="50" w:line="400" w:lineRule="exact"/>
        <w:ind w:firstLine="480" w:firstLineChars="200"/>
        <w:rPr>
          <w:rFonts w:ascii="宋体"/>
          <w:sz w:val="24"/>
          <w:szCs w:val="24"/>
        </w:rPr>
      </w:pPr>
    </w:p>
    <w:p>
      <w:pPr>
        <w:pStyle w:val="2"/>
        <w:spacing w:before="156" w:beforeLines="50" w:after="156" w:afterLines="50" w:line="400" w:lineRule="exact"/>
        <w:ind w:firstLine="482" w:firstLineChars="200"/>
        <w:rPr>
          <w:rFonts w:ascii="黑体" w:eastAsia="黑体"/>
          <w:sz w:val="24"/>
          <w:szCs w:val="24"/>
        </w:rPr>
      </w:pPr>
      <w:bookmarkStart w:id="191" w:name="_Toc217446060"/>
      <w:r>
        <w:rPr>
          <w:rFonts w:hint="eastAsia" w:ascii="黑体" w:eastAsia="黑体"/>
          <w:sz w:val="24"/>
          <w:szCs w:val="24"/>
        </w:rPr>
        <w:t>5、重新招标</w:t>
      </w:r>
    </w:p>
    <w:p>
      <w:pPr>
        <w:spacing w:before="156" w:beforeLines="50" w:after="156" w:afterLines="50" w:line="400" w:lineRule="exact"/>
        <w:ind w:firstLine="480" w:firstLineChars="200"/>
        <w:rPr>
          <w:rFonts w:ascii="宋体"/>
          <w:sz w:val="24"/>
        </w:rPr>
      </w:pPr>
      <w:r>
        <w:rPr>
          <w:rFonts w:hint="eastAsia" w:ascii="宋体"/>
          <w:sz w:val="24"/>
        </w:rPr>
        <w:t>5.1本次招标采购活动中，出现下列情形之一的，应当重新招标：</w:t>
      </w:r>
    </w:p>
    <w:p>
      <w:pPr>
        <w:spacing w:before="156" w:beforeLines="50" w:after="156" w:afterLines="50" w:line="400" w:lineRule="exact"/>
        <w:ind w:firstLine="480" w:firstLineChars="200"/>
        <w:rPr>
          <w:rFonts w:ascii="宋体"/>
          <w:sz w:val="24"/>
        </w:rPr>
      </w:pPr>
      <w:r>
        <w:rPr>
          <w:rFonts w:hint="eastAsia" w:ascii="宋体"/>
          <w:sz w:val="24"/>
        </w:rPr>
        <w:t>（1）投标截止时间止，投标人少于三家的；</w:t>
      </w:r>
    </w:p>
    <w:p>
      <w:pPr>
        <w:spacing w:before="156" w:beforeLines="50" w:after="156" w:afterLines="50" w:line="400" w:lineRule="exact"/>
        <w:ind w:firstLine="480" w:firstLineChars="200"/>
        <w:rPr>
          <w:rFonts w:ascii="宋体"/>
          <w:sz w:val="24"/>
        </w:rPr>
      </w:pPr>
      <w:r>
        <w:rPr>
          <w:rFonts w:hint="eastAsia" w:ascii="宋体"/>
          <w:sz w:val="24"/>
        </w:rPr>
        <w:t>（2）通过资格性审查和符合性审查的投标人不足三家的；</w:t>
      </w:r>
    </w:p>
    <w:p>
      <w:pPr>
        <w:spacing w:before="156" w:beforeLines="50" w:after="156" w:afterLines="50" w:line="400" w:lineRule="exact"/>
        <w:ind w:firstLine="480" w:firstLineChars="200"/>
        <w:rPr>
          <w:rFonts w:ascii="宋体"/>
          <w:sz w:val="24"/>
        </w:rPr>
      </w:pPr>
      <w:r>
        <w:rPr>
          <w:rFonts w:hint="eastAsia" w:ascii="宋体"/>
          <w:sz w:val="24"/>
        </w:rPr>
        <w:t>（3）出现影响招标采购公正的违法、违规、违纪行为的。</w:t>
      </w:r>
    </w:p>
    <w:p>
      <w:pPr>
        <w:pStyle w:val="2"/>
        <w:spacing w:before="156" w:beforeLines="50" w:after="156" w:afterLines="50" w:line="400" w:lineRule="exact"/>
        <w:ind w:firstLine="482" w:firstLineChars="200"/>
        <w:rPr>
          <w:rFonts w:ascii="黑体" w:eastAsia="黑体"/>
          <w:sz w:val="24"/>
          <w:szCs w:val="24"/>
        </w:rPr>
      </w:pPr>
      <w:r>
        <w:rPr>
          <w:rFonts w:hint="eastAsia" w:ascii="黑体" w:eastAsia="黑体"/>
          <w:sz w:val="24"/>
          <w:szCs w:val="24"/>
        </w:rPr>
        <w:t>6、定标</w:t>
      </w:r>
      <w:bookmarkEnd w:id="191"/>
      <w:bookmarkStart w:id="192" w:name="_Toc217446061"/>
    </w:p>
    <w:p>
      <w:pPr>
        <w:spacing w:before="156" w:beforeLines="50" w:after="156" w:afterLines="50" w:line="400" w:lineRule="exact"/>
        <w:ind w:firstLine="480" w:firstLineChars="200"/>
        <w:rPr>
          <w:rFonts w:ascii="宋体"/>
          <w:sz w:val="24"/>
        </w:rPr>
      </w:pPr>
      <w:r>
        <w:rPr>
          <w:rFonts w:hint="eastAsia" w:ascii="宋体"/>
          <w:sz w:val="24"/>
        </w:rPr>
        <w:t>6.1. 定标原则</w:t>
      </w:r>
      <w:bookmarkEnd w:id="192"/>
      <w:r>
        <w:rPr>
          <w:rFonts w:hint="eastAsia" w:ascii="宋体"/>
          <w:sz w:val="24"/>
        </w:rPr>
        <w:t>：本项目根据评标委员会推荐的中标候选人名单，按排序确定中标人。</w:t>
      </w:r>
    </w:p>
    <w:p>
      <w:pPr>
        <w:spacing w:before="156" w:beforeLines="50" w:after="156" w:afterLines="50" w:line="400" w:lineRule="exact"/>
        <w:ind w:firstLine="480" w:firstLineChars="200"/>
        <w:rPr>
          <w:rFonts w:ascii="宋体"/>
          <w:sz w:val="24"/>
        </w:rPr>
      </w:pPr>
      <w:bookmarkStart w:id="193" w:name="_Toc217446062"/>
      <w:r>
        <w:rPr>
          <w:rFonts w:hint="eastAsia" w:ascii="宋体"/>
          <w:sz w:val="24"/>
        </w:rPr>
        <w:t>6.2. 定标程序</w:t>
      </w:r>
      <w:bookmarkEnd w:id="193"/>
    </w:p>
    <w:p>
      <w:pPr>
        <w:spacing w:before="156" w:beforeLines="50" w:after="156" w:afterLines="50" w:line="400" w:lineRule="exact"/>
        <w:ind w:firstLine="480" w:firstLineChars="200"/>
        <w:rPr>
          <w:rFonts w:ascii="宋体"/>
          <w:sz w:val="24"/>
        </w:rPr>
      </w:pPr>
      <w:r>
        <w:rPr>
          <w:rFonts w:hint="eastAsia" w:ascii="宋体"/>
          <w:sz w:val="24"/>
        </w:rPr>
        <w:t>6.2.1 评标完成后，评标委员会应当向招标代理机构提交书面评标报告和中标候选人名单，</w:t>
      </w:r>
      <w:r>
        <w:rPr>
          <w:rFonts w:ascii="宋体"/>
          <w:sz w:val="24"/>
        </w:rPr>
        <w:t>并标明排序</w:t>
      </w:r>
      <w:r>
        <w:rPr>
          <w:rFonts w:hint="eastAsia" w:ascii="宋体"/>
          <w:sz w:val="24"/>
        </w:rPr>
        <w:t>。</w:t>
      </w:r>
    </w:p>
    <w:p>
      <w:pPr>
        <w:spacing w:before="156" w:beforeLines="50" w:after="156" w:afterLines="50" w:line="400" w:lineRule="exact"/>
        <w:ind w:firstLine="480" w:firstLineChars="200"/>
        <w:rPr>
          <w:rFonts w:ascii="宋体"/>
          <w:sz w:val="24"/>
        </w:rPr>
      </w:pPr>
      <w:r>
        <w:rPr>
          <w:rFonts w:hint="eastAsia" w:ascii="宋体"/>
          <w:sz w:val="24"/>
        </w:rPr>
        <w:t>6.2.2 招标代理机构在收到评标报告后应当及时将评标报告报送招标人。</w:t>
      </w:r>
    </w:p>
    <w:p>
      <w:pPr>
        <w:spacing w:before="156" w:beforeLines="50" w:after="156" w:afterLines="50" w:line="400" w:lineRule="exact"/>
        <w:ind w:firstLine="480" w:firstLineChars="200"/>
        <w:rPr>
          <w:rFonts w:ascii="宋体"/>
          <w:sz w:val="24"/>
        </w:rPr>
      </w:pPr>
      <w:r>
        <w:rPr>
          <w:rFonts w:hint="eastAsia" w:ascii="宋体"/>
          <w:sz w:val="24"/>
        </w:rPr>
        <w:t>6.2.3</w:t>
      </w:r>
      <w:r>
        <w:rPr>
          <w:rFonts w:ascii="宋体"/>
          <w:sz w:val="24"/>
        </w:rPr>
        <w:t xml:space="preserve"> </w:t>
      </w:r>
      <w:r>
        <w:rPr>
          <w:rFonts w:hint="eastAsia" w:ascii="宋体"/>
          <w:sz w:val="24"/>
        </w:rPr>
        <w:t>自招标人收到评标报告之日起三日内公示中标候选人。</w:t>
      </w:r>
    </w:p>
    <w:p>
      <w:pPr>
        <w:spacing w:before="156" w:beforeLines="50" w:after="156" w:afterLines="50" w:line="400" w:lineRule="exact"/>
        <w:ind w:firstLine="480" w:firstLineChars="200"/>
        <w:rPr>
          <w:rFonts w:ascii="宋体"/>
          <w:sz w:val="24"/>
        </w:rPr>
      </w:pPr>
      <w:r>
        <w:rPr>
          <w:rFonts w:hint="eastAsia" w:ascii="宋体"/>
          <w:sz w:val="24"/>
        </w:rPr>
        <w:t>6.3.4</w:t>
      </w:r>
      <w:r>
        <w:rPr>
          <w:rFonts w:ascii="宋体"/>
          <w:sz w:val="24"/>
        </w:rPr>
        <w:t xml:space="preserve"> </w:t>
      </w:r>
      <w:r>
        <w:rPr>
          <w:rFonts w:hint="eastAsia" w:ascii="宋体"/>
          <w:sz w:val="24"/>
        </w:rPr>
        <w:t>中标候选人公示结束后，在没有异议的前提下，招标人根据评标委员会推荐的中标候选人排序确定中标人。招标人应该确定排名第一的中标候选人为中标人。但排名第一的中标候选人出现不符合中标条件情形的（具体详见第二章“总则”第26条），招标人可以按照评标委员会提出的中标候选人名单排序依次确定下一中标候选人为中标人，也可以重新招标，以此类推。</w:t>
      </w:r>
    </w:p>
    <w:p>
      <w:pPr>
        <w:spacing w:before="156" w:beforeLines="50" w:after="156" w:afterLines="50" w:line="400" w:lineRule="exact"/>
        <w:ind w:firstLine="480" w:firstLineChars="200"/>
        <w:rPr>
          <w:rFonts w:ascii="宋体"/>
          <w:sz w:val="24"/>
        </w:rPr>
      </w:pPr>
      <w:r>
        <w:rPr>
          <w:rFonts w:hint="eastAsia" w:ascii="宋体"/>
          <w:sz w:val="24"/>
        </w:rPr>
        <w:t>6.2.5 中标人确定后，招标代理机构将向中标人发出中标通知书。</w:t>
      </w:r>
    </w:p>
    <w:p>
      <w:pPr>
        <w:spacing w:before="156" w:beforeLines="50" w:after="156" w:afterLines="50" w:line="400" w:lineRule="exact"/>
        <w:ind w:firstLine="480" w:firstLineChars="200"/>
        <w:rPr>
          <w:rFonts w:ascii="宋体"/>
          <w:sz w:val="24"/>
        </w:rPr>
      </w:pPr>
      <w:r>
        <w:rPr>
          <w:rFonts w:hint="eastAsia" w:ascii="宋体"/>
          <w:sz w:val="24"/>
        </w:rPr>
        <w:t>6.2.6 招标采购单位不退回投标人投标文件和其他投标资料。</w:t>
      </w:r>
    </w:p>
    <w:bookmarkEnd w:id="190"/>
    <w:p>
      <w:pPr>
        <w:pStyle w:val="2"/>
        <w:spacing w:before="156" w:beforeLines="50" w:after="156" w:afterLines="50" w:line="400" w:lineRule="exact"/>
        <w:ind w:firstLine="482" w:firstLineChars="200"/>
        <w:rPr>
          <w:rFonts w:ascii="黑体" w:eastAsia="黑体"/>
          <w:sz w:val="24"/>
          <w:szCs w:val="24"/>
        </w:rPr>
      </w:pPr>
      <w:bookmarkStart w:id="194" w:name="_Toc208849022"/>
      <w:bookmarkStart w:id="195" w:name="_Toc183682432"/>
      <w:bookmarkStart w:id="196" w:name="_Toc183582297"/>
      <w:bookmarkStart w:id="197" w:name="_Toc217446105"/>
      <w:r>
        <w:rPr>
          <w:rFonts w:hint="eastAsia" w:ascii="黑体" w:eastAsia="黑体"/>
          <w:sz w:val="24"/>
          <w:szCs w:val="24"/>
        </w:rPr>
        <w:t xml:space="preserve">7. </w:t>
      </w:r>
      <w:bookmarkEnd w:id="194"/>
      <w:bookmarkEnd w:id="195"/>
      <w:bookmarkEnd w:id="196"/>
      <w:bookmarkEnd w:id="197"/>
      <w:r>
        <w:rPr>
          <w:rFonts w:hint="eastAsia" w:ascii="黑体" w:eastAsia="黑体"/>
          <w:sz w:val="24"/>
          <w:szCs w:val="24"/>
        </w:rPr>
        <w:t>评标专家在本次招标采购活动中承担以下义务：</w:t>
      </w:r>
    </w:p>
    <w:p>
      <w:pPr>
        <w:spacing w:before="156" w:beforeLines="50" w:after="156" w:afterLines="50" w:line="400" w:lineRule="exact"/>
        <w:ind w:firstLine="480" w:firstLineChars="200"/>
        <w:rPr>
          <w:rFonts w:ascii="宋体"/>
          <w:sz w:val="24"/>
        </w:rPr>
      </w:pPr>
      <w:r>
        <w:rPr>
          <w:rFonts w:hint="eastAsia" w:ascii="宋体"/>
          <w:sz w:val="24"/>
        </w:rPr>
        <w:t xml:space="preserve">（一）遵守评审工作纪律； </w:t>
      </w:r>
    </w:p>
    <w:p>
      <w:pPr>
        <w:spacing w:before="156" w:beforeLines="50" w:after="156" w:afterLines="50" w:line="400" w:lineRule="exact"/>
        <w:ind w:firstLine="480" w:firstLineChars="200"/>
        <w:rPr>
          <w:rFonts w:ascii="宋体"/>
          <w:sz w:val="24"/>
        </w:rPr>
      </w:pPr>
      <w:r>
        <w:rPr>
          <w:rFonts w:hint="eastAsia" w:ascii="宋体"/>
          <w:sz w:val="24"/>
        </w:rPr>
        <w:t>（二）按照客观、公正、审慎的原则，根据招标文件规定的评审程序、评审方法和评审标准进行独立评审；</w:t>
      </w:r>
    </w:p>
    <w:p>
      <w:pPr>
        <w:spacing w:before="156" w:beforeLines="50" w:after="156" w:afterLines="50" w:line="400" w:lineRule="exact"/>
        <w:ind w:firstLine="480" w:firstLineChars="200"/>
        <w:rPr>
          <w:rFonts w:ascii="宋体"/>
          <w:sz w:val="24"/>
        </w:rPr>
      </w:pPr>
      <w:r>
        <w:rPr>
          <w:rFonts w:hint="eastAsia" w:ascii="宋体"/>
          <w:sz w:val="24"/>
        </w:rPr>
        <w:t>（三）不得泄露评审文件、评审情况和在评审过程中获悉的商业秘密；</w:t>
      </w:r>
    </w:p>
    <w:p>
      <w:pPr>
        <w:spacing w:before="156" w:beforeLines="50" w:after="156" w:afterLines="50" w:line="400" w:lineRule="exact"/>
        <w:ind w:firstLine="480" w:firstLineChars="200"/>
        <w:rPr>
          <w:rFonts w:ascii="宋体"/>
          <w:sz w:val="24"/>
        </w:rPr>
      </w:pPr>
      <w:r>
        <w:rPr>
          <w:rFonts w:hint="eastAsia" w:ascii="宋体"/>
          <w:sz w:val="24"/>
        </w:rPr>
        <w:t>（四）及时向招标人报告评审过程中招标代理机构向评审专家做倾向性、误导性的解释或者说明，投标人行贿、提供虚假材料或者串通、受到的恶意干预情况等违法违纪行为；</w:t>
      </w:r>
    </w:p>
    <w:p>
      <w:pPr>
        <w:spacing w:before="156" w:beforeLines="50" w:after="156" w:afterLines="50" w:line="400" w:lineRule="exact"/>
        <w:ind w:firstLine="480" w:firstLineChars="200"/>
        <w:rPr>
          <w:rFonts w:ascii="宋体"/>
          <w:sz w:val="24"/>
        </w:rPr>
      </w:pPr>
      <w:r>
        <w:rPr>
          <w:rFonts w:hint="eastAsia" w:ascii="宋体"/>
          <w:sz w:val="24"/>
        </w:rPr>
        <w:t>（五）发现招标文件内容违反国家有关强制性规定或者存在歧义、重大缺陷导致评审工作无法进行时，停止评审并向招标代理机构书面说明情况；</w:t>
      </w:r>
    </w:p>
    <w:p>
      <w:pPr>
        <w:spacing w:before="156" w:beforeLines="50" w:after="156" w:afterLines="50" w:line="400" w:lineRule="exact"/>
        <w:ind w:firstLine="480" w:firstLineChars="200"/>
        <w:rPr>
          <w:rFonts w:ascii="宋体"/>
          <w:sz w:val="24"/>
        </w:rPr>
      </w:pPr>
      <w:r>
        <w:rPr>
          <w:rFonts w:hint="eastAsia" w:ascii="宋体"/>
          <w:sz w:val="24"/>
        </w:rPr>
        <w:t>（六）配合答复处理投标人的异议和投诉等事项；</w:t>
      </w:r>
    </w:p>
    <w:p>
      <w:pPr>
        <w:pStyle w:val="2"/>
        <w:spacing w:before="156" w:beforeLines="50" w:after="156" w:afterLines="50" w:line="400" w:lineRule="exact"/>
        <w:ind w:firstLine="482" w:firstLineChars="200"/>
        <w:rPr>
          <w:rFonts w:ascii="黑体" w:eastAsia="黑体"/>
          <w:sz w:val="24"/>
          <w:szCs w:val="24"/>
        </w:rPr>
      </w:pPr>
      <w:r>
        <w:rPr>
          <w:rFonts w:hint="eastAsia" w:ascii="黑体" w:eastAsia="黑体"/>
          <w:sz w:val="24"/>
          <w:szCs w:val="24"/>
        </w:rPr>
        <w:t>8.评标专家在本次招标采购活动中应当遵守以下工作纪律：</w:t>
      </w:r>
    </w:p>
    <w:p>
      <w:pPr>
        <w:spacing w:before="156" w:beforeLines="50" w:after="156" w:afterLines="50" w:line="400" w:lineRule="exact"/>
        <w:ind w:firstLine="480" w:firstLineChars="200"/>
        <w:rPr>
          <w:rFonts w:ascii="宋体"/>
          <w:sz w:val="24"/>
        </w:rPr>
      </w:pPr>
      <w:r>
        <w:rPr>
          <w:rFonts w:hint="eastAsia" w:ascii="宋体"/>
          <w:sz w:val="24"/>
        </w:rPr>
        <w:t>（一）评标前，应当将通讯工具或者相关电子设备交由招标采购单位统一保管。</w:t>
      </w:r>
    </w:p>
    <w:p>
      <w:pPr>
        <w:spacing w:before="156" w:beforeLines="50" w:after="156" w:afterLines="50" w:line="400" w:lineRule="exact"/>
        <w:ind w:firstLine="480" w:firstLineChars="200"/>
        <w:rPr>
          <w:rFonts w:ascii="宋体"/>
          <w:sz w:val="24"/>
        </w:rPr>
      </w:pPr>
      <w:r>
        <w:rPr>
          <w:rFonts w:hint="eastAsia" w:ascii="宋体"/>
          <w:sz w:val="24"/>
        </w:rPr>
        <w:t>（二）评标过程中，不得与外界联系，因发生不可预见情况，确实需要与外界联系的，应当在监督代表监督之下办理。</w:t>
      </w:r>
    </w:p>
    <w:p>
      <w:pPr>
        <w:spacing w:before="156" w:beforeLines="50" w:after="156" w:afterLines="50" w:line="400" w:lineRule="exact"/>
        <w:ind w:firstLine="480" w:firstLineChars="200"/>
        <w:rPr>
          <w:rFonts w:ascii="宋体"/>
          <w:sz w:val="24"/>
        </w:rPr>
      </w:pPr>
      <w:r>
        <w:rPr>
          <w:rFonts w:hint="eastAsia" w:ascii="宋体"/>
          <w:sz w:val="24"/>
        </w:rPr>
        <w:t>（三）评标过程中，不得干预或者影响正常评标工作，不得发表倾向性、引导性意见，不得修改或细化招标文件确定的评标程序、评标方法、评标因素和评标标准，不得接受投标人主动提出的澄清和解释，不得征询招标人代表的意见，不得协商评分，不得违反规定的评标格式评分和撰写评标意见，不得拒绝对自己的评标意见签字确认。</w:t>
      </w:r>
    </w:p>
    <w:p>
      <w:pPr>
        <w:spacing w:before="156" w:beforeLines="50" w:after="156" w:afterLines="50" w:line="400" w:lineRule="exact"/>
        <w:ind w:firstLine="480" w:firstLineChars="200"/>
        <w:rPr>
          <w:rFonts w:ascii="宋体"/>
          <w:sz w:val="24"/>
        </w:rPr>
      </w:pPr>
      <w:r>
        <w:rPr>
          <w:rFonts w:hint="eastAsia" w:ascii="宋体"/>
          <w:sz w:val="24"/>
        </w:rPr>
        <w:t>（四）在评标过程中和评标结束后，不得记录、复制或带走任何评标资料，除因规定的义务外，不得向外界透露评标内容。</w:t>
      </w:r>
    </w:p>
    <w:p>
      <w:pPr>
        <w:spacing w:before="156" w:beforeLines="50" w:after="156" w:afterLines="50" w:line="400" w:lineRule="exact"/>
        <w:ind w:firstLine="480" w:firstLineChars="200"/>
        <w:rPr>
          <w:rFonts w:ascii="宋体"/>
          <w:sz w:val="24"/>
        </w:rPr>
      </w:pPr>
      <w:r>
        <w:rPr>
          <w:rFonts w:hint="eastAsia" w:ascii="宋体"/>
          <w:sz w:val="24"/>
        </w:rPr>
        <w:t>（五）服从评标现场招标采购单位的现场秩序管理，接受评标现场监督代表的合法监督。</w:t>
      </w:r>
    </w:p>
    <w:p>
      <w:pPr>
        <w:spacing w:before="156" w:beforeLines="50" w:after="156" w:afterLines="50" w:line="400" w:lineRule="exact"/>
        <w:ind w:firstLine="480" w:firstLineChars="200"/>
        <w:rPr>
          <w:rFonts w:ascii="宋体"/>
          <w:sz w:val="24"/>
        </w:rPr>
      </w:pPr>
      <w:r>
        <w:rPr>
          <w:rFonts w:hint="eastAsia" w:ascii="宋体"/>
          <w:sz w:val="24"/>
        </w:rPr>
        <w:t>（六）遵守有关廉洁自律规定，不得私下接触投标人，不得收受投标人及有关业务单位和个人的财物或好处，不得接受招标代理机构的请托。</w:t>
      </w:r>
    </w:p>
    <w:p>
      <w:pPr>
        <w:pStyle w:val="2"/>
        <w:spacing w:before="156" w:beforeLines="50" w:after="156" w:afterLines="50" w:line="400" w:lineRule="exact"/>
        <w:ind w:firstLine="482" w:firstLineChars="200"/>
        <w:rPr>
          <w:rFonts w:ascii="黑体" w:eastAsia="黑体"/>
          <w:sz w:val="24"/>
          <w:szCs w:val="24"/>
        </w:rPr>
      </w:pPr>
      <w:r>
        <w:rPr>
          <w:rFonts w:hint="eastAsia" w:ascii="黑体" w:eastAsia="黑体"/>
          <w:sz w:val="24"/>
          <w:szCs w:val="24"/>
        </w:rPr>
        <w:t>9. 在本次招标采购活动中，招标人员及相关人员与投标人有下列利害关系之一的，应当回避：</w:t>
      </w:r>
    </w:p>
    <w:p>
      <w:pPr>
        <w:spacing w:before="156" w:beforeLines="50" w:after="156" w:afterLines="50" w:line="400" w:lineRule="exact"/>
        <w:ind w:firstLine="480" w:firstLineChars="200"/>
        <w:rPr>
          <w:rFonts w:ascii="宋体"/>
          <w:sz w:val="24"/>
        </w:rPr>
      </w:pPr>
      <w:r>
        <w:rPr>
          <w:rFonts w:hint="eastAsia" w:ascii="宋体"/>
          <w:sz w:val="24"/>
        </w:rPr>
        <w:t>（一）参加招标采购活动前3年内与投标人存在劳动关系；</w:t>
      </w:r>
    </w:p>
    <w:p>
      <w:pPr>
        <w:spacing w:before="156" w:beforeLines="50" w:after="156" w:afterLines="50" w:line="400" w:lineRule="exact"/>
        <w:ind w:firstLine="480" w:firstLineChars="200"/>
        <w:rPr>
          <w:rFonts w:ascii="宋体"/>
          <w:sz w:val="24"/>
        </w:rPr>
      </w:pPr>
      <w:r>
        <w:rPr>
          <w:rFonts w:hint="eastAsia" w:ascii="宋体"/>
          <w:sz w:val="24"/>
        </w:rPr>
        <w:t>（二）参加招标采购活动前3年内担任投标人的董事、监事；</w:t>
      </w:r>
    </w:p>
    <w:p>
      <w:pPr>
        <w:spacing w:before="156" w:beforeLines="50" w:after="156" w:afterLines="50" w:line="400" w:lineRule="exact"/>
        <w:ind w:firstLine="480" w:firstLineChars="200"/>
        <w:rPr>
          <w:rFonts w:ascii="宋体"/>
          <w:sz w:val="24"/>
        </w:rPr>
      </w:pPr>
      <w:r>
        <w:rPr>
          <w:rFonts w:hint="eastAsia" w:ascii="宋体"/>
          <w:sz w:val="24"/>
        </w:rPr>
        <w:t>（三）参加招标采购活动前3年内是投标人的控股股东或者实际控制人；</w:t>
      </w:r>
    </w:p>
    <w:p>
      <w:pPr>
        <w:spacing w:before="156" w:beforeLines="50" w:after="156" w:afterLines="50" w:line="400" w:lineRule="exact"/>
        <w:ind w:firstLine="480" w:firstLineChars="200"/>
        <w:rPr>
          <w:rFonts w:ascii="宋体"/>
          <w:sz w:val="24"/>
        </w:rPr>
      </w:pPr>
      <w:r>
        <w:rPr>
          <w:rFonts w:hint="eastAsia" w:ascii="宋体"/>
          <w:sz w:val="24"/>
        </w:rPr>
        <w:t>（四）与投标人的法定代表人或者负责人有夫妻、直系血亲、三代以内旁系血亲或者近姻亲关系；</w:t>
      </w:r>
    </w:p>
    <w:p>
      <w:pPr>
        <w:spacing w:before="156" w:beforeLines="50" w:after="156" w:afterLines="50" w:line="400" w:lineRule="exact"/>
        <w:ind w:firstLine="480" w:firstLineChars="200"/>
        <w:rPr>
          <w:rFonts w:ascii="宋体"/>
          <w:sz w:val="24"/>
        </w:rPr>
      </w:pPr>
      <w:r>
        <w:rPr>
          <w:rFonts w:hint="eastAsia" w:ascii="宋体"/>
          <w:sz w:val="24"/>
        </w:rPr>
        <w:t>（五）与投标人有其他可能影响本次招标采购活动公平、公正进行的关系。</w:t>
      </w:r>
    </w:p>
    <w:p>
      <w:pPr>
        <w:spacing w:before="156" w:beforeLines="50" w:after="156" w:afterLines="50" w:line="400" w:lineRule="exact"/>
        <w:ind w:firstLine="480" w:firstLineChars="200"/>
        <w:rPr>
          <w:rFonts w:ascii="宋体"/>
          <w:sz w:val="24"/>
        </w:rPr>
      </w:pPr>
      <w:r>
        <w:rPr>
          <w:rFonts w:hint="eastAsia" w:ascii="宋体"/>
          <w:sz w:val="24"/>
        </w:rPr>
        <w:t>注：投标人认为招标人员及相关人员与其他投标人有利害关系的，可以向招标人或者招标代理机构书面提出回避申请，并说明理由。招标人或者招标代理机构将及时询问被申请回避人员，有利害关系的被申请回避人员应当回避。</w:t>
      </w:r>
    </w:p>
    <w:p/>
    <w:p>
      <w:pPr>
        <w:pStyle w:val="2"/>
        <w:spacing w:line="240" w:lineRule="atLeast"/>
        <w:jc w:val="center"/>
        <w:rPr>
          <w:rFonts w:ascii="华文中宋" w:hAnsi="华文中宋" w:eastAsia="华文中宋"/>
          <w:color w:val="FF0000"/>
          <w:sz w:val="36"/>
          <w:szCs w:val="36"/>
        </w:rPr>
      </w:pPr>
      <w:r>
        <w:rPr>
          <w:rFonts w:hint="eastAsia"/>
          <w:sz w:val="36"/>
          <w:szCs w:val="36"/>
        </w:rPr>
        <w:br w:type="page"/>
      </w:r>
      <w:bookmarkStart w:id="198" w:name="_Toc513065353"/>
      <w:r>
        <w:rPr>
          <w:rFonts w:hint="eastAsia" w:ascii="华文中宋" w:hAnsi="华文中宋" w:eastAsia="华文中宋"/>
          <w:color w:val="000000" w:themeColor="text1"/>
          <w:sz w:val="36"/>
          <w:szCs w:val="36"/>
          <w14:textFill>
            <w14:solidFill>
              <w14:schemeClr w14:val="tx1"/>
            </w14:solidFill>
          </w14:textFill>
        </w:rPr>
        <w:t>第八章  采购合同</w:t>
      </w:r>
      <w:bookmarkEnd w:id="186"/>
      <w:bookmarkEnd w:id="198"/>
      <w:r>
        <w:rPr>
          <w:rFonts w:hint="eastAsia" w:ascii="华文中宋" w:hAnsi="华文中宋" w:eastAsia="华文中宋"/>
          <w:color w:val="000000" w:themeColor="text1"/>
          <w:sz w:val="36"/>
          <w:szCs w:val="36"/>
          <w14:textFill>
            <w14:solidFill>
              <w14:schemeClr w14:val="tx1"/>
            </w14:solidFill>
          </w14:textFill>
        </w:rPr>
        <w:t>（供参考）</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合同编号：</w:t>
      </w:r>
      <w:r>
        <w:rPr>
          <w:rFonts w:hint="eastAsia"/>
          <w:color w:val="000000" w:themeColor="text1"/>
          <w:szCs w:val="21"/>
          <w14:textFill>
            <w14:solidFill>
              <w14:schemeClr w14:val="tx1"/>
            </w14:solidFill>
          </w14:textFill>
        </w:rPr>
        <w:t>XXXX。</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签订地点：</w:t>
      </w:r>
      <w:r>
        <w:rPr>
          <w:rFonts w:hint="eastAsia"/>
          <w:color w:val="000000" w:themeColor="text1"/>
          <w:szCs w:val="21"/>
          <w14:textFill>
            <w14:solidFill>
              <w14:schemeClr w14:val="tx1"/>
            </w14:solidFill>
          </w14:textFill>
        </w:rPr>
        <w:t>XXXX。</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签订时间：</w:t>
      </w:r>
      <w:r>
        <w:rPr>
          <w:rFonts w:hint="eastAsia"/>
          <w:color w:val="000000" w:themeColor="text1"/>
          <w:szCs w:val="21"/>
          <w14:textFill>
            <w14:solidFill>
              <w14:schemeClr w14:val="tx1"/>
            </w14:solidFill>
          </w14:textFill>
        </w:rPr>
        <w:t>XXXX</w:t>
      </w:r>
      <w:r>
        <w:rPr>
          <w:rFonts w:hint="eastAsia" w:ascii="宋体"/>
          <w:color w:val="000000" w:themeColor="text1"/>
          <w:sz w:val="24"/>
          <w14:textFill>
            <w14:solidFill>
              <w14:schemeClr w14:val="tx1"/>
            </w14:solidFill>
          </w14:textFill>
        </w:rPr>
        <w:t>年</w:t>
      </w:r>
      <w:r>
        <w:rPr>
          <w:rFonts w:hint="eastAsia"/>
          <w:color w:val="000000" w:themeColor="text1"/>
          <w:szCs w:val="21"/>
          <w14:textFill>
            <w14:solidFill>
              <w14:schemeClr w14:val="tx1"/>
            </w14:solidFill>
          </w14:textFill>
        </w:rPr>
        <w:t>XX</w:t>
      </w:r>
      <w:r>
        <w:rPr>
          <w:rFonts w:hint="eastAsia" w:ascii="宋体"/>
          <w:color w:val="000000" w:themeColor="text1"/>
          <w:sz w:val="24"/>
          <w14:textFill>
            <w14:solidFill>
              <w14:schemeClr w14:val="tx1"/>
            </w14:solidFill>
          </w14:textFill>
        </w:rPr>
        <w:t>月</w:t>
      </w:r>
      <w:r>
        <w:rPr>
          <w:rFonts w:hint="eastAsia"/>
          <w:color w:val="000000" w:themeColor="text1"/>
          <w:szCs w:val="21"/>
          <w14:textFill>
            <w14:solidFill>
              <w14:schemeClr w14:val="tx1"/>
            </w14:solidFill>
          </w14:textFill>
        </w:rPr>
        <w:t>XX</w:t>
      </w:r>
      <w:r>
        <w:rPr>
          <w:rFonts w:hint="eastAsia" w:ascii="宋体"/>
          <w:color w:val="000000" w:themeColor="text1"/>
          <w:sz w:val="24"/>
          <w14:textFill>
            <w14:solidFill>
              <w14:schemeClr w14:val="tx1"/>
            </w14:solidFill>
          </w14:textFill>
        </w:rPr>
        <w:t>日。</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采购人（甲方）：</w:t>
      </w:r>
    </w:p>
    <w:p>
      <w:pPr>
        <w:spacing w:line="360" w:lineRule="auto"/>
        <w:ind w:firstLine="480" w:firstLineChars="200"/>
        <w:rPr>
          <w:rFonts w:asci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供应商（乙</w:t>
      </w:r>
      <w:r>
        <w:rPr>
          <w:color w:val="000000" w:themeColor="text1"/>
          <w:sz w:val="24"/>
          <w14:textFill>
            <w14:solidFill>
              <w14:schemeClr w14:val="tx1"/>
            </w14:solidFill>
          </w14:textFill>
        </w:rPr>
        <w:t>方</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根据《中华人民共和国合同法》及</w:t>
      </w:r>
      <w:r>
        <w:rPr>
          <w:rFonts w:hint="eastAsia"/>
          <w:color w:val="000000" w:themeColor="text1"/>
          <w:szCs w:val="21"/>
          <w14:textFill>
            <w14:solidFill>
              <w14:schemeClr w14:val="tx1"/>
            </w14:solidFill>
          </w14:textFill>
        </w:rPr>
        <w:t>XXXX</w:t>
      </w:r>
      <w:r>
        <w:rPr>
          <w:rFonts w:hint="eastAsia" w:ascii="宋体"/>
          <w:color w:val="000000" w:themeColor="text1"/>
          <w14:textFill>
            <w14:solidFill>
              <w14:schemeClr w14:val="tx1"/>
            </w14:solidFill>
          </w14:textFill>
        </w:rPr>
        <w:t>采购项目（项目编号：</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199" w:name="_Toc217446107"/>
      <w:r>
        <w:rPr>
          <w:rFonts w:hint="eastAsia" w:ascii="黑体"/>
          <w:color w:val="000000" w:themeColor="text1"/>
          <w:sz w:val="24"/>
          <w:szCs w:val="24"/>
          <w14:textFill>
            <w14:solidFill>
              <w14:schemeClr w14:val="tx1"/>
            </w14:solidFill>
          </w14:textFill>
        </w:rPr>
        <w:t>一、合同货物</w:t>
      </w:r>
      <w:bookmarkEnd w:id="199"/>
    </w:p>
    <w:tbl>
      <w:tblPr>
        <w:tblStyle w:val="39"/>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规格</w:t>
            </w:r>
          </w:p>
          <w:p>
            <w:pPr>
              <w:spacing w:line="400" w:lineRule="exact"/>
              <w:jc w:val="center"/>
              <w:rPr>
                <w:rFonts w:ascii="宋体"/>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宋体" w:cs="Arial"/>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单价</w:t>
            </w:r>
          </w:p>
          <w:p>
            <w:pPr>
              <w:spacing w:line="400" w:lineRule="exact"/>
              <w:jc w:val="center"/>
              <w:rPr>
                <w:rFonts w:ascii="宋体" w:cs="Arial"/>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cs="Arial"/>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总价</w:t>
            </w:r>
          </w:p>
          <w:p>
            <w:pPr>
              <w:spacing w:line="400" w:lineRule="exact"/>
              <w:rPr>
                <w:rFonts w:ascii="宋体"/>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随机</w:t>
            </w:r>
          </w:p>
          <w:p>
            <w:pPr>
              <w:spacing w:line="400" w:lineRule="exact"/>
              <w:jc w:val="center"/>
              <w:rPr>
                <w:rFonts w:ascii="宋体"/>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color w:val="000000" w:themeColor="text1"/>
                <w:sz w:val="24"/>
                <w14:textFill>
                  <w14:solidFill>
                    <w14:schemeClr w14:val="tx1"/>
                  </w14:solidFill>
                </w14:textFill>
              </w:rPr>
            </w:pPr>
            <w:r>
              <w:rPr>
                <w:rFonts w:hint="eastAsia" w:ascii="宋体" w:cs="Arial"/>
                <w:color w:val="000000" w:themeColor="text1"/>
                <w:sz w:val="24"/>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themeColor="text1"/>
                <w:sz w:val="24"/>
                <w14:textFill>
                  <w14:solidFill>
                    <w14:schemeClr w14:val="tx1"/>
                  </w14:solidFill>
                </w14:textFill>
              </w:rPr>
            </w:pPr>
          </w:p>
        </w:tc>
      </w:tr>
    </w:tbl>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200" w:name="_Toc217446108"/>
      <w:r>
        <w:rPr>
          <w:rFonts w:hint="eastAsia" w:ascii="黑体"/>
          <w:color w:val="000000" w:themeColor="text1"/>
          <w:sz w:val="24"/>
          <w:szCs w:val="24"/>
          <w14:textFill>
            <w14:solidFill>
              <w14:schemeClr w14:val="tx1"/>
            </w14:solidFill>
          </w14:textFill>
        </w:rPr>
        <w:t>二、合同总价</w:t>
      </w:r>
      <w:bookmarkEnd w:id="200"/>
    </w:p>
    <w:p>
      <w:pPr>
        <w:pStyle w:val="12"/>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201" w:name="_Toc217446109"/>
      <w:r>
        <w:rPr>
          <w:rFonts w:hint="eastAsia" w:ascii="黑体"/>
          <w:color w:val="000000" w:themeColor="text1"/>
          <w:sz w:val="24"/>
          <w:szCs w:val="24"/>
          <w14:textFill>
            <w14:solidFill>
              <w14:schemeClr w14:val="tx1"/>
            </w14:solidFill>
          </w14:textFill>
        </w:rPr>
        <w:t>三、质量要求</w:t>
      </w:r>
      <w:bookmarkEnd w:id="201"/>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1、乙方须提供全新的货物（含零部件、配件等），表面无划伤、无碰撞痕迹，且权属清楚，不得侵害他人的知识产权。</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2、货物必须符合或优于国家（行业）标准，以及本项目招标文件的质量要求和技术指标与出厂标准。</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4、货物制造质量出现问题，乙方应负责三包（包修、包换、包退），费用由乙方负担，甲方有权到乙方生产场地检查货物质量和生产进度。</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5、货到现场后由于甲方保管不当造成的质量问题，乙方亦应负责修理，但费用由甲方负担。</w:t>
      </w:r>
    </w:p>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202" w:name="_Toc217446110"/>
      <w:r>
        <w:rPr>
          <w:rFonts w:hint="eastAsia" w:ascii="黑体"/>
          <w:color w:val="000000" w:themeColor="text1"/>
          <w:sz w:val="24"/>
          <w:szCs w:val="24"/>
          <w14:textFill>
            <w14:solidFill>
              <w14:schemeClr w14:val="tx1"/>
            </w14:solidFill>
          </w14:textFill>
        </w:rPr>
        <w:t>四、交货及验收</w:t>
      </w:r>
      <w:bookmarkEnd w:id="202"/>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1、乙方交货期限为合同签订生效后的</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日内，在合同签订生效之日起</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天内交货到甲方指定地点，随即在</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日内全部完成安装调试验收合格交付使用，并且最迟应在</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年</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月</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日前全部完成安装调试验收合格交付使用(如由于采购人的原因造成合同延迟签订或验收的，时间顺延)。交货验收时须提供产品质检部门从同类产品中抽样检查合格的检测报告。</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2、验收由甲方组织，乙方配合进行：</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 货物在乙方通知安装调试完毕后日内初步验收。初步验收合格后，进入试用期；试用期间发生重大质量问题，修复后试用相应顺延；试用期结束后日内完成最终验收；</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 如质量验收合格，双方签署质量验收报告。</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3、货物安装完成后日内，甲方无故不进行验收工作并已使用货物的，视同已安装调试完成并验收合格。</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4、乙方应将所提供货物的装箱清单、配件、随机工具、用户使用手册、原厂保修卡等资料交付给甲方；乙方不能完整交付货物及本款规定的单证和工具的，必须负责补齐，否则视为未按合同约定交货。</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5、如货物经乙方次维修仍不能达到合同约定的质量标准，甲方有权退货，并视作乙方不能交付货物而须支付违约赔偿金给甲方，甲方还可依法追究乙方的违约责任。 </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6、其他未尽事宜应严格按照《四川省政府采购项目需求论证和履约验收管理办法》（川财采〔2015〕32号）的要求进行。</w:t>
      </w:r>
    </w:p>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203" w:name="_Toc217446111"/>
      <w:r>
        <w:rPr>
          <w:rFonts w:hint="eastAsia" w:ascii="黑体"/>
          <w:color w:val="000000" w:themeColor="text1"/>
          <w:sz w:val="24"/>
          <w:szCs w:val="24"/>
          <w14:textFill>
            <w14:solidFill>
              <w14:schemeClr w14:val="tx1"/>
            </w14:solidFill>
          </w14:textFill>
        </w:rPr>
        <w:t>五、付款方式</w:t>
      </w:r>
      <w:bookmarkEnd w:id="203"/>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（一）适用于无预付款采购项目</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1、全部货物安装调试完毕并验收合格之日起，甲方接到乙方通知与票据凭证资料以后的</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日内，按照财政性资金支付有关规定，向乙方支付合同价款￥元，人民币大写元整；</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履约保证金退还：在货物验收合格满后，甲方接到乙方通知和支付凭证资料文件，以及由甲方确认本合同货物质量与服务等约定事项已经履行完毕的正式书面文件后的日内，递交结算凭证资料给银行并由其向乙方支付价款￥元， 人民币大写：元整；乙方履约不合格的，履约保证金不予退还。</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3、乙方须向甲方出具合法有效完整的完税发票及凭证资料进行支付结算。</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（二）适用于有预付款采购项目</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1、甲方在本合同签订生效之日起接到乙方通知和票据凭证资料以及乙方交给甲方的合同履约保证金（按合同总价的百分之  计算款额￥元，人民币大写：元整）后的日内支付合同金额百分之的价款；</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履约保证金退还：在货物验收合格满后，甲方接到乙方通知和支付凭证资料文件，以及由甲方确认本合同货物质量与服务等约定事项已经履行完毕的正式书面文件后的日内，递交结算凭证资料给银行并由其向乙方支付价款￥元， 人民币大写：元整；乙方履约不合格的，履约保证金不予退还。</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4、乙方须向甲方出具合法有效完整的完税发票及凭证资料进行支付结算。</w:t>
      </w:r>
    </w:p>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204" w:name="_Toc217446112"/>
      <w:r>
        <w:rPr>
          <w:rFonts w:hint="eastAsia" w:ascii="黑体"/>
          <w:color w:val="000000" w:themeColor="text1"/>
          <w:sz w:val="24"/>
          <w:szCs w:val="24"/>
          <w14:textFill>
            <w14:solidFill>
              <w14:schemeClr w14:val="tx1"/>
            </w14:solidFill>
          </w14:textFill>
        </w:rPr>
        <w:t>六、售后服务</w:t>
      </w:r>
      <w:bookmarkEnd w:id="204"/>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1、质保期为验收合格后</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2、乙方须指派专人负责与甲方联系售后服务事宜。 </w:t>
      </w:r>
    </w:p>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205" w:name="_Toc217446113"/>
      <w:r>
        <w:rPr>
          <w:rFonts w:hint="eastAsia" w:ascii="黑体"/>
          <w:color w:val="000000" w:themeColor="text1"/>
          <w:sz w:val="24"/>
          <w:szCs w:val="24"/>
          <w14:textFill>
            <w14:solidFill>
              <w14:schemeClr w14:val="tx1"/>
            </w14:solidFill>
          </w14:textFill>
        </w:rPr>
        <w:t>七、违约责任</w:t>
      </w:r>
      <w:bookmarkEnd w:id="205"/>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1、甲方违约责任</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 甲方无正当理由拒收货物的，甲方应偿付合同总价百分之  的违约金；</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 甲方逾期支付货款的，除应及时付足货款外，应向乙方偿付欠款总额万分之</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/天的违约金；逾期付款超过</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天的，乙方有权终止合同；</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 甲方逾期退还履约保证金的，应向乙方偿付逾期款项额度的万分之</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/天的违约金；逾期支付超过</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天的，乙方有权终止合同；</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 甲方偿付的违约金不足以弥补乙方损失的，还应按乙方损失尚未弥补的部分，支付赔偿金给乙方。</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2、乙方违约责任</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（2）乙方不能交付货物或逾期交付货物而违约的，除应及时交足货物外，应向甲方偿付逾期交货部分货款总额的万分之/天的违约金；逾期交货超过</w:t>
      </w:r>
      <w:r>
        <w:rPr>
          <w:rFonts w:hint="eastAsia"/>
          <w:color w:val="000000" w:themeColor="text1"/>
          <w:szCs w:val="21"/>
          <w14:textFill>
            <w14:solidFill>
              <w14:schemeClr w14:val="tx1"/>
            </w14:solidFill>
          </w14:textFill>
        </w:rPr>
        <w:t>XX</w:t>
      </w:r>
      <w:r>
        <w:rPr>
          <w:rFonts w:hint="eastAsia" w:ascii="宋体"/>
          <w:color w:val="000000" w:themeColor="text1"/>
          <w14:textFill>
            <w14:solidFill>
              <w14:schemeClr w14:val="tx1"/>
            </w14:solidFill>
          </w14:textFill>
        </w:rPr>
        <w:t>天，甲方有权终止合同，乙方则应按合同总价的百分之的款额向甲方偿付赔偿金，并须全额退还甲方已经付给乙方的货款及其利息。</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（5）乙方偿付的违约金不足以弥补甲方损失的，还应按甲方损失尚未弥补的部分，支付赔偿金给甲方。</w:t>
      </w:r>
    </w:p>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206" w:name="_Toc217446114"/>
      <w:r>
        <w:rPr>
          <w:rFonts w:hint="eastAsia" w:ascii="黑体"/>
          <w:color w:val="000000" w:themeColor="text1"/>
          <w:sz w:val="24"/>
          <w:szCs w:val="24"/>
          <w14:textFill>
            <w14:solidFill>
              <w14:schemeClr w14:val="tx1"/>
            </w14:solidFill>
          </w14:textFill>
        </w:rPr>
        <w:t>八、争议解决办法</w:t>
      </w:r>
      <w:bookmarkEnd w:id="206"/>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2、合同履行期间,若双方发生争议，可协商或由有关部门调解解决，协商或调解不成的，由当事人依法维护其合法权益。</w:t>
      </w:r>
    </w:p>
    <w:p>
      <w:pPr>
        <w:pStyle w:val="3"/>
        <w:spacing w:line="400" w:lineRule="exact"/>
        <w:ind w:firstLine="482" w:firstLineChars="200"/>
        <w:rPr>
          <w:rFonts w:ascii="黑体"/>
          <w:color w:val="000000" w:themeColor="text1"/>
          <w:sz w:val="24"/>
          <w:szCs w:val="24"/>
          <w14:textFill>
            <w14:solidFill>
              <w14:schemeClr w14:val="tx1"/>
            </w14:solidFill>
          </w14:textFill>
        </w:rPr>
      </w:pPr>
      <w:bookmarkStart w:id="207" w:name="_Toc217446115"/>
      <w:r>
        <w:rPr>
          <w:rFonts w:hint="eastAsia" w:ascii="黑体"/>
          <w:color w:val="000000" w:themeColor="text1"/>
          <w:sz w:val="24"/>
          <w:szCs w:val="24"/>
          <w14:textFill>
            <w14:solidFill>
              <w14:schemeClr w14:val="tx1"/>
            </w14:solidFill>
          </w14:textFill>
        </w:rPr>
        <w:t>九、其他</w:t>
      </w:r>
      <w:bookmarkEnd w:id="207"/>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1、如有未尽事宜，由双方依法订立补充合同。</w:t>
      </w:r>
    </w:p>
    <w:p>
      <w:pPr>
        <w:pStyle w:val="68"/>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2、本合同一式六份，自双方签章之日起生效。甲方三份，乙方、政府采购管理部门、采购代理机构各一份。</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甲方：   （盖章）   </w:t>
      </w:r>
      <w:r>
        <w:rPr>
          <w:rFonts w:hint="eastAsia" w:ascii="宋体"/>
          <w:color w:val="000000" w:themeColor="text1"/>
          <w:sz w:val="24"/>
          <w14:textFill>
            <w14:solidFill>
              <w14:schemeClr w14:val="tx1"/>
            </w14:solidFill>
          </w14:textFill>
        </w:rPr>
        <w:tab/>
      </w:r>
      <w:r>
        <w:rPr>
          <w:rFonts w:hint="eastAsia" w:ascii="宋体"/>
          <w:color w:val="000000" w:themeColor="text1"/>
          <w:sz w:val="24"/>
          <w14:textFill>
            <w14:solidFill>
              <w14:schemeClr w14:val="tx1"/>
            </w14:solidFill>
          </w14:textFill>
        </w:rPr>
        <w:tab/>
      </w:r>
      <w:r>
        <w:rPr>
          <w:rFonts w:hint="eastAsia" w:ascii="宋体"/>
          <w:color w:val="000000" w:themeColor="text1"/>
          <w:sz w:val="24"/>
          <w14:textFill>
            <w14:solidFill>
              <w14:schemeClr w14:val="tx1"/>
            </w14:solidFill>
          </w14:textFill>
        </w:rPr>
        <w:tab/>
      </w:r>
      <w:r>
        <w:rPr>
          <w:rFonts w:hint="eastAsia" w:ascii="宋体"/>
          <w:color w:val="000000" w:themeColor="text1"/>
          <w:sz w:val="24"/>
          <w14:textFill>
            <w14:solidFill>
              <w14:schemeClr w14:val="tx1"/>
            </w14:solidFill>
          </w14:textFill>
        </w:rPr>
        <w:t xml:space="preserve">       乙方：   （盖章）</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法定代表人/单位负责人（授权代表）：法定代表人/单位负责人（授权代表）：</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地    址：                         地    址：</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开户银行：                         开户银行：</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账号：                             账号：</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    话：                         电    话：</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    真：                         传    真：</w:t>
      </w:r>
    </w:p>
    <w:p>
      <w:pPr>
        <w:spacing w:line="400" w:lineRule="exact"/>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签约日期：</w:t>
      </w:r>
      <w:r>
        <w:rPr>
          <w:rFonts w:hint="eastAsia"/>
          <w:color w:val="000000" w:themeColor="text1"/>
          <w:szCs w:val="21"/>
          <w14:textFill>
            <w14:solidFill>
              <w14:schemeClr w14:val="tx1"/>
            </w14:solidFill>
          </w14:textFill>
        </w:rPr>
        <w:t>XX</w:t>
      </w:r>
      <w:r>
        <w:rPr>
          <w:rFonts w:hint="eastAsia"/>
          <w:color w:val="000000" w:themeColor="text1"/>
          <w14:textFill>
            <w14:solidFill>
              <w14:schemeClr w14:val="tx1"/>
            </w14:solidFill>
          </w14:textFill>
        </w:rPr>
        <w:t>年</w:t>
      </w:r>
      <w:r>
        <w:rPr>
          <w:rFonts w:hint="eastAsia"/>
          <w:color w:val="000000" w:themeColor="text1"/>
          <w:szCs w:val="21"/>
          <w14:textFill>
            <w14:solidFill>
              <w14:schemeClr w14:val="tx1"/>
            </w14:solidFill>
          </w14:textFill>
        </w:rPr>
        <w:t>XX</w:t>
      </w:r>
      <w:r>
        <w:rPr>
          <w:rFonts w:hint="eastAsia"/>
          <w:color w:val="000000" w:themeColor="text1"/>
          <w14:textFill>
            <w14:solidFill>
              <w14:schemeClr w14:val="tx1"/>
            </w14:solidFill>
          </w14:textFill>
        </w:rPr>
        <w:t>月</w:t>
      </w:r>
      <w:r>
        <w:rPr>
          <w:rFonts w:hint="eastAsia"/>
          <w:color w:val="000000" w:themeColor="text1"/>
          <w:szCs w:val="21"/>
          <w14:textFill>
            <w14:solidFill>
              <w14:schemeClr w14:val="tx1"/>
            </w14:solidFill>
          </w14:textFill>
        </w:rPr>
        <w:t>XX</w:t>
      </w:r>
      <w:r>
        <w:rPr>
          <w:rFonts w:hint="eastAsia"/>
          <w:color w:val="000000" w:themeColor="text1"/>
          <w14:textFill>
            <w14:solidFill>
              <w14:schemeClr w14:val="tx1"/>
            </w14:solidFill>
          </w14:textFill>
        </w:rPr>
        <w:t xml:space="preserve">日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签约日期：</w:t>
      </w:r>
      <w:r>
        <w:rPr>
          <w:rFonts w:hint="eastAsia"/>
          <w:color w:val="000000" w:themeColor="text1"/>
          <w:szCs w:val="21"/>
          <w14:textFill>
            <w14:solidFill>
              <w14:schemeClr w14:val="tx1"/>
            </w14:solidFill>
          </w14:textFill>
        </w:rPr>
        <w:t>XX</w:t>
      </w:r>
      <w:r>
        <w:rPr>
          <w:rFonts w:hint="eastAsia"/>
          <w:color w:val="000000" w:themeColor="text1"/>
          <w14:textFill>
            <w14:solidFill>
              <w14:schemeClr w14:val="tx1"/>
            </w14:solidFill>
          </w14:textFill>
        </w:rPr>
        <w:t>年</w:t>
      </w:r>
      <w:r>
        <w:rPr>
          <w:rFonts w:hint="eastAsia"/>
          <w:color w:val="000000" w:themeColor="text1"/>
          <w:szCs w:val="21"/>
          <w14:textFill>
            <w14:solidFill>
              <w14:schemeClr w14:val="tx1"/>
            </w14:solidFill>
          </w14:textFill>
        </w:rPr>
        <w:t>XX</w:t>
      </w:r>
      <w:r>
        <w:rPr>
          <w:rFonts w:hint="eastAsia"/>
          <w:color w:val="000000" w:themeColor="text1"/>
          <w14:textFill>
            <w14:solidFill>
              <w14:schemeClr w14:val="tx1"/>
            </w14:solidFill>
          </w14:textFill>
        </w:rPr>
        <w:t>月</w:t>
      </w:r>
      <w:r>
        <w:rPr>
          <w:rFonts w:hint="eastAsia"/>
          <w:color w:val="000000" w:themeColor="text1"/>
          <w:szCs w:val="21"/>
          <w14:textFill>
            <w14:solidFill>
              <w14:schemeClr w14:val="tx1"/>
            </w14:solidFill>
          </w14:textFill>
        </w:rPr>
        <w:t>XX日</w:t>
      </w:r>
    </w:p>
    <w:p>
      <w:pPr>
        <w:spacing w:before="156" w:beforeLines="50" w:after="156" w:afterLines="50"/>
        <w:rPr>
          <w:rFonts w:hAnsi="宋体"/>
          <w:b/>
          <w:sz w:val="24"/>
          <w:szCs w:val="28"/>
        </w:rPr>
      </w:pPr>
      <w:r>
        <w:rPr>
          <w:rFonts w:hint="eastAsia" w:hAnsi="宋体"/>
          <w:b/>
          <w:sz w:val="24"/>
          <w:szCs w:val="28"/>
        </w:rPr>
        <w:t>附件一：有关投标保证金收退的温馨提示</w:t>
      </w:r>
    </w:p>
    <w:p>
      <w:pPr>
        <w:spacing w:before="156" w:beforeLines="50" w:after="156" w:afterLines="50" w:line="400" w:lineRule="exact"/>
        <w:rPr>
          <w:rFonts w:asciiTheme="minorEastAsia" w:hAnsiTheme="minorEastAsia" w:eastAsiaTheme="minorEastAsia"/>
          <w:sz w:val="24"/>
        </w:rPr>
      </w:pPr>
      <w:r>
        <w:rPr>
          <w:rFonts w:hint="eastAsia" w:asciiTheme="minorEastAsia" w:hAnsiTheme="minorEastAsia" w:eastAsiaTheme="minorEastAsia"/>
          <w:sz w:val="24"/>
        </w:rPr>
        <w:t>1.投标保证金应当以支票、汇票、本票或者金融机构出具的保函等非现金形式提交。投标人未按照招标文件要求提交投标保证金的，投标无效。保证金提交以到账时间为准。请各已报名的潜在投标人在规定时间内缴纳投标保证金，避免因银行退票等，出现保证金未按时到账等情况影响您的正常投标。保证金</w:t>
      </w:r>
      <w:r>
        <w:rPr>
          <w:rFonts w:asciiTheme="minorEastAsia" w:hAnsiTheme="minorEastAsia" w:eastAsiaTheme="minorEastAsia"/>
          <w:sz w:val="24"/>
        </w:rPr>
        <w:t>到账查询</w:t>
      </w:r>
      <w:r>
        <w:rPr>
          <w:rFonts w:hint="eastAsia" w:asciiTheme="minorEastAsia" w:hAnsiTheme="minorEastAsia" w:eastAsiaTheme="minorEastAsia"/>
          <w:sz w:val="24"/>
        </w:rPr>
        <w:t>电话</w:t>
      </w:r>
      <w:r>
        <w:rPr>
          <w:rFonts w:asciiTheme="minorEastAsia" w:hAnsiTheme="minorEastAsia" w:eastAsiaTheme="minorEastAsia"/>
          <w:sz w:val="24"/>
        </w:rPr>
        <w:t>：</w:t>
      </w:r>
      <w:r>
        <w:rPr>
          <w:rFonts w:hint="eastAsia" w:asciiTheme="minorEastAsia" w:hAnsiTheme="minorEastAsia" w:eastAsiaTheme="minorEastAsia"/>
          <w:sz w:val="24"/>
        </w:rPr>
        <w:t>028</w:t>
      </w:r>
      <w:r>
        <w:rPr>
          <w:rFonts w:asciiTheme="minorEastAsia" w:hAnsiTheme="minorEastAsia" w:eastAsiaTheme="minorEastAsia"/>
          <w:sz w:val="24"/>
        </w:rPr>
        <w:t>-87797107-893</w:t>
      </w:r>
    </w:p>
    <w:p>
      <w:pPr>
        <w:spacing w:before="156" w:beforeLines="50" w:after="156" w:afterLines="50" w:line="400" w:lineRule="exact"/>
        <w:rPr>
          <w:rFonts w:asciiTheme="minorEastAsia" w:hAnsiTheme="minorEastAsia" w:eastAsiaTheme="minorEastAsia"/>
          <w:sz w:val="24"/>
          <w:szCs w:val="28"/>
          <w:u w:val="single"/>
        </w:rPr>
      </w:pPr>
      <w:r>
        <w:rPr>
          <w:rFonts w:hint="eastAsia" w:asciiTheme="minorEastAsia" w:hAnsiTheme="minorEastAsia" w:eastAsiaTheme="minorEastAsia"/>
          <w:sz w:val="24"/>
          <w:szCs w:val="28"/>
        </w:rPr>
        <w:t>2.开标后，中标结果公告发布网站为：《中国招标投标公共服务平台》</w:t>
      </w:r>
    </w:p>
    <w:p>
      <w:pPr>
        <w:spacing w:before="156" w:beforeLines="50" w:after="156" w:afterLines="50" w:line="400" w:lineRule="exact"/>
        <w:rPr>
          <w:rFonts w:asciiTheme="minorEastAsia" w:hAnsiTheme="minorEastAsia" w:eastAsiaTheme="minorEastAsia"/>
          <w:sz w:val="24"/>
        </w:rPr>
      </w:pPr>
      <w:r>
        <w:rPr>
          <w:rFonts w:hint="eastAsia" w:asciiTheme="minorEastAsia" w:hAnsiTheme="minorEastAsia" w:eastAsiaTheme="minorEastAsia"/>
          <w:sz w:val="24"/>
        </w:rPr>
        <w:t>3.我司工作人员将在法定时间内通知中标人领取中标通知书。中标人请在确认中标服务费已到账后（财务部查询电话：028-87797107-8</w:t>
      </w:r>
      <w:r>
        <w:rPr>
          <w:rFonts w:asciiTheme="minorEastAsia" w:hAnsiTheme="minorEastAsia" w:eastAsiaTheme="minorEastAsia"/>
          <w:sz w:val="24"/>
        </w:rPr>
        <w:t>86</w:t>
      </w:r>
      <w:r>
        <w:rPr>
          <w:rFonts w:hint="eastAsia" w:asciiTheme="minorEastAsia" w:hAnsiTheme="minorEastAsia" w:eastAsiaTheme="minorEastAsia"/>
          <w:sz w:val="24"/>
        </w:rPr>
        <w:t>），携带单位介绍信原件及领取人身份证复印件（原件备查）前往我司办理领取手续。</w:t>
      </w:r>
    </w:p>
    <w:p>
      <w:pPr>
        <w:spacing w:before="156" w:beforeLines="50" w:after="156" w:afterLines="50" w:line="400" w:lineRule="exact"/>
        <w:rPr>
          <w:rFonts w:asciiTheme="minorEastAsia" w:hAnsiTheme="minorEastAsia" w:eastAsiaTheme="minorEastAsia"/>
          <w:sz w:val="24"/>
        </w:rPr>
      </w:pPr>
      <w:r>
        <w:rPr>
          <w:rFonts w:hint="eastAsia" w:asciiTheme="minorEastAsia" w:hAnsiTheme="minorEastAsia" w:eastAsiaTheme="minorEastAsia"/>
          <w:sz w:val="24"/>
        </w:rPr>
        <w:t>4.保证金退还程序：</w:t>
      </w:r>
    </w:p>
    <w:p>
      <w:pPr>
        <w:spacing w:line="360" w:lineRule="auto"/>
        <w:rPr>
          <w:rFonts w:hAnsi="宋体"/>
          <w:sz w:val="24"/>
        </w:rPr>
        <w:sectPr>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sz w:val="24"/>
        </w:rPr>
        <w:t>中标人需</w:t>
      </w:r>
      <w:r>
        <w:rPr>
          <w:rFonts w:asciiTheme="minorEastAsia" w:hAnsiTheme="minorEastAsia" w:eastAsiaTheme="minorEastAsia"/>
          <w:sz w:val="24"/>
        </w:rPr>
        <w:t>在</w:t>
      </w:r>
      <w:r>
        <w:rPr>
          <w:rFonts w:hint="eastAsia" w:asciiTheme="minorEastAsia" w:hAnsiTheme="minorEastAsia" w:eastAsiaTheme="minorEastAsia"/>
          <w:sz w:val="24"/>
        </w:rPr>
        <w:t>我</w:t>
      </w:r>
      <w:r>
        <w:rPr>
          <w:rFonts w:asciiTheme="minorEastAsia" w:hAnsiTheme="minorEastAsia" w:eastAsiaTheme="minorEastAsia"/>
          <w:sz w:val="24"/>
        </w:rPr>
        <w:t>司指定网</w:t>
      </w:r>
      <w:r>
        <w:rPr>
          <w:rFonts w:hint="eastAsia" w:asciiTheme="minorEastAsia" w:hAnsiTheme="minorEastAsia" w:eastAsiaTheme="minorEastAsia"/>
          <w:sz w:val="24"/>
        </w:rPr>
        <w:t>站</w:t>
      </w:r>
      <w:r>
        <w:rPr>
          <w:rFonts w:asciiTheme="minorEastAsia" w:hAnsiTheme="minorEastAsia" w:eastAsiaTheme="minorEastAsia"/>
          <w:sz w:val="24"/>
        </w:rPr>
        <w:t>（http://sale.scbid.net）</w:t>
      </w:r>
      <w:r>
        <w:rPr>
          <w:rFonts w:hint="eastAsia" w:asciiTheme="minorEastAsia" w:hAnsiTheme="minorEastAsia" w:eastAsiaTheme="minorEastAsia"/>
          <w:sz w:val="24"/>
        </w:rPr>
        <w:t>上传有效</w:t>
      </w:r>
      <w:r>
        <w:rPr>
          <w:rFonts w:asciiTheme="minorEastAsia" w:hAnsiTheme="minorEastAsia" w:eastAsiaTheme="minorEastAsia"/>
          <w:sz w:val="24"/>
        </w:rPr>
        <w:t>的</w:t>
      </w:r>
      <w:r>
        <w:rPr>
          <w:rFonts w:hint="eastAsia" w:asciiTheme="minorEastAsia" w:hAnsiTheme="minorEastAsia" w:eastAsiaTheme="minorEastAsia"/>
          <w:sz w:val="24"/>
        </w:rPr>
        <w:t>采购合同壹份（注意</w:t>
      </w:r>
      <w:r>
        <w:rPr>
          <w:rFonts w:asciiTheme="minorEastAsia" w:hAnsiTheme="minorEastAsia" w:eastAsiaTheme="minorEastAsia"/>
          <w:sz w:val="24"/>
        </w:rPr>
        <w:t>：</w:t>
      </w:r>
      <w:r>
        <w:rPr>
          <w:rFonts w:asciiTheme="minorEastAsia" w:hAnsiTheme="minorEastAsia" w:eastAsiaTheme="minorEastAsia"/>
          <w:sz w:val="24"/>
        </w:rPr>
        <w:fldChar w:fldCharType="begin"/>
      </w:r>
      <w:r>
        <w:rPr>
          <w:rFonts w:hint="eastAsia" w:asciiTheme="minorEastAsia" w:hAnsiTheme="minorEastAsia" w:eastAsiaTheme="minorEastAsia"/>
          <w:sz w:val="24"/>
        </w:rPr>
        <w:instrText xml:space="preserve">= 1 \* GB3</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①</w:t>
      </w:r>
      <w:r>
        <w:rPr>
          <w:rFonts w:asciiTheme="minorEastAsia" w:hAnsiTheme="minorEastAsia" w:eastAsiaTheme="minorEastAsia"/>
          <w:sz w:val="24"/>
        </w:rPr>
        <w:fldChar w:fldCharType="end"/>
      </w:r>
      <w:r>
        <w:rPr>
          <w:rFonts w:asciiTheme="minorEastAsia" w:hAnsiTheme="minorEastAsia" w:eastAsiaTheme="minorEastAsia"/>
          <w:sz w:val="24"/>
        </w:rPr>
        <w:t>注册登录</w:t>
      </w:r>
      <w:r>
        <w:rPr>
          <w:rFonts w:hint="eastAsia" w:asciiTheme="minorEastAsia" w:hAnsiTheme="minorEastAsia" w:eastAsiaTheme="minorEastAsia"/>
          <w:sz w:val="24"/>
        </w:rPr>
        <w:t>后在采购</w:t>
      </w:r>
      <w:r>
        <w:rPr>
          <w:rFonts w:asciiTheme="minorEastAsia" w:hAnsiTheme="minorEastAsia" w:eastAsiaTheme="minorEastAsia"/>
          <w:sz w:val="24"/>
        </w:rPr>
        <w:t>合同上传界面操作</w:t>
      </w:r>
      <w:r>
        <w:rPr>
          <w:rFonts w:asciiTheme="minorEastAsia" w:hAnsiTheme="minorEastAsia" w:eastAsiaTheme="minorEastAsia"/>
          <w:sz w:val="24"/>
        </w:rPr>
        <w:fldChar w:fldCharType="begin"/>
      </w:r>
      <w:r>
        <w:rPr>
          <w:rFonts w:hint="eastAsia" w:asciiTheme="minorEastAsia" w:hAnsiTheme="minorEastAsia" w:eastAsiaTheme="minorEastAsia"/>
          <w:sz w:val="24"/>
        </w:rPr>
        <w:instrText xml:space="preserve">= 2 \* GB3</w:instrText>
      </w:r>
      <w:r>
        <w:rPr>
          <w:rFonts w:asciiTheme="minorEastAsia" w:hAnsiTheme="minorEastAsia" w:eastAsiaTheme="minorEastAsia"/>
          <w:sz w:val="24"/>
        </w:rPr>
        <w:fldChar w:fldCharType="separate"/>
      </w:r>
      <w:r>
        <w:rPr>
          <w:rFonts w:hint="eastAsia" w:asciiTheme="minorEastAsia" w:hAnsiTheme="minorEastAsia" w:eastAsiaTheme="minorEastAsia"/>
          <w:sz w:val="24"/>
        </w:rPr>
        <w:t>②</w:t>
      </w:r>
      <w:r>
        <w:rPr>
          <w:rFonts w:asciiTheme="minorEastAsia" w:hAnsiTheme="minorEastAsia" w:eastAsiaTheme="minorEastAsia"/>
          <w:sz w:val="24"/>
        </w:rPr>
        <w:fldChar w:fldCharType="end"/>
      </w:r>
      <w:r>
        <w:rPr>
          <w:rFonts w:hint="eastAsia" w:asciiTheme="minorEastAsia" w:hAnsiTheme="minorEastAsia" w:eastAsiaTheme="minorEastAsia"/>
          <w:sz w:val="24"/>
        </w:rPr>
        <w:t>合同</w:t>
      </w:r>
      <w:r>
        <w:rPr>
          <w:rFonts w:asciiTheme="minorEastAsia" w:hAnsiTheme="minorEastAsia" w:eastAsiaTheme="minorEastAsia"/>
          <w:sz w:val="24"/>
        </w:rPr>
        <w:t>上传咨询电话：</w:t>
      </w:r>
      <w:r>
        <w:rPr>
          <w:rFonts w:hint="eastAsia" w:asciiTheme="minorEastAsia" w:hAnsiTheme="minorEastAsia" w:eastAsiaTheme="minorEastAsia"/>
          <w:sz w:val="24"/>
        </w:rPr>
        <w:t>028-83166773转734）。我司将在收到中标人上传的采购合同后及时为您办理保证金退还手续。若上传合同后5日内仍未收到投标保证金的，可拨打财务电话（028-87797107转871）查询。</w:t>
      </w:r>
    </w:p>
    <w:p>
      <w:pPr>
        <w:widowControl/>
        <w:jc w:val="left"/>
        <w:rPr>
          <w:rFonts w:ascii="仿宋" w:hAnsi="仿宋" w:eastAsia="仿宋"/>
          <w:b/>
          <w:sz w:val="28"/>
          <w:szCs w:val="28"/>
        </w:rPr>
      </w:pPr>
      <w:r>
        <w:rPr>
          <w:rFonts w:hint="eastAsia" w:ascii="仿宋" w:hAnsi="仿宋" w:eastAsia="仿宋"/>
          <w:b/>
          <w:sz w:val="28"/>
          <w:szCs w:val="28"/>
        </w:rPr>
        <w:t>附件二：递交投标文件签收表</w:t>
      </w:r>
    </w:p>
    <w:tbl>
      <w:tblPr>
        <w:tblStyle w:val="39"/>
        <w:tblW w:w="14314" w:type="dxa"/>
        <w:tblInd w:w="0" w:type="dxa"/>
        <w:tblLayout w:type="fixed"/>
        <w:tblCellMar>
          <w:top w:w="15" w:type="dxa"/>
          <w:left w:w="15" w:type="dxa"/>
          <w:bottom w:w="15" w:type="dxa"/>
          <w:right w:w="15" w:type="dxa"/>
        </w:tblCellMar>
      </w:tblPr>
      <w:tblGrid>
        <w:gridCol w:w="1276"/>
        <w:gridCol w:w="1808"/>
        <w:gridCol w:w="1747"/>
        <w:gridCol w:w="2150"/>
        <w:gridCol w:w="1517"/>
        <w:gridCol w:w="1268"/>
        <w:gridCol w:w="4548"/>
      </w:tblGrid>
      <w:tr>
        <w:tblPrEx>
          <w:tblCellMar>
            <w:top w:w="15" w:type="dxa"/>
            <w:left w:w="15" w:type="dxa"/>
            <w:bottom w:w="15" w:type="dxa"/>
            <w:right w:w="15" w:type="dxa"/>
          </w:tblCellMar>
        </w:tblPrEx>
        <w:trPr>
          <w:trHeight w:val="538" w:hRule="atLeast"/>
        </w:trPr>
        <w:tc>
          <w:tcPr>
            <w:tcW w:w="14314" w:type="dxa"/>
            <w:gridSpan w:val="7"/>
            <w:vAlign w:val="center"/>
          </w:tcPr>
          <w:p>
            <w:pPr>
              <w:jc w:val="center"/>
              <w:textAlignment w:val="center"/>
              <w:rPr>
                <w:rFonts w:ascii="黑体" w:hAnsi="宋体" w:eastAsia="黑体" w:cs="黑体"/>
                <w:b/>
                <w:sz w:val="36"/>
                <w:szCs w:val="36"/>
                <w:u w:val="single"/>
              </w:rPr>
            </w:pPr>
            <w:r>
              <w:rPr>
                <w:rFonts w:hint="eastAsia" w:ascii="黑体" w:hAnsi="宋体" w:eastAsia="黑体" w:cs="黑体"/>
                <w:b/>
                <w:sz w:val="36"/>
                <w:szCs w:val="36"/>
                <w:u w:val="single"/>
              </w:rPr>
              <w:t>递交投标文件签收表</w:t>
            </w:r>
          </w:p>
        </w:tc>
      </w:tr>
      <w:tr>
        <w:tblPrEx>
          <w:tblCellMar>
            <w:top w:w="15" w:type="dxa"/>
            <w:left w:w="15" w:type="dxa"/>
            <w:bottom w:w="15" w:type="dxa"/>
            <w:right w:w="15" w:type="dxa"/>
          </w:tblCellMar>
        </w:tblPrEx>
        <w:trPr>
          <w:trHeight w:val="463" w:hRule="atLeast"/>
        </w:trPr>
        <w:tc>
          <w:tcPr>
            <w:tcW w:w="1276" w:type="dxa"/>
            <w:vAlign w:val="center"/>
          </w:tcPr>
          <w:p>
            <w:pPr>
              <w:widowControl/>
              <w:jc w:val="left"/>
              <w:textAlignment w:val="center"/>
              <w:rPr>
                <w:rFonts w:ascii="宋体" w:hAnsi="宋体" w:cs="宋体"/>
                <w:b/>
                <w:sz w:val="22"/>
                <w:szCs w:val="22"/>
              </w:rPr>
            </w:pPr>
            <w:r>
              <w:rPr>
                <w:rFonts w:hint="eastAsia" w:ascii="宋体" w:hAnsi="宋体" w:cs="宋体"/>
                <w:b/>
                <w:kern w:val="0"/>
                <w:sz w:val="22"/>
                <w:szCs w:val="22"/>
              </w:rPr>
              <w:t>项目名称：</w:t>
            </w:r>
          </w:p>
        </w:tc>
        <w:tc>
          <w:tcPr>
            <w:tcW w:w="7222" w:type="dxa"/>
            <w:gridSpan w:val="4"/>
            <w:vAlign w:val="center"/>
          </w:tcPr>
          <w:p>
            <w:pPr>
              <w:jc w:val="left"/>
              <w:rPr>
                <w:rFonts w:ascii="宋体" w:hAnsi="宋体" w:cs="宋体"/>
                <w:b/>
                <w:sz w:val="22"/>
                <w:szCs w:val="22"/>
              </w:rPr>
            </w:pPr>
          </w:p>
        </w:tc>
        <w:tc>
          <w:tcPr>
            <w:tcW w:w="1268" w:type="dxa"/>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招标编号：</w:t>
            </w:r>
          </w:p>
        </w:tc>
        <w:tc>
          <w:tcPr>
            <w:tcW w:w="4548" w:type="dxa"/>
            <w:vAlign w:val="center"/>
          </w:tcPr>
          <w:p>
            <w:pPr>
              <w:rPr>
                <w:rFonts w:ascii="宋体" w:hAnsi="宋体" w:cs="宋体"/>
                <w:b/>
                <w:sz w:val="22"/>
                <w:szCs w:val="22"/>
              </w:rPr>
            </w:pPr>
          </w:p>
        </w:tc>
      </w:tr>
      <w:tr>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pPr>
              <w:widowControl/>
              <w:jc w:val="left"/>
              <w:textAlignment w:val="center"/>
              <w:rPr>
                <w:rFonts w:ascii="宋体" w:hAnsi="宋体" w:cs="宋体"/>
                <w:b/>
                <w:sz w:val="22"/>
                <w:szCs w:val="22"/>
              </w:rPr>
            </w:pPr>
            <w:r>
              <w:rPr>
                <w:rFonts w:hint="eastAsia" w:ascii="宋体" w:hAnsi="宋体" w:cs="宋体"/>
                <w:b/>
                <w:kern w:val="0"/>
                <w:sz w:val="22"/>
                <w:szCs w:val="22"/>
              </w:rPr>
              <w:t>开标时间：</w:t>
            </w:r>
          </w:p>
        </w:tc>
        <w:tc>
          <w:tcPr>
            <w:tcW w:w="1808" w:type="dxa"/>
            <w:tcBorders>
              <w:bottom w:val="single" w:color="000000" w:sz="12" w:space="0"/>
            </w:tcBorders>
            <w:vAlign w:val="center"/>
          </w:tcPr>
          <w:p>
            <w:pPr>
              <w:rPr>
                <w:rFonts w:ascii="宋体" w:hAnsi="宋体" w:cs="宋体"/>
                <w:b/>
                <w:sz w:val="22"/>
                <w:szCs w:val="22"/>
              </w:rPr>
            </w:pPr>
          </w:p>
        </w:tc>
        <w:tc>
          <w:tcPr>
            <w:tcW w:w="1747" w:type="dxa"/>
            <w:tcBorders>
              <w:bottom w:val="single" w:color="000000" w:sz="12" w:space="0"/>
            </w:tcBorders>
            <w:vAlign w:val="center"/>
          </w:tcPr>
          <w:p>
            <w:pPr>
              <w:rPr>
                <w:rFonts w:ascii="宋体" w:hAnsi="宋体" w:cs="宋体"/>
                <w:b/>
                <w:sz w:val="22"/>
                <w:szCs w:val="22"/>
              </w:rPr>
            </w:pPr>
          </w:p>
        </w:tc>
        <w:tc>
          <w:tcPr>
            <w:tcW w:w="3667" w:type="dxa"/>
            <w:gridSpan w:val="2"/>
            <w:tcBorders>
              <w:bottom w:val="single" w:color="000000" w:sz="12" w:space="0"/>
            </w:tcBorders>
            <w:vAlign w:val="center"/>
          </w:tcPr>
          <w:p>
            <w:pPr>
              <w:rPr>
                <w:rFonts w:ascii="宋体" w:hAnsi="宋体" w:cs="宋体"/>
              </w:rPr>
            </w:pPr>
          </w:p>
        </w:tc>
        <w:tc>
          <w:tcPr>
            <w:tcW w:w="1268" w:type="dxa"/>
            <w:tcBorders>
              <w:bottom w:val="single" w:color="000000" w:sz="12" w:space="0"/>
            </w:tcBorders>
            <w:vAlign w:val="center"/>
          </w:tcPr>
          <w:p>
            <w:pPr>
              <w:widowControl/>
              <w:jc w:val="right"/>
              <w:textAlignment w:val="center"/>
              <w:rPr>
                <w:rFonts w:ascii="宋体" w:hAnsi="宋体" w:cs="宋体"/>
                <w:b/>
                <w:sz w:val="22"/>
                <w:szCs w:val="22"/>
              </w:rPr>
            </w:pPr>
            <w:r>
              <w:rPr>
                <w:rFonts w:hint="eastAsia" w:ascii="宋体" w:hAnsi="宋体" w:cs="宋体"/>
                <w:b/>
                <w:kern w:val="0"/>
                <w:sz w:val="22"/>
                <w:szCs w:val="22"/>
              </w:rPr>
              <w:t>开标地点：</w:t>
            </w:r>
          </w:p>
        </w:tc>
        <w:tc>
          <w:tcPr>
            <w:tcW w:w="4548" w:type="dxa"/>
            <w:tcBorders>
              <w:bottom w:val="single" w:color="000000" w:sz="12" w:space="0"/>
            </w:tcBorders>
            <w:vAlign w:val="center"/>
          </w:tcPr>
          <w:p>
            <w:pPr>
              <w:rPr>
                <w:rFonts w:ascii="宋体" w:hAnsi="宋体" w:cs="宋体"/>
                <w:b/>
                <w:sz w:val="22"/>
                <w:szCs w:val="22"/>
              </w:rPr>
            </w:pPr>
          </w:p>
        </w:tc>
      </w:tr>
      <w:tr>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ascii="宋体" w:hAnsi="宋体" w:cs="宋体"/>
                <w:b/>
                <w:szCs w:val="21"/>
              </w:rPr>
            </w:pPr>
            <w:r>
              <w:rPr>
                <w:rFonts w:hint="eastAsia" w:ascii="宋体" w:hAnsi="宋体" w:cs="宋体"/>
                <w:b/>
                <w:szCs w:val="21"/>
              </w:rPr>
              <w:t>包号</w:t>
            </w:r>
          </w:p>
        </w:tc>
        <w:tc>
          <w:tcPr>
            <w:tcW w:w="3555" w:type="dxa"/>
            <w:gridSpan w:val="2"/>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宋体" w:hAnsi="宋体" w:cs="宋体"/>
                <w:b/>
                <w:szCs w:val="21"/>
              </w:rPr>
            </w:pPr>
            <w:r>
              <w:rPr>
                <w:rFonts w:hint="eastAsia" w:hAnsi="宋体" w:cs="宋体"/>
                <w:b/>
                <w:szCs w:val="21"/>
              </w:rPr>
              <w:t>投标人</w:t>
            </w:r>
          </w:p>
        </w:tc>
        <w:tc>
          <w:tcPr>
            <w:tcW w:w="2150"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ascii="宋体" w:hAnsi="宋体" w:cs="宋体"/>
                <w:b/>
                <w:szCs w:val="21"/>
              </w:rPr>
            </w:pPr>
            <w:r>
              <w:rPr>
                <w:rFonts w:hint="eastAsia" w:ascii="宋体" w:hAnsi="宋体" w:cs="宋体"/>
                <w:b/>
                <w:szCs w:val="21"/>
              </w:rPr>
              <w:t>递交时间</w:t>
            </w:r>
          </w:p>
        </w:tc>
        <w:tc>
          <w:tcPr>
            <w:tcW w:w="1517" w:type="dxa"/>
            <w:tcBorders>
              <w:top w:val="single" w:color="000000" w:sz="12" w:space="0"/>
              <w:left w:val="single" w:color="auto" w:sz="4" w:space="0"/>
              <w:bottom w:val="single" w:color="000000" w:sz="4" w:space="0"/>
            </w:tcBorders>
            <w:vAlign w:val="center"/>
          </w:tcPr>
          <w:p>
            <w:pPr>
              <w:jc w:val="center"/>
              <w:textAlignment w:val="center"/>
              <w:rPr>
                <w:rFonts w:ascii="宋体" w:hAnsi="宋体" w:cs="宋体"/>
                <w:b/>
                <w:szCs w:val="21"/>
              </w:rPr>
            </w:pPr>
            <w:r>
              <w:rPr>
                <w:rFonts w:hint="eastAsia" w:ascii="宋体" w:hAnsi="宋体" w:cs="宋体"/>
                <w:b/>
                <w:szCs w:val="21"/>
              </w:rPr>
              <w:t>密封合格与否</w:t>
            </w:r>
          </w:p>
          <w:p>
            <w:pPr>
              <w:jc w:val="center"/>
              <w:textAlignment w:val="center"/>
              <w:rPr>
                <w:rFonts w:ascii="宋体" w:hAnsi="宋体" w:cs="宋体"/>
                <w:b/>
                <w:szCs w:val="21"/>
              </w:rPr>
            </w:pPr>
            <w:r>
              <w:rPr>
                <w:rFonts w:hint="eastAsia" w:ascii="宋体" w:hAnsi="宋体" w:cs="宋体"/>
                <w:b/>
                <w:szCs w:val="21"/>
              </w:rPr>
              <w:t>（签收人确认）</w:t>
            </w:r>
          </w:p>
        </w:tc>
        <w:tc>
          <w:tcPr>
            <w:tcW w:w="126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宋体" w:hAnsi="宋体" w:cs="宋体"/>
                <w:b/>
                <w:szCs w:val="21"/>
              </w:rPr>
            </w:pPr>
            <w:r>
              <w:rPr>
                <w:rFonts w:hint="eastAsia" w:hAnsi="宋体" w:cs="宋体"/>
                <w:b/>
                <w:szCs w:val="21"/>
              </w:rPr>
              <w:t>联系人</w:t>
            </w:r>
          </w:p>
        </w:tc>
        <w:tc>
          <w:tcPr>
            <w:tcW w:w="4548"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ascii="宋体" w:hAnsi="宋体" w:cs="宋体"/>
                <w:b/>
                <w:szCs w:val="21"/>
              </w:rPr>
            </w:pPr>
            <w:r>
              <w:rPr>
                <w:rFonts w:hint="eastAsia" w:ascii="宋体" w:hAnsi="宋体" w:cs="宋体"/>
                <w:b/>
                <w:szCs w:val="21"/>
              </w:rPr>
              <w:t>联系方式</w:t>
            </w:r>
          </w:p>
        </w:tc>
      </w:tr>
      <w:tr>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Eʩ" w:hAnsi="Eʩ" w:eastAsia="Eʩ" w:cs="Eʩ"/>
                <w:szCs w:val="21"/>
              </w:rPr>
            </w:pPr>
          </w:p>
        </w:tc>
        <w:tc>
          <w:tcPr>
            <w:tcW w:w="3555" w:type="dxa"/>
            <w:gridSpan w:val="2"/>
            <w:vMerge w:val="restart"/>
            <w:tcBorders>
              <w:top w:val="single" w:color="000000" w:sz="4" w:space="0"/>
              <w:left w:val="single" w:color="000000" w:sz="4" w:space="0"/>
              <w:right w:val="single" w:color="000000" w:sz="4" w:space="0"/>
            </w:tcBorders>
            <w:vAlign w:val="center"/>
          </w:tcPr>
          <w:p>
            <w:pPr>
              <w:jc w:val="center"/>
              <w:rPr>
                <w:rFonts w:ascii="Eʩ" w:hAnsi="Eʩ" w:eastAsia="Eʩ" w:cs="Eʩ"/>
                <w:sz w:val="32"/>
                <w:szCs w:val="32"/>
              </w:rPr>
            </w:pPr>
          </w:p>
        </w:tc>
        <w:tc>
          <w:tcPr>
            <w:tcW w:w="2150" w:type="dxa"/>
            <w:vMerge w:val="restart"/>
            <w:tcBorders>
              <w:top w:val="single" w:color="000000" w:sz="4" w:space="0"/>
              <w:left w:val="single" w:color="000000" w:sz="4" w:space="0"/>
              <w:right w:val="single" w:color="auto" w:sz="4" w:space="0"/>
            </w:tcBorders>
            <w:vAlign w:val="center"/>
          </w:tcPr>
          <w:p>
            <w:pPr>
              <w:jc w:val="center"/>
              <w:textAlignment w:val="center"/>
              <w:rPr>
                <w:rFonts w:ascii="Eʩ" w:hAnsi="Eʩ" w:eastAsia="Eʩ" w:cs="Eʩ"/>
                <w:szCs w:val="21"/>
                <w:u w:val="single"/>
              </w:rPr>
            </w:pPr>
            <w:r>
              <w:rPr>
                <w:rStyle w:val="66"/>
                <w:rFonts w:hint="default"/>
                <w:color w:val="auto"/>
              </w:rPr>
              <w:t>年月日</w:t>
            </w:r>
          </w:p>
          <w:p>
            <w:pPr>
              <w:jc w:val="center"/>
              <w:textAlignment w:val="center"/>
              <w:rPr>
                <w:rFonts w:ascii="宋体" w:hAnsi="宋体" w:cs="宋体"/>
                <w:b/>
                <w:bCs/>
                <w:szCs w:val="21"/>
              </w:rPr>
            </w:pPr>
            <w:r>
              <w:rPr>
                <w:rStyle w:val="66"/>
                <w:rFonts w:hint="default"/>
                <w:color w:val="auto"/>
              </w:rPr>
              <w:t>时分</w:t>
            </w:r>
          </w:p>
        </w:tc>
        <w:tc>
          <w:tcPr>
            <w:tcW w:w="1517" w:type="dxa"/>
            <w:vMerge w:val="restart"/>
            <w:tcBorders>
              <w:top w:val="single" w:color="000000" w:sz="4" w:space="0"/>
              <w:left w:val="single" w:color="auto" w:sz="4" w:space="0"/>
            </w:tcBorders>
            <w:vAlign w:val="center"/>
          </w:tcPr>
          <w:p>
            <w:pPr>
              <w:jc w:val="center"/>
              <w:textAlignment w:val="center"/>
              <w:rPr>
                <w:rFonts w:ascii="Eʩ" w:hAnsi="Eʩ" w:eastAsia="Eʩ" w:cs="Eʩ"/>
                <w:szCs w:val="21"/>
              </w:rPr>
            </w:pPr>
            <w:r>
              <w:rPr>
                <w:rFonts w:hint="eastAsia" w:ascii="黑体" w:hAnsi="黑体" w:eastAsia="黑体" w:cs="黑体"/>
                <w:szCs w:val="21"/>
              </w:rPr>
              <w:t>□</w:t>
            </w:r>
            <w:r>
              <w:rPr>
                <w:rFonts w:hint="eastAsia" w:ascii="Eʩ" w:hAnsi="Eʩ" w:eastAsia="Eʩ" w:cs="Eʩ"/>
                <w:szCs w:val="21"/>
              </w:rPr>
              <w:t>是</w:t>
            </w:r>
          </w:p>
          <w:p>
            <w:pPr>
              <w:jc w:val="center"/>
              <w:textAlignment w:val="center"/>
              <w:rPr>
                <w:rFonts w:ascii="Eʩ" w:hAnsi="Eʩ" w:eastAsia="Eʩ" w:cs="Eʩ"/>
                <w:szCs w:val="21"/>
              </w:rPr>
            </w:pPr>
          </w:p>
          <w:p>
            <w:pPr>
              <w:jc w:val="center"/>
              <w:textAlignment w:val="center"/>
              <w:rPr>
                <w:rFonts w:ascii="Eʩ" w:hAnsi="Eʩ" w:eastAsia="Eʩ" w:cs="Eʩ"/>
                <w:szCs w:val="21"/>
                <w:u w:val="single"/>
              </w:rPr>
            </w:pPr>
            <w:r>
              <w:rPr>
                <w:rFonts w:hint="eastAsia" w:ascii="黑体" w:hAnsi="黑体" w:eastAsia="黑体" w:cs="黑体"/>
                <w:szCs w:val="21"/>
              </w:rPr>
              <w:t>□</w:t>
            </w:r>
            <w:r>
              <w:rPr>
                <w:rFonts w:hint="eastAsia" w:ascii="Eʩ" w:hAnsi="Eʩ" w:eastAsia="Eʩ" w:cs="Eʩ"/>
                <w:szCs w:val="21"/>
              </w:rPr>
              <w:t>否</w:t>
            </w:r>
          </w:p>
        </w:tc>
        <w:tc>
          <w:tcPr>
            <w:tcW w:w="1268" w:type="dxa"/>
            <w:vMerge w:val="restart"/>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sz w:val="32"/>
                <w:szCs w:val="32"/>
              </w:rPr>
            </w:pPr>
          </w:p>
        </w:tc>
        <w:tc>
          <w:tcPr>
            <w:tcW w:w="4548" w:type="dxa"/>
            <w:tcBorders>
              <w:top w:val="single" w:color="000000" w:sz="4" w:space="0"/>
              <w:left w:val="single" w:color="000000" w:sz="4" w:space="0"/>
              <w:bottom w:val="single" w:color="000000" w:sz="4" w:space="0"/>
              <w:right w:val="single" w:color="000000" w:sz="12" w:space="0"/>
            </w:tcBorders>
          </w:tcPr>
          <w:p>
            <w:pPr>
              <w:textAlignment w:val="center"/>
              <w:rPr>
                <w:rFonts w:ascii="宋体" w:hAnsi="宋体" w:cs="宋体"/>
                <w:szCs w:val="21"/>
              </w:rPr>
            </w:pPr>
            <w:r>
              <w:rPr>
                <w:rFonts w:hint="eastAsia" w:ascii="宋体" w:hAnsi="宋体" w:cs="宋体"/>
                <w:szCs w:val="21"/>
              </w:rPr>
              <w:t>电话：</w:t>
            </w:r>
          </w:p>
        </w:tc>
      </w:tr>
      <w:tr>
        <w:tblPrEx>
          <w:tblCellMar>
            <w:top w:w="15" w:type="dxa"/>
            <w:left w:w="15" w:type="dxa"/>
            <w:bottom w:w="15" w:type="dxa"/>
            <w:right w:w="15" w:type="dxa"/>
          </w:tblCellMar>
        </w:tblPrEx>
        <w:trPr>
          <w:trHeight w:val="577"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Eʩ" w:hAnsi="Eʩ" w:eastAsia="Eʩ" w:cs="Eʩ"/>
                <w:szCs w:val="21"/>
              </w:rPr>
            </w:pPr>
          </w:p>
        </w:tc>
        <w:tc>
          <w:tcPr>
            <w:tcW w:w="3555" w:type="dxa"/>
            <w:gridSpan w:val="2"/>
            <w:vMerge w:val="continue"/>
            <w:tcBorders>
              <w:left w:val="single" w:color="000000" w:sz="4" w:space="0"/>
              <w:right w:val="single" w:color="000000" w:sz="4" w:space="0"/>
            </w:tcBorders>
            <w:vAlign w:val="center"/>
          </w:tcPr>
          <w:p>
            <w:pPr>
              <w:jc w:val="center"/>
              <w:rPr>
                <w:rFonts w:ascii="Eʩ" w:hAnsi="Eʩ" w:eastAsia="Eʩ" w:cs="Eʩ"/>
                <w:sz w:val="32"/>
                <w:szCs w:val="32"/>
              </w:rPr>
            </w:pPr>
          </w:p>
        </w:tc>
        <w:tc>
          <w:tcPr>
            <w:tcW w:w="2150" w:type="dxa"/>
            <w:vMerge w:val="continue"/>
            <w:tcBorders>
              <w:left w:val="single" w:color="000000" w:sz="4" w:space="0"/>
              <w:right w:val="single" w:color="auto" w:sz="4" w:space="0"/>
            </w:tcBorders>
            <w:vAlign w:val="center"/>
          </w:tcPr>
          <w:p>
            <w:pPr>
              <w:textAlignment w:val="center"/>
              <w:rPr>
                <w:rFonts w:ascii="宋体" w:hAnsi="宋体" w:cs="宋体"/>
                <w:szCs w:val="21"/>
              </w:rPr>
            </w:pPr>
          </w:p>
        </w:tc>
        <w:tc>
          <w:tcPr>
            <w:tcW w:w="1517" w:type="dxa"/>
            <w:vMerge w:val="continue"/>
            <w:tcBorders>
              <w:left w:val="single" w:color="auto" w:sz="4" w:space="0"/>
            </w:tcBorders>
            <w:vAlign w:val="center"/>
          </w:tcPr>
          <w:p>
            <w:pPr>
              <w:jc w:val="center"/>
              <w:textAlignment w:val="center"/>
              <w:rPr>
                <w:rFonts w:ascii="Eʩ" w:hAnsi="Eʩ" w:eastAsia="Eʩ" w:cs="Eʩ"/>
                <w:b/>
                <w:bCs/>
                <w:szCs w:val="21"/>
                <w:u w:val="single"/>
              </w:rPr>
            </w:pPr>
          </w:p>
        </w:tc>
        <w:tc>
          <w:tcPr>
            <w:tcW w:w="1268" w:type="dxa"/>
            <w:vMerge w:val="continue"/>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sz w:val="32"/>
                <w:szCs w:val="32"/>
              </w:rPr>
            </w:pPr>
          </w:p>
        </w:tc>
        <w:tc>
          <w:tcPr>
            <w:tcW w:w="4548" w:type="dxa"/>
            <w:tcBorders>
              <w:top w:val="single" w:color="000000" w:sz="4" w:space="0"/>
              <w:left w:val="single" w:color="000000" w:sz="4" w:space="0"/>
              <w:bottom w:val="single" w:color="000000" w:sz="4" w:space="0"/>
              <w:right w:val="single" w:color="000000" w:sz="12" w:space="0"/>
            </w:tcBorders>
          </w:tcPr>
          <w:p>
            <w:pPr>
              <w:textAlignment w:val="center"/>
              <w:rPr>
                <w:rFonts w:ascii="宋体" w:hAnsi="宋体" w:cs="宋体"/>
                <w:szCs w:val="21"/>
              </w:rPr>
            </w:pPr>
            <w:r>
              <w:rPr>
                <w:rFonts w:hint="eastAsia" w:ascii="宋体" w:hAnsi="宋体" w:cs="宋体"/>
                <w:szCs w:val="21"/>
              </w:rPr>
              <w:t>传真：</w:t>
            </w:r>
          </w:p>
        </w:tc>
      </w:tr>
      <w:tr>
        <w:tblPrEx>
          <w:tblCellMar>
            <w:top w:w="15" w:type="dxa"/>
            <w:left w:w="15" w:type="dxa"/>
            <w:bottom w:w="15" w:type="dxa"/>
            <w:right w:w="15" w:type="dxa"/>
          </w:tblCellMar>
        </w:tblPrEx>
        <w:trPr>
          <w:trHeight w:val="577"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Eʩ" w:hAnsi="Eʩ" w:eastAsia="Eʩ" w:cs="Eʩ"/>
                <w:szCs w:val="21"/>
              </w:rPr>
            </w:pPr>
          </w:p>
        </w:tc>
        <w:tc>
          <w:tcPr>
            <w:tcW w:w="3555" w:type="dxa"/>
            <w:gridSpan w:val="2"/>
            <w:vMerge w:val="continue"/>
            <w:tcBorders>
              <w:left w:val="single" w:color="000000" w:sz="4" w:space="0"/>
              <w:right w:val="single" w:color="000000" w:sz="4" w:space="0"/>
            </w:tcBorders>
            <w:vAlign w:val="center"/>
          </w:tcPr>
          <w:p>
            <w:pPr>
              <w:jc w:val="center"/>
              <w:rPr>
                <w:rFonts w:ascii="Eʩ" w:hAnsi="Eʩ" w:eastAsia="Eʩ" w:cs="Eʩ"/>
                <w:sz w:val="32"/>
                <w:szCs w:val="32"/>
              </w:rPr>
            </w:pPr>
          </w:p>
        </w:tc>
        <w:tc>
          <w:tcPr>
            <w:tcW w:w="2150" w:type="dxa"/>
            <w:vMerge w:val="continue"/>
            <w:tcBorders>
              <w:left w:val="single" w:color="000000" w:sz="4" w:space="0"/>
              <w:right w:val="single" w:color="auto" w:sz="4" w:space="0"/>
            </w:tcBorders>
            <w:vAlign w:val="center"/>
          </w:tcPr>
          <w:p>
            <w:pPr>
              <w:textAlignment w:val="center"/>
              <w:rPr>
                <w:rFonts w:ascii="宋体" w:hAnsi="宋体" w:cs="宋体"/>
                <w:szCs w:val="21"/>
              </w:rPr>
            </w:pPr>
          </w:p>
        </w:tc>
        <w:tc>
          <w:tcPr>
            <w:tcW w:w="1517" w:type="dxa"/>
            <w:vMerge w:val="continue"/>
            <w:tcBorders>
              <w:left w:val="single" w:color="auto" w:sz="4" w:space="0"/>
            </w:tcBorders>
            <w:vAlign w:val="center"/>
          </w:tcPr>
          <w:p>
            <w:pPr>
              <w:jc w:val="center"/>
              <w:rPr>
                <w:rFonts w:ascii="宋体" w:hAnsi="宋体" w:cs="宋体"/>
                <w:b/>
                <w:bCs/>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sz w:val="32"/>
                <w:szCs w:val="32"/>
              </w:rPr>
            </w:pPr>
          </w:p>
        </w:tc>
        <w:tc>
          <w:tcPr>
            <w:tcW w:w="4548" w:type="dxa"/>
            <w:tcBorders>
              <w:top w:val="single" w:color="000000" w:sz="4" w:space="0"/>
              <w:left w:val="single" w:color="000000" w:sz="4" w:space="0"/>
              <w:bottom w:val="single" w:color="000000" w:sz="4" w:space="0"/>
              <w:right w:val="single" w:color="000000" w:sz="12" w:space="0"/>
            </w:tcBorders>
          </w:tcPr>
          <w:p>
            <w:pPr>
              <w:textAlignment w:val="center"/>
              <w:rPr>
                <w:rFonts w:ascii="宋体" w:hAnsi="宋体" w:cs="宋体"/>
                <w:szCs w:val="21"/>
              </w:rPr>
            </w:pPr>
            <w:r>
              <w:rPr>
                <w:rFonts w:hint="eastAsia" w:ascii="宋体" w:hAnsi="宋体" w:cs="宋体"/>
                <w:szCs w:val="21"/>
              </w:rPr>
              <w:t>手机：</w:t>
            </w:r>
          </w:p>
        </w:tc>
      </w:tr>
      <w:tr>
        <w:tblPrEx>
          <w:tblCellMar>
            <w:top w:w="15" w:type="dxa"/>
            <w:left w:w="15" w:type="dxa"/>
            <w:bottom w:w="15" w:type="dxa"/>
            <w:right w:w="15" w:type="dxa"/>
          </w:tblCellMar>
        </w:tblPrEx>
        <w:trPr>
          <w:trHeight w:val="577" w:hRule="atLeast"/>
        </w:trPr>
        <w:tc>
          <w:tcPr>
            <w:tcW w:w="1276"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Eʩ" w:hAnsi="Eʩ" w:eastAsia="Eʩ" w:cs="Eʩ"/>
                <w:szCs w:val="21"/>
              </w:rPr>
            </w:pPr>
          </w:p>
        </w:tc>
        <w:tc>
          <w:tcPr>
            <w:tcW w:w="3555" w:type="dxa"/>
            <w:gridSpan w:val="2"/>
            <w:vMerge w:val="continue"/>
            <w:tcBorders>
              <w:left w:val="single" w:color="000000" w:sz="4" w:space="0"/>
              <w:bottom w:val="single" w:color="000000" w:sz="12" w:space="0"/>
              <w:right w:val="single" w:color="000000" w:sz="4" w:space="0"/>
            </w:tcBorders>
            <w:vAlign w:val="center"/>
          </w:tcPr>
          <w:p>
            <w:pPr>
              <w:jc w:val="center"/>
              <w:rPr>
                <w:rFonts w:ascii="Eʩ" w:hAnsi="Eʩ" w:eastAsia="Eʩ" w:cs="Eʩ"/>
                <w:sz w:val="32"/>
                <w:szCs w:val="32"/>
              </w:rPr>
            </w:pPr>
          </w:p>
        </w:tc>
        <w:tc>
          <w:tcPr>
            <w:tcW w:w="2150" w:type="dxa"/>
            <w:vMerge w:val="continue"/>
            <w:tcBorders>
              <w:left w:val="single" w:color="000000" w:sz="4" w:space="0"/>
              <w:bottom w:val="single" w:color="000000" w:sz="12" w:space="0"/>
              <w:right w:val="single" w:color="auto" w:sz="4" w:space="0"/>
            </w:tcBorders>
            <w:vAlign w:val="center"/>
          </w:tcPr>
          <w:p>
            <w:pPr>
              <w:textAlignment w:val="center"/>
              <w:rPr>
                <w:rFonts w:ascii="宋体" w:hAnsi="宋体" w:cs="宋体"/>
                <w:szCs w:val="21"/>
              </w:rPr>
            </w:pPr>
          </w:p>
        </w:tc>
        <w:tc>
          <w:tcPr>
            <w:tcW w:w="1517" w:type="dxa"/>
            <w:vMerge w:val="continue"/>
            <w:tcBorders>
              <w:left w:val="single" w:color="auto" w:sz="4" w:space="0"/>
              <w:bottom w:val="single" w:color="000000" w:sz="12" w:space="0"/>
            </w:tcBorders>
            <w:vAlign w:val="center"/>
          </w:tcPr>
          <w:p>
            <w:pPr>
              <w:rPr>
                <w:rFonts w:ascii="宋体" w:hAnsi="宋体" w:cs="宋体"/>
              </w:rPr>
            </w:pPr>
          </w:p>
        </w:tc>
        <w:tc>
          <w:tcPr>
            <w:tcW w:w="1268" w:type="dxa"/>
            <w:vMerge w:val="continue"/>
            <w:tcBorders>
              <w:top w:val="single" w:color="000000" w:sz="4" w:space="0"/>
              <w:left w:val="single" w:color="000000" w:sz="4" w:space="0"/>
              <w:bottom w:val="single" w:color="000000" w:sz="12" w:space="0"/>
              <w:right w:val="single" w:color="000000" w:sz="4" w:space="0"/>
            </w:tcBorders>
          </w:tcPr>
          <w:p>
            <w:pPr>
              <w:jc w:val="center"/>
              <w:rPr>
                <w:rFonts w:ascii="Eʩ" w:hAnsi="Eʩ" w:eastAsia="Eʩ" w:cs="Eʩ"/>
                <w:sz w:val="32"/>
                <w:szCs w:val="32"/>
              </w:rPr>
            </w:pPr>
          </w:p>
        </w:tc>
        <w:tc>
          <w:tcPr>
            <w:tcW w:w="4548" w:type="dxa"/>
            <w:tcBorders>
              <w:top w:val="single" w:color="000000" w:sz="4" w:space="0"/>
              <w:left w:val="single" w:color="000000" w:sz="4" w:space="0"/>
              <w:bottom w:val="single" w:color="000000" w:sz="12" w:space="0"/>
              <w:right w:val="single" w:color="000000" w:sz="12" w:space="0"/>
            </w:tcBorders>
          </w:tcPr>
          <w:p>
            <w:pPr>
              <w:textAlignment w:val="center"/>
              <w:rPr>
                <w:rFonts w:ascii="宋体" w:hAnsi="宋体" w:cs="宋体"/>
                <w:szCs w:val="21"/>
              </w:rPr>
            </w:pPr>
          </w:p>
        </w:tc>
      </w:tr>
      <w:tr>
        <w:tblPrEx>
          <w:tblCellMar>
            <w:top w:w="15" w:type="dxa"/>
            <w:left w:w="15" w:type="dxa"/>
            <w:bottom w:w="15" w:type="dxa"/>
            <w:right w:w="15" w:type="dxa"/>
          </w:tblCellMar>
        </w:tblPrEx>
        <w:trPr>
          <w:trHeight w:val="443" w:hRule="atLeast"/>
        </w:trPr>
        <w:tc>
          <w:tcPr>
            <w:tcW w:w="1276" w:type="dxa"/>
            <w:tcBorders>
              <w:top w:val="single" w:color="000000" w:sz="12" w:space="0"/>
            </w:tcBorders>
            <w:vAlign w:val="center"/>
          </w:tcPr>
          <w:p>
            <w:pPr>
              <w:textAlignment w:val="center"/>
              <w:rPr>
                <w:rFonts w:ascii="宋体" w:hAnsi="宋体" w:cs="宋体"/>
              </w:rPr>
            </w:pPr>
            <w:r>
              <w:rPr>
                <w:rFonts w:hint="eastAsia" w:ascii="宋体" w:hAnsi="宋体" w:cs="宋体"/>
              </w:rPr>
              <w:t>签收人：</w:t>
            </w:r>
          </w:p>
        </w:tc>
        <w:tc>
          <w:tcPr>
            <w:tcW w:w="13038" w:type="dxa"/>
            <w:gridSpan w:val="6"/>
            <w:tcBorders>
              <w:top w:val="single" w:color="000000" w:sz="12" w:space="0"/>
            </w:tcBorders>
            <w:vAlign w:val="center"/>
          </w:tcPr>
          <w:p>
            <w:pPr>
              <w:rPr>
                <w:rFonts w:ascii="宋体" w:hAnsi="宋体" w:cs="宋体"/>
              </w:rPr>
            </w:pPr>
          </w:p>
        </w:tc>
      </w:tr>
      <w:tr>
        <w:tblPrEx>
          <w:tblCellMar>
            <w:top w:w="15" w:type="dxa"/>
            <w:left w:w="15" w:type="dxa"/>
            <w:bottom w:w="15" w:type="dxa"/>
            <w:right w:w="15" w:type="dxa"/>
          </w:tblCellMar>
        </w:tblPrEx>
        <w:trPr>
          <w:trHeight w:val="898" w:hRule="atLeast"/>
        </w:trPr>
        <w:tc>
          <w:tcPr>
            <w:tcW w:w="14314" w:type="dxa"/>
            <w:gridSpan w:val="7"/>
            <w:vAlign w:val="bottom"/>
          </w:tcPr>
          <w:p>
            <w:pPr>
              <w:textAlignment w:val="bottom"/>
              <w:rPr>
                <w:rFonts w:ascii="宋体" w:hAnsi="宋体" w:cs="宋体"/>
              </w:rPr>
            </w:pPr>
            <w:r>
              <w:rPr>
                <w:rFonts w:hint="eastAsia" w:ascii="宋体" w:hAnsi="宋体" w:cs="宋体"/>
              </w:rPr>
              <w:t>备注：本递交表一式两份，接收人签字后生效，由递交人和接收人各执一份。请以正楷字填写，各项目内容，“递交时间”</w:t>
            </w:r>
            <w:r>
              <w:rPr>
                <w:rFonts w:hint="eastAsia" w:hAnsi="宋体" w:cs="宋体"/>
              </w:rPr>
              <w:t>、“联系人”、</w:t>
            </w:r>
            <w:r>
              <w:rPr>
                <w:rFonts w:hint="eastAsia" w:ascii="宋体" w:hAnsi="宋体" w:cs="宋体"/>
              </w:rPr>
              <w:t>请在现场签收时填写。</w:t>
            </w:r>
          </w:p>
        </w:tc>
      </w:tr>
      <w:bookmarkEnd w:id="187"/>
    </w:tbl>
    <w:p>
      <w:pPr>
        <w:spacing w:line="360" w:lineRule="auto"/>
        <w:rPr>
          <w:rFonts w:hAnsi="宋体"/>
          <w:sz w:val="24"/>
        </w:rPr>
      </w:pPr>
    </w:p>
    <w:sectPr>
      <w:footerReference r:id="rId10" w:type="default"/>
      <w:pgSz w:w="16838" w:h="11906" w:orient="landscape"/>
      <w:pgMar w:top="1803" w:right="1440" w:bottom="1803" w:left="1440" w:header="851" w:footer="992" w:gutter="0"/>
      <w:cols w:space="720" w:num="1"/>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11-23T14:04:20Z" w:initials="A">
    <w:p w14:paraId="08ED1537">
      <w:pPr>
        <w:pStyle w:val="14"/>
        <w:rPr>
          <w:rFonts w:hint="eastAsia"/>
          <w:lang w:val="en-US" w:eastAsia="zh-CN"/>
        </w:rPr>
      </w:pPr>
      <w:r>
        <w:rPr>
          <w:rFonts w:hint="eastAsia"/>
          <w:lang w:val="en-US" w:eastAsia="zh-CN"/>
        </w:rPr>
        <w:t>加上这段话</w:t>
      </w:r>
    </w:p>
    <w:p w14:paraId="3427407D">
      <w:pPr>
        <w:pStyle w:val="14"/>
        <w:rPr>
          <w:rFonts w:hint="default"/>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2740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Eʩ">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center"/>
      <w:rPr>
        <w:rStyle w:val="43"/>
      </w:rPr>
    </w:pPr>
    <w:r>
      <w:fldChar w:fldCharType="begin"/>
    </w:r>
    <w:r>
      <w:rPr>
        <w:rStyle w:val="43"/>
      </w:rPr>
      <w:instrText xml:space="preserve">PAGE  </w:instrText>
    </w:r>
    <w:r>
      <w:fldChar w:fldCharType="separate"/>
    </w:r>
    <w:r>
      <w:rPr>
        <w:rStyle w:val="43"/>
      </w:rPr>
      <w:t>5</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center"/>
      <w:rPr>
        <w:rStyle w:val="43"/>
      </w:rPr>
    </w:pPr>
    <w:r>
      <w:fldChar w:fldCharType="begin"/>
    </w:r>
    <w:r>
      <w:rPr>
        <w:rStyle w:val="43"/>
      </w:rPr>
      <w:instrText xml:space="preserve">PAGE  </w:instrText>
    </w:r>
    <w:r>
      <w:fldChar w:fldCharType="separate"/>
    </w:r>
    <w:r>
      <w:rPr>
        <w:rStyle w:val="43"/>
      </w:rPr>
      <w:t>42</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6W/D9EAAAADAQAADwAAAAAAAAABACAAAAAiAAAAZHJzL2Rv&#10;d25yZXYueG1sUEsBAhQAFAAAAAgAh07iQARK+0UIAgAAAgQAAA4AAAAAAAAAAQAgAAAAIAEAAGRy&#10;cy9lMm9Eb2MueG1sUEsFBgAAAAAGAAYAWQEAAJo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center"/>
      <w:rPr>
        <w:rStyle w:val="43"/>
      </w:rPr>
    </w:pPr>
    <w:r>
      <w:fldChar w:fldCharType="begin"/>
    </w:r>
    <w:r>
      <w:rPr>
        <w:rStyle w:val="43"/>
      </w:rPr>
      <w:instrText xml:space="preserve">PAGE  </w:instrText>
    </w:r>
    <w:r>
      <w:fldChar w:fldCharType="separate"/>
    </w:r>
    <w:r>
      <w:rPr>
        <w:rStyle w:val="43"/>
      </w:rPr>
      <w:t>61</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0424B"/>
    <w:multiLevelType w:val="multilevel"/>
    <w:tmpl w:val="4F70424B"/>
    <w:lvl w:ilvl="0" w:tentative="0">
      <w:start w:val="1"/>
      <w:numFmt w:val="japaneseCounting"/>
      <w:lvlText w:val="%1、"/>
      <w:lvlJc w:val="left"/>
      <w:pPr>
        <w:ind w:left="794" w:hanging="51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55486974"/>
    <w:multiLevelType w:val="multilevel"/>
    <w:tmpl w:val="55486974"/>
    <w:lvl w:ilvl="0" w:tentative="0">
      <w:start w:val="1"/>
      <w:numFmt w:val="decimal"/>
      <w:pStyle w:val="162"/>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EC9FF9"/>
    <w:multiLevelType w:val="singleLevel"/>
    <w:tmpl w:val="58EC9FF9"/>
    <w:lvl w:ilvl="0" w:tentative="0">
      <w:start w:val="2"/>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hideSpellingErrors/>
  <w:documentProtection w:edit="readOnly"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0446"/>
    <w:rsid w:val="0000092E"/>
    <w:rsid w:val="000027A8"/>
    <w:rsid w:val="000028D6"/>
    <w:rsid w:val="00002CB7"/>
    <w:rsid w:val="00004C18"/>
    <w:rsid w:val="000054FE"/>
    <w:rsid w:val="00006162"/>
    <w:rsid w:val="0000748F"/>
    <w:rsid w:val="00007630"/>
    <w:rsid w:val="00007AD8"/>
    <w:rsid w:val="000104FC"/>
    <w:rsid w:val="00010871"/>
    <w:rsid w:val="00010FB3"/>
    <w:rsid w:val="00015140"/>
    <w:rsid w:val="000160D7"/>
    <w:rsid w:val="00016BE4"/>
    <w:rsid w:val="00017846"/>
    <w:rsid w:val="000209CD"/>
    <w:rsid w:val="00021351"/>
    <w:rsid w:val="00021BEC"/>
    <w:rsid w:val="000221E7"/>
    <w:rsid w:val="00022477"/>
    <w:rsid w:val="0002248B"/>
    <w:rsid w:val="00024AD0"/>
    <w:rsid w:val="00025964"/>
    <w:rsid w:val="00025F55"/>
    <w:rsid w:val="00026152"/>
    <w:rsid w:val="00030F2B"/>
    <w:rsid w:val="00031B04"/>
    <w:rsid w:val="0003283F"/>
    <w:rsid w:val="000331DB"/>
    <w:rsid w:val="00036248"/>
    <w:rsid w:val="00036E49"/>
    <w:rsid w:val="00036EEF"/>
    <w:rsid w:val="0003727D"/>
    <w:rsid w:val="00040944"/>
    <w:rsid w:val="0004257C"/>
    <w:rsid w:val="00043EAA"/>
    <w:rsid w:val="00045292"/>
    <w:rsid w:val="000468F2"/>
    <w:rsid w:val="00047B62"/>
    <w:rsid w:val="00047E92"/>
    <w:rsid w:val="0005024C"/>
    <w:rsid w:val="00050A8E"/>
    <w:rsid w:val="00050DBD"/>
    <w:rsid w:val="000515D4"/>
    <w:rsid w:val="00051646"/>
    <w:rsid w:val="000522BC"/>
    <w:rsid w:val="00055341"/>
    <w:rsid w:val="00056685"/>
    <w:rsid w:val="00061D5E"/>
    <w:rsid w:val="00061F47"/>
    <w:rsid w:val="00062AA7"/>
    <w:rsid w:val="00062BE3"/>
    <w:rsid w:val="0006324D"/>
    <w:rsid w:val="000666CC"/>
    <w:rsid w:val="00070958"/>
    <w:rsid w:val="000712EA"/>
    <w:rsid w:val="000730B8"/>
    <w:rsid w:val="0007358D"/>
    <w:rsid w:val="000735E3"/>
    <w:rsid w:val="000743A3"/>
    <w:rsid w:val="00075265"/>
    <w:rsid w:val="00075C5E"/>
    <w:rsid w:val="00076B0C"/>
    <w:rsid w:val="000773C4"/>
    <w:rsid w:val="00081065"/>
    <w:rsid w:val="00082251"/>
    <w:rsid w:val="00082E96"/>
    <w:rsid w:val="00084F7A"/>
    <w:rsid w:val="00087127"/>
    <w:rsid w:val="00090439"/>
    <w:rsid w:val="000914BB"/>
    <w:rsid w:val="0009168F"/>
    <w:rsid w:val="00091BAB"/>
    <w:rsid w:val="00092166"/>
    <w:rsid w:val="000929BF"/>
    <w:rsid w:val="00093327"/>
    <w:rsid w:val="00093D10"/>
    <w:rsid w:val="00094AD1"/>
    <w:rsid w:val="00095107"/>
    <w:rsid w:val="00095DCE"/>
    <w:rsid w:val="000965E1"/>
    <w:rsid w:val="00096F5E"/>
    <w:rsid w:val="00097BEF"/>
    <w:rsid w:val="000A1509"/>
    <w:rsid w:val="000A246A"/>
    <w:rsid w:val="000A2AD2"/>
    <w:rsid w:val="000A2B5A"/>
    <w:rsid w:val="000A3679"/>
    <w:rsid w:val="000A3D38"/>
    <w:rsid w:val="000A3DA2"/>
    <w:rsid w:val="000A5340"/>
    <w:rsid w:val="000A566F"/>
    <w:rsid w:val="000A597E"/>
    <w:rsid w:val="000A70F2"/>
    <w:rsid w:val="000A73CF"/>
    <w:rsid w:val="000B1825"/>
    <w:rsid w:val="000B2FF2"/>
    <w:rsid w:val="000B373F"/>
    <w:rsid w:val="000B4220"/>
    <w:rsid w:val="000B48A7"/>
    <w:rsid w:val="000B4FF2"/>
    <w:rsid w:val="000C04A5"/>
    <w:rsid w:val="000C101B"/>
    <w:rsid w:val="000C1CE2"/>
    <w:rsid w:val="000C297C"/>
    <w:rsid w:val="000C345C"/>
    <w:rsid w:val="000C41C2"/>
    <w:rsid w:val="000C4C7E"/>
    <w:rsid w:val="000C4FC6"/>
    <w:rsid w:val="000C50B7"/>
    <w:rsid w:val="000C59E4"/>
    <w:rsid w:val="000C5B78"/>
    <w:rsid w:val="000C684F"/>
    <w:rsid w:val="000C6FE5"/>
    <w:rsid w:val="000D09BD"/>
    <w:rsid w:val="000D22E0"/>
    <w:rsid w:val="000D29CC"/>
    <w:rsid w:val="000D32B7"/>
    <w:rsid w:val="000D35DD"/>
    <w:rsid w:val="000D3711"/>
    <w:rsid w:val="000D717B"/>
    <w:rsid w:val="000D7EAA"/>
    <w:rsid w:val="000E0172"/>
    <w:rsid w:val="000E02DC"/>
    <w:rsid w:val="000E1426"/>
    <w:rsid w:val="000E1808"/>
    <w:rsid w:val="000E29F5"/>
    <w:rsid w:val="000E3A4D"/>
    <w:rsid w:val="000E3D9A"/>
    <w:rsid w:val="000E44E3"/>
    <w:rsid w:val="000E53A6"/>
    <w:rsid w:val="000E5D74"/>
    <w:rsid w:val="000E6489"/>
    <w:rsid w:val="000E688B"/>
    <w:rsid w:val="000E71B3"/>
    <w:rsid w:val="000F0C2A"/>
    <w:rsid w:val="000F128F"/>
    <w:rsid w:val="000F157F"/>
    <w:rsid w:val="000F1E01"/>
    <w:rsid w:val="000F29E5"/>
    <w:rsid w:val="000F3B23"/>
    <w:rsid w:val="000F3FFA"/>
    <w:rsid w:val="000F74C7"/>
    <w:rsid w:val="000F7505"/>
    <w:rsid w:val="00104562"/>
    <w:rsid w:val="00104BAA"/>
    <w:rsid w:val="00104E54"/>
    <w:rsid w:val="001054DB"/>
    <w:rsid w:val="001068FD"/>
    <w:rsid w:val="00107951"/>
    <w:rsid w:val="00111685"/>
    <w:rsid w:val="00111CE6"/>
    <w:rsid w:val="00113062"/>
    <w:rsid w:val="00114138"/>
    <w:rsid w:val="00114DEC"/>
    <w:rsid w:val="00115F0B"/>
    <w:rsid w:val="001161A9"/>
    <w:rsid w:val="00120AD6"/>
    <w:rsid w:val="00121F59"/>
    <w:rsid w:val="00123110"/>
    <w:rsid w:val="0012457B"/>
    <w:rsid w:val="00125940"/>
    <w:rsid w:val="00127E34"/>
    <w:rsid w:val="001300AD"/>
    <w:rsid w:val="00131BF0"/>
    <w:rsid w:val="00131E47"/>
    <w:rsid w:val="001324D0"/>
    <w:rsid w:val="001341EC"/>
    <w:rsid w:val="0013597A"/>
    <w:rsid w:val="001363D1"/>
    <w:rsid w:val="00136AC2"/>
    <w:rsid w:val="00136E50"/>
    <w:rsid w:val="0014031B"/>
    <w:rsid w:val="00140950"/>
    <w:rsid w:val="001415FA"/>
    <w:rsid w:val="001417B6"/>
    <w:rsid w:val="00141B5E"/>
    <w:rsid w:val="00141CC3"/>
    <w:rsid w:val="00141D1F"/>
    <w:rsid w:val="00142FB7"/>
    <w:rsid w:val="00144B5B"/>
    <w:rsid w:val="00145AB3"/>
    <w:rsid w:val="00146D35"/>
    <w:rsid w:val="00146E5A"/>
    <w:rsid w:val="0015022F"/>
    <w:rsid w:val="00150757"/>
    <w:rsid w:val="00150C08"/>
    <w:rsid w:val="00150D92"/>
    <w:rsid w:val="00152119"/>
    <w:rsid w:val="0015229C"/>
    <w:rsid w:val="00153528"/>
    <w:rsid w:val="0015451A"/>
    <w:rsid w:val="001545C8"/>
    <w:rsid w:val="0015559D"/>
    <w:rsid w:val="001558AE"/>
    <w:rsid w:val="0016060F"/>
    <w:rsid w:val="001613EF"/>
    <w:rsid w:val="00161733"/>
    <w:rsid w:val="001635E5"/>
    <w:rsid w:val="00163849"/>
    <w:rsid w:val="00163CC3"/>
    <w:rsid w:val="00164238"/>
    <w:rsid w:val="00165102"/>
    <w:rsid w:val="001654F0"/>
    <w:rsid w:val="0016664C"/>
    <w:rsid w:val="00167FB1"/>
    <w:rsid w:val="00167FEE"/>
    <w:rsid w:val="00170381"/>
    <w:rsid w:val="0017079F"/>
    <w:rsid w:val="0017289C"/>
    <w:rsid w:val="00172900"/>
    <w:rsid w:val="00174445"/>
    <w:rsid w:val="0017673A"/>
    <w:rsid w:val="00177474"/>
    <w:rsid w:val="00177C67"/>
    <w:rsid w:val="00177C87"/>
    <w:rsid w:val="001806F6"/>
    <w:rsid w:val="00181FC1"/>
    <w:rsid w:val="0018510B"/>
    <w:rsid w:val="0018526E"/>
    <w:rsid w:val="00185575"/>
    <w:rsid w:val="00187045"/>
    <w:rsid w:val="00191099"/>
    <w:rsid w:val="0019289D"/>
    <w:rsid w:val="00192F34"/>
    <w:rsid w:val="00193792"/>
    <w:rsid w:val="00193EFF"/>
    <w:rsid w:val="0019435B"/>
    <w:rsid w:val="00194D30"/>
    <w:rsid w:val="001958DD"/>
    <w:rsid w:val="00196D4E"/>
    <w:rsid w:val="00197444"/>
    <w:rsid w:val="001A0DE6"/>
    <w:rsid w:val="001A21BD"/>
    <w:rsid w:val="001A270F"/>
    <w:rsid w:val="001A2C16"/>
    <w:rsid w:val="001A2FA8"/>
    <w:rsid w:val="001A34F3"/>
    <w:rsid w:val="001A36DA"/>
    <w:rsid w:val="001A5649"/>
    <w:rsid w:val="001A595E"/>
    <w:rsid w:val="001A6131"/>
    <w:rsid w:val="001A6571"/>
    <w:rsid w:val="001B10C3"/>
    <w:rsid w:val="001B171B"/>
    <w:rsid w:val="001B1735"/>
    <w:rsid w:val="001B1DD0"/>
    <w:rsid w:val="001B20B2"/>
    <w:rsid w:val="001B29CC"/>
    <w:rsid w:val="001B4B80"/>
    <w:rsid w:val="001B4C65"/>
    <w:rsid w:val="001B7218"/>
    <w:rsid w:val="001C02F0"/>
    <w:rsid w:val="001C03A0"/>
    <w:rsid w:val="001C0C4D"/>
    <w:rsid w:val="001C2E95"/>
    <w:rsid w:val="001C307B"/>
    <w:rsid w:val="001C4974"/>
    <w:rsid w:val="001C61A2"/>
    <w:rsid w:val="001C69BA"/>
    <w:rsid w:val="001C6ECA"/>
    <w:rsid w:val="001C72FA"/>
    <w:rsid w:val="001D4748"/>
    <w:rsid w:val="001D4C75"/>
    <w:rsid w:val="001D6533"/>
    <w:rsid w:val="001E06CF"/>
    <w:rsid w:val="001E15A8"/>
    <w:rsid w:val="001E2453"/>
    <w:rsid w:val="001E4AAA"/>
    <w:rsid w:val="001E4AE4"/>
    <w:rsid w:val="001E515E"/>
    <w:rsid w:val="001E58B6"/>
    <w:rsid w:val="001E5DC8"/>
    <w:rsid w:val="001E6493"/>
    <w:rsid w:val="001E7DDD"/>
    <w:rsid w:val="001F0669"/>
    <w:rsid w:val="001F234A"/>
    <w:rsid w:val="001F38D4"/>
    <w:rsid w:val="001F42BB"/>
    <w:rsid w:val="001F53C1"/>
    <w:rsid w:val="001F5A88"/>
    <w:rsid w:val="001F5DEF"/>
    <w:rsid w:val="001F6DF2"/>
    <w:rsid w:val="001F7393"/>
    <w:rsid w:val="001F79BB"/>
    <w:rsid w:val="00200F86"/>
    <w:rsid w:val="002017B9"/>
    <w:rsid w:val="00201945"/>
    <w:rsid w:val="00202A19"/>
    <w:rsid w:val="00202BDA"/>
    <w:rsid w:val="00202F4C"/>
    <w:rsid w:val="002031AC"/>
    <w:rsid w:val="002036BB"/>
    <w:rsid w:val="00203DE3"/>
    <w:rsid w:val="002044E6"/>
    <w:rsid w:val="00205182"/>
    <w:rsid w:val="0020628B"/>
    <w:rsid w:val="002072BC"/>
    <w:rsid w:val="00207386"/>
    <w:rsid w:val="002074F5"/>
    <w:rsid w:val="00210FE1"/>
    <w:rsid w:val="002120E1"/>
    <w:rsid w:val="002129B6"/>
    <w:rsid w:val="0021334F"/>
    <w:rsid w:val="00214975"/>
    <w:rsid w:val="00215C69"/>
    <w:rsid w:val="00215DBE"/>
    <w:rsid w:val="00216109"/>
    <w:rsid w:val="0021626F"/>
    <w:rsid w:val="00216884"/>
    <w:rsid w:val="00216DC3"/>
    <w:rsid w:val="0022001E"/>
    <w:rsid w:val="00222ED2"/>
    <w:rsid w:val="00231462"/>
    <w:rsid w:val="00231D79"/>
    <w:rsid w:val="002336C8"/>
    <w:rsid w:val="00234B28"/>
    <w:rsid w:val="0023506F"/>
    <w:rsid w:val="002359C2"/>
    <w:rsid w:val="0023622D"/>
    <w:rsid w:val="00236E36"/>
    <w:rsid w:val="00237BD0"/>
    <w:rsid w:val="00240634"/>
    <w:rsid w:val="0024107C"/>
    <w:rsid w:val="00241E05"/>
    <w:rsid w:val="0024219A"/>
    <w:rsid w:val="002423BA"/>
    <w:rsid w:val="002423CB"/>
    <w:rsid w:val="0024263F"/>
    <w:rsid w:val="00244391"/>
    <w:rsid w:val="0024549F"/>
    <w:rsid w:val="00246BA0"/>
    <w:rsid w:val="00246DB0"/>
    <w:rsid w:val="0025061C"/>
    <w:rsid w:val="00251781"/>
    <w:rsid w:val="00251D44"/>
    <w:rsid w:val="002529FA"/>
    <w:rsid w:val="002534AF"/>
    <w:rsid w:val="00254970"/>
    <w:rsid w:val="00254CA3"/>
    <w:rsid w:val="002550B7"/>
    <w:rsid w:val="0025637B"/>
    <w:rsid w:val="00257780"/>
    <w:rsid w:val="00260114"/>
    <w:rsid w:val="00260145"/>
    <w:rsid w:val="00260762"/>
    <w:rsid w:val="002620F9"/>
    <w:rsid w:val="00262A8A"/>
    <w:rsid w:val="002636ED"/>
    <w:rsid w:val="002643BC"/>
    <w:rsid w:val="00265372"/>
    <w:rsid w:val="00266675"/>
    <w:rsid w:val="002676D3"/>
    <w:rsid w:val="002703ED"/>
    <w:rsid w:val="00271AEB"/>
    <w:rsid w:val="00271F4A"/>
    <w:rsid w:val="002727AF"/>
    <w:rsid w:val="002729CC"/>
    <w:rsid w:val="00274249"/>
    <w:rsid w:val="0027496D"/>
    <w:rsid w:val="00274FC0"/>
    <w:rsid w:val="002750C5"/>
    <w:rsid w:val="00280335"/>
    <w:rsid w:val="002809EA"/>
    <w:rsid w:val="00280F9B"/>
    <w:rsid w:val="00280FF2"/>
    <w:rsid w:val="002851AB"/>
    <w:rsid w:val="0028755E"/>
    <w:rsid w:val="0028793E"/>
    <w:rsid w:val="0029080D"/>
    <w:rsid w:val="00293239"/>
    <w:rsid w:val="00294B66"/>
    <w:rsid w:val="00295D93"/>
    <w:rsid w:val="002967CE"/>
    <w:rsid w:val="0029715C"/>
    <w:rsid w:val="00297870"/>
    <w:rsid w:val="00297BD2"/>
    <w:rsid w:val="002A1543"/>
    <w:rsid w:val="002A2090"/>
    <w:rsid w:val="002A28BC"/>
    <w:rsid w:val="002A53D9"/>
    <w:rsid w:val="002A55EE"/>
    <w:rsid w:val="002A579E"/>
    <w:rsid w:val="002A6D15"/>
    <w:rsid w:val="002A6F07"/>
    <w:rsid w:val="002A7591"/>
    <w:rsid w:val="002A77CE"/>
    <w:rsid w:val="002B0731"/>
    <w:rsid w:val="002B0CA8"/>
    <w:rsid w:val="002B2897"/>
    <w:rsid w:val="002B2926"/>
    <w:rsid w:val="002B2B25"/>
    <w:rsid w:val="002B30A2"/>
    <w:rsid w:val="002B3F90"/>
    <w:rsid w:val="002B44F1"/>
    <w:rsid w:val="002B52F8"/>
    <w:rsid w:val="002B6821"/>
    <w:rsid w:val="002B6ECE"/>
    <w:rsid w:val="002B714F"/>
    <w:rsid w:val="002B734E"/>
    <w:rsid w:val="002B7816"/>
    <w:rsid w:val="002B786A"/>
    <w:rsid w:val="002C0B6F"/>
    <w:rsid w:val="002C2532"/>
    <w:rsid w:val="002C2AEA"/>
    <w:rsid w:val="002C4AD6"/>
    <w:rsid w:val="002C56B6"/>
    <w:rsid w:val="002C7022"/>
    <w:rsid w:val="002D0011"/>
    <w:rsid w:val="002D11A8"/>
    <w:rsid w:val="002D2EE9"/>
    <w:rsid w:val="002D48EA"/>
    <w:rsid w:val="002D4F11"/>
    <w:rsid w:val="002D4F1B"/>
    <w:rsid w:val="002D6F0D"/>
    <w:rsid w:val="002E012F"/>
    <w:rsid w:val="002E09C5"/>
    <w:rsid w:val="002E1038"/>
    <w:rsid w:val="002E328B"/>
    <w:rsid w:val="002E3298"/>
    <w:rsid w:val="002E388D"/>
    <w:rsid w:val="002E44F9"/>
    <w:rsid w:val="002E4893"/>
    <w:rsid w:val="002E5582"/>
    <w:rsid w:val="002E7902"/>
    <w:rsid w:val="002F0CE1"/>
    <w:rsid w:val="002F2280"/>
    <w:rsid w:val="002F3C57"/>
    <w:rsid w:val="002F3CFF"/>
    <w:rsid w:val="002F6A84"/>
    <w:rsid w:val="002F6D23"/>
    <w:rsid w:val="002F6D24"/>
    <w:rsid w:val="002F730B"/>
    <w:rsid w:val="002F7356"/>
    <w:rsid w:val="00300093"/>
    <w:rsid w:val="00301C79"/>
    <w:rsid w:val="00302829"/>
    <w:rsid w:val="00303140"/>
    <w:rsid w:val="00304552"/>
    <w:rsid w:val="003075BC"/>
    <w:rsid w:val="00307E17"/>
    <w:rsid w:val="00310C5D"/>
    <w:rsid w:val="003122EF"/>
    <w:rsid w:val="00312701"/>
    <w:rsid w:val="0031296D"/>
    <w:rsid w:val="003131A7"/>
    <w:rsid w:val="00313681"/>
    <w:rsid w:val="003144CC"/>
    <w:rsid w:val="00314A71"/>
    <w:rsid w:val="0031591B"/>
    <w:rsid w:val="00315AD1"/>
    <w:rsid w:val="00315D49"/>
    <w:rsid w:val="00315DA7"/>
    <w:rsid w:val="00316889"/>
    <w:rsid w:val="00316DDA"/>
    <w:rsid w:val="00317403"/>
    <w:rsid w:val="003175B3"/>
    <w:rsid w:val="0032020F"/>
    <w:rsid w:val="00321A5A"/>
    <w:rsid w:val="00321CAC"/>
    <w:rsid w:val="0032253D"/>
    <w:rsid w:val="003227F3"/>
    <w:rsid w:val="00322EC6"/>
    <w:rsid w:val="003246F0"/>
    <w:rsid w:val="00326FBF"/>
    <w:rsid w:val="00327196"/>
    <w:rsid w:val="003300C6"/>
    <w:rsid w:val="003300EE"/>
    <w:rsid w:val="00330F69"/>
    <w:rsid w:val="00330FC4"/>
    <w:rsid w:val="00332029"/>
    <w:rsid w:val="00332CB6"/>
    <w:rsid w:val="0033324C"/>
    <w:rsid w:val="00333EDF"/>
    <w:rsid w:val="00333F85"/>
    <w:rsid w:val="00335228"/>
    <w:rsid w:val="00337B54"/>
    <w:rsid w:val="003402A3"/>
    <w:rsid w:val="0034163C"/>
    <w:rsid w:val="00341744"/>
    <w:rsid w:val="00342B50"/>
    <w:rsid w:val="00344695"/>
    <w:rsid w:val="0034602B"/>
    <w:rsid w:val="00346B52"/>
    <w:rsid w:val="00346F88"/>
    <w:rsid w:val="0034760B"/>
    <w:rsid w:val="00350287"/>
    <w:rsid w:val="00350E55"/>
    <w:rsid w:val="003522B6"/>
    <w:rsid w:val="003527D5"/>
    <w:rsid w:val="0035426D"/>
    <w:rsid w:val="00355421"/>
    <w:rsid w:val="00355575"/>
    <w:rsid w:val="00355919"/>
    <w:rsid w:val="0036121F"/>
    <w:rsid w:val="00361E03"/>
    <w:rsid w:val="0036311E"/>
    <w:rsid w:val="00363398"/>
    <w:rsid w:val="00363BD8"/>
    <w:rsid w:val="0036414E"/>
    <w:rsid w:val="00364357"/>
    <w:rsid w:val="00364D95"/>
    <w:rsid w:val="003651A1"/>
    <w:rsid w:val="00367A3C"/>
    <w:rsid w:val="00370B3A"/>
    <w:rsid w:val="00371EB7"/>
    <w:rsid w:val="00372E46"/>
    <w:rsid w:val="00373715"/>
    <w:rsid w:val="003738E0"/>
    <w:rsid w:val="00373FF0"/>
    <w:rsid w:val="00376876"/>
    <w:rsid w:val="00376D22"/>
    <w:rsid w:val="00380CEE"/>
    <w:rsid w:val="003811B1"/>
    <w:rsid w:val="00381291"/>
    <w:rsid w:val="0038312F"/>
    <w:rsid w:val="00385DCE"/>
    <w:rsid w:val="003860F9"/>
    <w:rsid w:val="00386D91"/>
    <w:rsid w:val="003907D8"/>
    <w:rsid w:val="003916D5"/>
    <w:rsid w:val="00391C01"/>
    <w:rsid w:val="003923AD"/>
    <w:rsid w:val="003923F2"/>
    <w:rsid w:val="00392B57"/>
    <w:rsid w:val="00392F42"/>
    <w:rsid w:val="00393AA2"/>
    <w:rsid w:val="00394630"/>
    <w:rsid w:val="00394D48"/>
    <w:rsid w:val="00396929"/>
    <w:rsid w:val="003973EB"/>
    <w:rsid w:val="003A02E6"/>
    <w:rsid w:val="003A14BA"/>
    <w:rsid w:val="003A269D"/>
    <w:rsid w:val="003A32A6"/>
    <w:rsid w:val="003A3BD8"/>
    <w:rsid w:val="003A5AB8"/>
    <w:rsid w:val="003A6A7E"/>
    <w:rsid w:val="003A7848"/>
    <w:rsid w:val="003B048B"/>
    <w:rsid w:val="003B0C18"/>
    <w:rsid w:val="003B11EF"/>
    <w:rsid w:val="003B292A"/>
    <w:rsid w:val="003B33D3"/>
    <w:rsid w:val="003B354E"/>
    <w:rsid w:val="003B479D"/>
    <w:rsid w:val="003B4F70"/>
    <w:rsid w:val="003B5662"/>
    <w:rsid w:val="003B64B3"/>
    <w:rsid w:val="003B65AD"/>
    <w:rsid w:val="003B7324"/>
    <w:rsid w:val="003C0E37"/>
    <w:rsid w:val="003C2638"/>
    <w:rsid w:val="003C28BC"/>
    <w:rsid w:val="003C295E"/>
    <w:rsid w:val="003C2F08"/>
    <w:rsid w:val="003C41D6"/>
    <w:rsid w:val="003C6641"/>
    <w:rsid w:val="003C670C"/>
    <w:rsid w:val="003C7F00"/>
    <w:rsid w:val="003D0087"/>
    <w:rsid w:val="003D09DE"/>
    <w:rsid w:val="003D0B41"/>
    <w:rsid w:val="003D1AAB"/>
    <w:rsid w:val="003D2186"/>
    <w:rsid w:val="003D2578"/>
    <w:rsid w:val="003D3B95"/>
    <w:rsid w:val="003D432F"/>
    <w:rsid w:val="003D49DA"/>
    <w:rsid w:val="003D7AF8"/>
    <w:rsid w:val="003E11F7"/>
    <w:rsid w:val="003E1ABC"/>
    <w:rsid w:val="003E1E85"/>
    <w:rsid w:val="003E2AFC"/>
    <w:rsid w:val="003E62A0"/>
    <w:rsid w:val="003E66DA"/>
    <w:rsid w:val="003E6FAF"/>
    <w:rsid w:val="003E7F04"/>
    <w:rsid w:val="003F11A1"/>
    <w:rsid w:val="003F29E2"/>
    <w:rsid w:val="003F3ABF"/>
    <w:rsid w:val="003F4853"/>
    <w:rsid w:val="003F627E"/>
    <w:rsid w:val="003F6F00"/>
    <w:rsid w:val="003F712C"/>
    <w:rsid w:val="003F7914"/>
    <w:rsid w:val="0040028F"/>
    <w:rsid w:val="00400DF0"/>
    <w:rsid w:val="004022A8"/>
    <w:rsid w:val="00402938"/>
    <w:rsid w:val="00403039"/>
    <w:rsid w:val="00403459"/>
    <w:rsid w:val="00403DCD"/>
    <w:rsid w:val="00404527"/>
    <w:rsid w:val="00405661"/>
    <w:rsid w:val="0041062C"/>
    <w:rsid w:val="00412167"/>
    <w:rsid w:val="00413292"/>
    <w:rsid w:val="00413A45"/>
    <w:rsid w:val="00414E18"/>
    <w:rsid w:val="00415640"/>
    <w:rsid w:val="0041639C"/>
    <w:rsid w:val="0041790C"/>
    <w:rsid w:val="004200AE"/>
    <w:rsid w:val="00420D27"/>
    <w:rsid w:val="00420D3F"/>
    <w:rsid w:val="00422AA7"/>
    <w:rsid w:val="00423160"/>
    <w:rsid w:val="0042658F"/>
    <w:rsid w:val="004319B3"/>
    <w:rsid w:val="00431AE3"/>
    <w:rsid w:val="00431FA8"/>
    <w:rsid w:val="00432113"/>
    <w:rsid w:val="00432558"/>
    <w:rsid w:val="004330CF"/>
    <w:rsid w:val="004338B4"/>
    <w:rsid w:val="00434342"/>
    <w:rsid w:val="00434B59"/>
    <w:rsid w:val="00435E75"/>
    <w:rsid w:val="00435E85"/>
    <w:rsid w:val="004360CF"/>
    <w:rsid w:val="00436C40"/>
    <w:rsid w:val="004370BE"/>
    <w:rsid w:val="00437902"/>
    <w:rsid w:val="004407C9"/>
    <w:rsid w:val="004431F0"/>
    <w:rsid w:val="00445032"/>
    <w:rsid w:val="00445B0F"/>
    <w:rsid w:val="00445E84"/>
    <w:rsid w:val="004476A3"/>
    <w:rsid w:val="00447BA7"/>
    <w:rsid w:val="00450051"/>
    <w:rsid w:val="00451265"/>
    <w:rsid w:val="00455127"/>
    <w:rsid w:val="004557B0"/>
    <w:rsid w:val="00455A4C"/>
    <w:rsid w:val="00455F42"/>
    <w:rsid w:val="00457270"/>
    <w:rsid w:val="00457C4C"/>
    <w:rsid w:val="00457CBA"/>
    <w:rsid w:val="00460537"/>
    <w:rsid w:val="00460D06"/>
    <w:rsid w:val="00461AD8"/>
    <w:rsid w:val="00462DBE"/>
    <w:rsid w:val="00463521"/>
    <w:rsid w:val="00463A34"/>
    <w:rsid w:val="00464241"/>
    <w:rsid w:val="0046435B"/>
    <w:rsid w:val="004659E9"/>
    <w:rsid w:val="00465CF4"/>
    <w:rsid w:val="004665B0"/>
    <w:rsid w:val="00466DCF"/>
    <w:rsid w:val="00467156"/>
    <w:rsid w:val="00471D99"/>
    <w:rsid w:val="004729F1"/>
    <w:rsid w:val="00474567"/>
    <w:rsid w:val="0047750B"/>
    <w:rsid w:val="00477ED7"/>
    <w:rsid w:val="0048034B"/>
    <w:rsid w:val="00480529"/>
    <w:rsid w:val="0048064D"/>
    <w:rsid w:val="00482AB7"/>
    <w:rsid w:val="0048314A"/>
    <w:rsid w:val="004831D4"/>
    <w:rsid w:val="004836E9"/>
    <w:rsid w:val="00483F3B"/>
    <w:rsid w:val="00484139"/>
    <w:rsid w:val="004869DA"/>
    <w:rsid w:val="00486CB9"/>
    <w:rsid w:val="0048741E"/>
    <w:rsid w:val="00487AE0"/>
    <w:rsid w:val="00490BAA"/>
    <w:rsid w:val="00490F36"/>
    <w:rsid w:val="0049113E"/>
    <w:rsid w:val="00491E79"/>
    <w:rsid w:val="00492616"/>
    <w:rsid w:val="0049328A"/>
    <w:rsid w:val="00493B3A"/>
    <w:rsid w:val="00494396"/>
    <w:rsid w:val="0049451B"/>
    <w:rsid w:val="0049666F"/>
    <w:rsid w:val="00496832"/>
    <w:rsid w:val="0049705E"/>
    <w:rsid w:val="004A08CB"/>
    <w:rsid w:val="004A1847"/>
    <w:rsid w:val="004A269A"/>
    <w:rsid w:val="004A2FE4"/>
    <w:rsid w:val="004A410E"/>
    <w:rsid w:val="004A46ED"/>
    <w:rsid w:val="004A4B3D"/>
    <w:rsid w:val="004A5A5E"/>
    <w:rsid w:val="004A6D61"/>
    <w:rsid w:val="004A6F5E"/>
    <w:rsid w:val="004B0037"/>
    <w:rsid w:val="004B00B6"/>
    <w:rsid w:val="004B06C5"/>
    <w:rsid w:val="004B0BB6"/>
    <w:rsid w:val="004B1A70"/>
    <w:rsid w:val="004B30A1"/>
    <w:rsid w:val="004B4269"/>
    <w:rsid w:val="004B4397"/>
    <w:rsid w:val="004B4821"/>
    <w:rsid w:val="004B4A5A"/>
    <w:rsid w:val="004B4F5E"/>
    <w:rsid w:val="004B5DD8"/>
    <w:rsid w:val="004C05DE"/>
    <w:rsid w:val="004C2C28"/>
    <w:rsid w:val="004C2DA4"/>
    <w:rsid w:val="004C42FC"/>
    <w:rsid w:val="004C4E6B"/>
    <w:rsid w:val="004C604D"/>
    <w:rsid w:val="004C6750"/>
    <w:rsid w:val="004C6933"/>
    <w:rsid w:val="004D109B"/>
    <w:rsid w:val="004D1906"/>
    <w:rsid w:val="004D28D7"/>
    <w:rsid w:val="004D3FCB"/>
    <w:rsid w:val="004D491F"/>
    <w:rsid w:val="004D55AB"/>
    <w:rsid w:val="004E0C2F"/>
    <w:rsid w:val="004E37E8"/>
    <w:rsid w:val="004E4B68"/>
    <w:rsid w:val="004E4E93"/>
    <w:rsid w:val="004E5E4E"/>
    <w:rsid w:val="004E620A"/>
    <w:rsid w:val="004E6A45"/>
    <w:rsid w:val="004E7FE4"/>
    <w:rsid w:val="004F0339"/>
    <w:rsid w:val="004F0682"/>
    <w:rsid w:val="004F1301"/>
    <w:rsid w:val="004F1D08"/>
    <w:rsid w:val="004F3A35"/>
    <w:rsid w:val="004F5C2C"/>
    <w:rsid w:val="00500858"/>
    <w:rsid w:val="0050114D"/>
    <w:rsid w:val="0050272A"/>
    <w:rsid w:val="00502F8F"/>
    <w:rsid w:val="00502FC9"/>
    <w:rsid w:val="00503DB5"/>
    <w:rsid w:val="005045FA"/>
    <w:rsid w:val="0050511E"/>
    <w:rsid w:val="00506C10"/>
    <w:rsid w:val="00507FA7"/>
    <w:rsid w:val="005103A3"/>
    <w:rsid w:val="0051166B"/>
    <w:rsid w:val="005124C9"/>
    <w:rsid w:val="00514135"/>
    <w:rsid w:val="005141E7"/>
    <w:rsid w:val="0051488C"/>
    <w:rsid w:val="00514911"/>
    <w:rsid w:val="00516929"/>
    <w:rsid w:val="005212C2"/>
    <w:rsid w:val="0052188B"/>
    <w:rsid w:val="00522A0A"/>
    <w:rsid w:val="00522C34"/>
    <w:rsid w:val="00522EF9"/>
    <w:rsid w:val="005233EC"/>
    <w:rsid w:val="00525618"/>
    <w:rsid w:val="0052672A"/>
    <w:rsid w:val="00526D2E"/>
    <w:rsid w:val="00526DFA"/>
    <w:rsid w:val="00527A4A"/>
    <w:rsid w:val="00527DDF"/>
    <w:rsid w:val="0053038A"/>
    <w:rsid w:val="00535637"/>
    <w:rsid w:val="00535A0F"/>
    <w:rsid w:val="00535B44"/>
    <w:rsid w:val="0053718F"/>
    <w:rsid w:val="00537E88"/>
    <w:rsid w:val="00540529"/>
    <w:rsid w:val="00540AF3"/>
    <w:rsid w:val="00540C38"/>
    <w:rsid w:val="00540DC7"/>
    <w:rsid w:val="0054273F"/>
    <w:rsid w:val="00542838"/>
    <w:rsid w:val="00542B66"/>
    <w:rsid w:val="00542CD8"/>
    <w:rsid w:val="005442B4"/>
    <w:rsid w:val="00544E0E"/>
    <w:rsid w:val="00545A73"/>
    <w:rsid w:val="0054687C"/>
    <w:rsid w:val="00546C81"/>
    <w:rsid w:val="00547617"/>
    <w:rsid w:val="00547B44"/>
    <w:rsid w:val="00550AED"/>
    <w:rsid w:val="0055174B"/>
    <w:rsid w:val="00551C94"/>
    <w:rsid w:val="00551D4E"/>
    <w:rsid w:val="00552368"/>
    <w:rsid w:val="00552613"/>
    <w:rsid w:val="0055304C"/>
    <w:rsid w:val="00553A6F"/>
    <w:rsid w:val="00553CAF"/>
    <w:rsid w:val="00554E32"/>
    <w:rsid w:val="00555257"/>
    <w:rsid w:val="00556240"/>
    <w:rsid w:val="00557273"/>
    <w:rsid w:val="00557A58"/>
    <w:rsid w:val="00560152"/>
    <w:rsid w:val="00560159"/>
    <w:rsid w:val="0056189B"/>
    <w:rsid w:val="00561A73"/>
    <w:rsid w:val="00561BDA"/>
    <w:rsid w:val="0056294C"/>
    <w:rsid w:val="00562C46"/>
    <w:rsid w:val="00562C92"/>
    <w:rsid w:val="00564163"/>
    <w:rsid w:val="0056450E"/>
    <w:rsid w:val="00565FEA"/>
    <w:rsid w:val="005663D3"/>
    <w:rsid w:val="00570379"/>
    <w:rsid w:val="005717CE"/>
    <w:rsid w:val="0057287D"/>
    <w:rsid w:val="00572B1F"/>
    <w:rsid w:val="00572E9F"/>
    <w:rsid w:val="00574341"/>
    <w:rsid w:val="00576E2E"/>
    <w:rsid w:val="00580F0F"/>
    <w:rsid w:val="005823D5"/>
    <w:rsid w:val="00583129"/>
    <w:rsid w:val="00583D32"/>
    <w:rsid w:val="00584A71"/>
    <w:rsid w:val="00585410"/>
    <w:rsid w:val="00586850"/>
    <w:rsid w:val="00586C9C"/>
    <w:rsid w:val="005876CD"/>
    <w:rsid w:val="00587893"/>
    <w:rsid w:val="005903DF"/>
    <w:rsid w:val="005911FF"/>
    <w:rsid w:val="00591729"/>
    <w:rsid w:val="00592125"/>
    <w:rsid w:val="0059306D"/>
    <w:rsid w:val="00594170"/>
    <w:rsid w:val="0059714A"/>
    <w:rsid w:val="005A02AA"/>
    <w:rsid w:val="005A0DF1"/>
    <w:rsid w:val="005A0E27"/>
    <w:rsid w:val="005A2866"/>
    <w:rsid w:val="005A3B30"/>
    <w:rsid w:val="005A5D99"/>
    <w:rsid w:val="005A6256"/>
    <w:rsid w:val="005B0624"/>
    <w:rsid w:val="005B0A01"/>
    <w:rsid w:val="005B164A"/>
    <w:rsid w:val="005B1D43"/>
    <w:rsid w:val="005B4374"/>
    <w:rsid w:val="005B450D"/>
    <w:rsid w:val="005B4A59"/>
    <w:rsid w:val="005B6653"/>
    <w:rsid w:val="005B6E85"/>
    <w:rsid w:val="005C0CBD"/>
    <w:rsid w:val="005C0EB4"/>
    <w:rsid w:val="005C47D7"/>
    <w:rsid w:val="005C5A83"/>
    <w:rsid w:val="005C5F85"/>
    <w:rsid w:val="005C62E1"/>
    <w:rsid w:val="005C6362"/>
    <w:rsid w:val="005D0889"/>
    <w:rsid w:val="005D1471"/>
    <w:rsid w:val="005D32CB"/>
    <w:rsid w:val="005D3A0A"/>
    <w:rsid w:val="005D407B"/>
    <w:rsid w:val="005D4FD4"/>
    <w:rsid w:val="005D510B"/>
    <w:rsid w:val="005D66A4"/>
    <w:rsid w:val="005D6839"/>
    <w:rsid w:val="005D7308"/>
    <w:rsid w:val="005D7772"/>
    <w:rsid w:val="005D7AD2"/>
    <w:rsid w:val="005E09A4"/>
    <w:rsid w:val="005E0D31"/>
    <w:rsid w:val="005E112B"/>
    <w:rsid w:val="005E1155"/>
    <w:rsid w:val="005E1A95"/>
    <w:rsid w:val="005E2541"/>
    <w:rsid w:val="005E493F"/>
    <w:rsid w:val="005E5733"/>
    <w:rsid w:val="005E5EEB"/>
    <w:rsid w:val="005E6359"/>
    <w:rsid w:val="005F1E2E"/>
    <w:rsid w:val="005F42B8"/>
    <w:rsid w:val="005F497E"/>
    <w:rsid w:val="005F5B7C"/>
    <w:rsid w:val="005F70EF"/>
    <w:rsid w:val="005F790E"/>
    <w:rsid w:val="00604CAF"/>
    <w:rsid w:val="00604FBB"/>
    <w:rsid w:val="006054A1"/>
    <w:rsid w:val="00606B14"/>
    <w:rsid w:val="006075FA"/>
    <w:rsid w:val="00607D74"/>
    <w:rsid w:val="00611499"/>
    <w:rsid w:val="006119BC"/>
    <w:rsid w:val="006137BB"/>
    <w:rsid w:val="0061401E"/>
    <w:rsid w:val="00614A60"/>
    <w:rsid w:val="00614DC0"/>
    <w:rsid w:val="00616599"/>
    <w:rsid w:val="00622D1A"/>
    <w:rsid w:val="006243C6"/>
    <w:rsid w:val="00625A03"/>
    <w:rsid w:val="00631FD9"/>
    <w:rsid w:val="00632515"/>
    <w:rsid w:val="00634604"/>
    <w:rsid w:val="00634B10"/>
    <w:rsid w:val="00634E06"/>
    <w:rsid w:val="00636410"/>
    <w:rsid w:val="0063669D"/>
    <w:rsid w:val="006378AA"/>
    <w:rsid w:val="00640A83"/>
    <w:rsid w:val="00642B96"/>
    <w:rsid w:val="00650666"/>
    <w:rsid w:val="006510C8"/>
    <w:rsid w:val="0065187A"/>
    <w:rsid w:val="006523B5"/>
    <w:rsid w:val="006546DE"/>
    <w:rsid w:val="00654941"/>
    <w:rsid w:val="00654B97"/>
    <w:rsid w:val="00654D52"/>
    <w:rsid w:val="00655A60"/>
    <w:rsid w:val="006568EE"/>
    <w:rsid w:val="00656A01"/>
    <w:rsid w:val="00660B13"/>
    <w:rsid w:val="00663042"/>
    <w:rsid w:val="006630F1"/>
    <w:rsid w:val="00663D22"/>
    <w:rsid w:val="00667779"/>
    <w:rsid w:val="006702F1"/>
    <w:rsid w:val="0067206D"/>
    <w:rsid w:val="006747BA"/>
    <w:rsid w:val="00674AF9"/>
    <w:rsid w:val="00674D35"/>
    <w:rsid w:val="00677729"/>
    <w:rsid w:val="006817F1"/>
    <w:rsid w:val="0068188C"/>
    <w:rsid w:val="0068206D"/>
    <w:rsid w:val="00682F1A"/>
    <w:rsid w:val="0068412C"/>
    <w:rsid w:val="00685341"/>
    <w:rsid w:val="006853DD"/>
    <w:rsid w:val="00686C09"/>
    <w:rsid w:val="00690CCA"/>
    <w:rsid w:val="0069204B"/>
    <w:rsid w:val="006935F9"/>
    <w:rsid w:val="0069388A"/>
    <w:rsid w:val="0069491D"/>
    <w:rsid w:val="00694D83"/>
    <w:rsid w:val="00695F4E"/>
    <w:rsid w:val="006961D9"/>
    <w:rsid w:val="0069692C"/>
    <w:rsid w:val="00696A54"/>
    <w:rsid w:val="00696E64"/>
    <w:rsid w:val="00697FD0"/>
    <w:rsid w:val="006A2EF2"/>
    <w:rsid w:val="006A373F"/>
    <w:rsid w:val="006A3B02"/>
    <w:rsid w:val="006A436E"/>
    <w:rsid w:val="006A4849"/>
    <w:rsid w:val="006A4F7D"/>
    <w:rsid w:val="006A538A"/>
    <w:rsid w:val="006A55CC"/>
    <w:rsid w:val="006A560B"/>
    <w:rsid w:val="006A6A95"/>
    <w:rsid w:val="006A6B7A"/>
    <w:rsid w:val="006A7DFA"/>
    <w:rsid w:val="006B0B38"/>
    <w:rsid w:val="006B21C3"/>
    <w:rsid w:val="006B27E2"/>
    <w:rsid w:val="006B3B2B"/>
    <w:rsid w:val="006B3BDC"/>
    <w:rsid w:val="006B4368"/>
    <w:rsid w:val="006B43FC"/>
    <w:rsid w:val="006B4813"/>
    <w:rsid w:val="006B6676"/>
    <w:rsid w:val="006B6C87"/>
    <w:rsid w:val="006B70BA"/>
    <w:rsid w:val="006B725B"/>
    <w:rsid w:val="006B7277"/>
    <w:rsid w:val="006C05B5"/>
    <w:rsid w:val="006C06A9"/>
    <w:rsid w:val="006C3E08"/>
    <w:rsid w:val="006C4AE5"/>
    <w:rsid w:val="006C4F1A"/>
    <w:rsid w:val="006C549B"/>
    <w:rsid w:val="006C5E5F"/>
    <w:rsid w:val="006C68B2"/>
    <w:rsid w:val="006C7FC6"/>
    <w:rsid w:val="006D194E"/>
    <w:rsid w:val="006D4DD8"/>
    <w:rsid w:val="006D50DD"/>
    <w:rsid w:val="006D58C2"/>
    <w:rsid w:val="006E0D33"/>
    <w:rsid w:val="006E2549"/>
    <w:rsid w:val="006E2F83"/>
    <w:rsid w:val="006E39F3"/>
    <w:rsid w:val="006E3EFB"/>
    <w:rsid w:val="006E5F04"/>
    <w:rsid w:val="006E73DC"/>
    <w:rsid w:val="006E7D98"/>
    <w:rsid w:val="006F04EB"/>
    <w:rsid w:val="006F0AA0"/>
    <w:rsid w:val="006F1ACB"/>
    <w:rsid w:val="006F2538"/>
    <w:rsid w:val="006F2B56"/>
    <w:rsid w:val="006F2FC8"/>
    <w:rsid w:val="006F31E8"/>
    <w:rsid w:val="006F5087"/>
    <w:rsid w:val="006F6F3F"/>
    <w:rsid w:val="006F7328"/>
    <w:rsid w:val="00700324"/>
    <w:rsid w:val="007012A9"/>
    <w:rsid w:val="007014F1"/>
    <w:rsid w:val="007024A2"/>
    <w:rsid w:val="00702772"/>
    <w:rsid w:val="0070426D"/>
    <w:rsid w:val="00705D2D"/>
    <w:rsid w:val="007064A7"/>
    <w:rsid w:val="0070720E"/>
    <w:rsid w:val="00707412"/>
    <w:rsid w:val="00710F3D"/>
    <w:rsid w:val="00712B66"/>
    <w:rsid w:val="00713408"/>
    <w:rsid w:val="00715C26"/>
    <w:rsid w:val="00716D76"/>
    <w:rsid w:val="00717455"/>
    <w:rsid w:val="00720B31"/>
    <w:rsid w:val="00721336"/>
    <w:rsid w:val="00721CDD"/>
    <w:rsid w:val="007227A4"/>
    <w:rsid w:val="00724AAB"/>
    <w:rsid w:val="00724C39"/>
    <w:rsid w:val="00725470"/>
    <w:rsid w:val="00725585"/>
    <w:rsid w:val="007260D5"/>
    <w:rsid w:val="00726325"/>
    <w:rsid w:val="00727380"/>
    <w:rsid w:val="00727510"/>
    <w:rsid w:val="00727CED"/>
    <w:rsid w:val="0073085D"/>
    <w:rsid w:val="00731235"/>
    <w:rsid w:val="007316F6"/>
    <w:rsid w:val="00733DA2"/>
    <w:rsid w:val="00735B7B"/>
    <w:rsid w:val="00736E62"/>
    <w:rsid w:val="00737C32"/>
    <w:rsid w:val="007430BF"/>
    <w:rsid w:val="00743ADF"/>
    <w:rsid w:val="00743B7C"/>
    <w:rsid w:val="007443CD"/>
    <w:rsid w:val="007462FA"/>
    <w:rsid w:val="00750AD2"/>
    <w:rsid w:val="00751713"/>
    <w:rsid w:val="00751958"/>
    <w:rsid w:val="0075240E"/>
    <w:rsid w:val="00754146"/>
    <w:rsid w:val="00754971"/>
    <w:rsid w:val="00754B77"/>
    <w:rsid w:val="00755BFA"/>
    <w:rsid w:val="007562D4"/>
    <w:rsid w:val="00757D93"/>
    <w:rsid w:val="00760945"/>
    <w:rsid w:val="00760C67"/>
    <w:rsid w:val="007611B5"/>
    <w:rsid w:val="0076156A"/>
    <w:rsid w:val="00761ACE"/>
    <w:rsid w:val="00762073"/>
    <w:rsid w:val="00765D05"/>
    <w:rsid w:val="00766BC9"/>
    <w:rsid w:val="007734F2"/>
    <w:rsid w:val="00774970"/>
    <w:rsid w:val="00775447"/>
    <w:rsid w:val="00775E7A"/>
    <w:rsid w:val="00777A27"/>
    <w:rsid w:val="007807AA"/>
    <w:rsid w:val="00780A9D"/>
    <w:rsid w:val="00781F3F"/>
    <w:rsid w:val="00782DE0"/>
    <w:rsid w:val="00785288"/>
    <w:rsid w:val="007853E3"/>
    <w:rsid w:val="00785455"/>
    <w:rsid w:val="007858B7"/>
    <w:rsid w:val="00787069"/>
    <w:rsid w:val="0079017F"/>
    <w:rsid w:val="007935F3"/>
    <w:rsid w:val="0079415B"/>
    <w:rsid w:val="0079593C"/>
    <w:rsid w:val="00795F77"/>
    <w:rsid w:val="00796636"/>
    <w:rsid w:val="007A001B"/>
    <w:rsid w:val="007A087E"/>
    <w:rsid w:val="007A18B5"/>
    <w:rsid w:val="007A2196"/>
    <w:rsid w:val="007A3164"/>
    <w:rsid w:val="007A331D"/>
    <w:rsid w:val="007A683D"/>
    <w:rsid w:val="007A6B50"/>
    <w:rsid w:val="007A6B90"/>
    <w:rsid w:val="007A7550"/>
    <w:rsid w:val="007A7C43"/>
    <w:rsid w:val="007B0082"/>
    <w:rsid w:val="007B008A"/>
    <w:rsid w:val="007B05D3"/>
    <w:rsid w:val="007B139F"/>
    <w:rsid w:val="007B1597"/>
    <w:rsid w:val="007B1670"/>
    <w:rsid w:val="007B315E"/>
    <w:rsid w:val="007B3700"/>
    <w:rsid w:val="007B5EE1"/>
    <w:rsid w:val="007B6746"/>
    <w:rsid w:val="007B6747"/>
    <w:rsid w:val="007B6BA0"/>
    <w:rsid w:val="007C0A9E"/>
    <w:rsid w:val="007C17CE"/>
    <w:rsid w:val="007C5953"/>
    <w:rsid w:val="007C68D3"/>
    <w:rsid w:val="007C6B48"/>
    <w:rsid w:val="007C6CD1"/>
    <w:rsid w:val="007C73DD"/>
    <w:rsid w:val="007C7A93"/>
    <w:rsid w:val="007D1567"/>
    <w:rsid w:val="007D16FC"/>
    <w:rsid w:val="007D358D"/>
    <w:rsid w:val="007D58AE"/>
    <w:rsid w:val="007D590D"/>
    <w:rsid w:val="007D5A1B"/>
    <w:rsid w:val="007D629B"/>
    <w:rsid w:val="007D7A3C"/>
    <w:rsid w:val="007D7C0B"/>
    <w:rsid w:val="007E11AD"/>
    <w:rsid w:val="007E1B4C"/>
    <w:rsid w:val="007E24F6"/>
    <w:rsid w:val="007E2E12"/>
    <w:rsid w:val="007E4C84"/>
    <w:rsid w:val="007E5ADF"/>
    <w:rsid w:val="007E7A88"/>
    <w:rsid w:val="007F261C"/>
    <w:rsid w:val="007F3C11"/>
    <w:rsid w:val="007F5172"/>
    <w:rsid w:val="007F57C4"/>
    <w:rsid w:val="008006AE"/>
    <w:rsid w:val="008013EC"/>
    <w:rsid w:val="00801456"/>
    <w:rsid w:val="008078FD"/>
    <w:rsid w:val="00807ADB"/>
    <w:rsid w:val="00807E87"/>
    <w:rsid w:val="008118C8"/>
    <w:rsid w:val="008120D6"/>
    <w:rsid w:val="008124ED"/>
    <w:rsid w:val="00812590"/>
    <w:rsid w:val="00812D50"/>
    <w:rsid w:val="008135A3"/>
    <w:rsid w:val="00813E55"/>
    <w:rsid w:val="008143D3"/>
    <w:rsid w:val="00814FCC"/>
    <w:rsid w:val="00814FE7"/>
    <w:rsid w:val="008158BF"/>
    <w:rsid w:val="00817AAE"/>
    <w:rsid w:val="00820058"/>
    <w:rsid w:val="0082676F"/>
    <w:rsid w:val="00827C4C"/>
    <w:rsid w:val="00827FA3"/>
    <w:rsid w:val="00830EB8"/>
    <w:rsid w:val="00832321"/>
    <w:rsid w:val="00832E62"/>
    <w:rsid w:val="00834818"/>
    <w:rsid w:val="00834E15"/>
    <w:rsid w:val="00835645"/>
    <w:rsid w:val="0083578A"/>
    <w:rsid w:val="00835B15"/>
    <w:rsid w:val="00835CE5"/>
    <w:rsid w:val="00835F45"/>
    <w:rsid w:val="008362D0"/>
    <w:rsid w:val="00840853"/>
    <w:rsid w:val="0084180C"/>
    <w:rsid w:val="00841B11"/>
    <w:rsid w:val="00842476"/>
    <w:rsid w:val="00842B97"/>
    <w:rsid w:val="0084680B"/>
    <w:rsid w:val="00847C7A"/>
    <w:rsid w:val="00847FA1"/>
    <w:rsid w:val="008507CE"/>
    <w:rsid w:val="00850DC2"/>
    <w:rsid w:val="008511DA"/>
    <w:rsid w:val="00851B06"/>
    <w:rsid w:val="00851CC6"/>
    <w:rsid w:val="008520DE"/>
    <w:rsid w:val="0085441C"/>
    <w:rsid w:val="00855012"/>
    <w:rsid w:val="00855F94"/>
    <w:rsid w:val="0085600B"/>
    <w:rsid w:val="00856454"/>
    <w:rsid w:val="0085663A"/>
    <w:rsid w:val="00857B4F"/>
    <w:rsid w:val="00861CCF"/>
    <w:rsid w:val="00862A83"/>
    <w:rsid w:val="00863FD7"/>
    <w:rsid w:val="0086464F"/>
    <w:rsid w:val="00864809"/>
    <w:rsid w:val="00864AC0"/>
    <w:rsid w:val="00864FFA"/>
    <w:rsid w:val="008657B2"/>
    <w:rsid w:val="0086605D"/>
    <w:rsid w:val="00866177"/>
    <w:rsid w:val="008661EE"/>
    <w:rsid w:val="008662AA"/>
    <w:rsid w:val="008662FD"/>
    <w:rsid w:val="00866FFB"/>
    <w:rsid w:val="008670EA"/>
    <w:rsid w:val="00867F02"/>
    <w:rsid w:val="00871D95"/>
    <w:rsid w:val="00871FDE"/>
    <w:rsid w:val="00872CFC"/>
    <w:rsid w:val="00873B65"/>
    <w:rsid w:val="00874292"/>
    <w:rsid w:val="008743FF"/>
    <w:rsid w:val="00881952"/>
    <w:rsid w:val="0088267D"/>
    <w:rsid w:val="008833D1"/>
    <w:rsid w:val="00883849"/>
    <w:rsid w:val="008841BD"/>
    <w:rsid w:val="0088467B"/>
    <w:rsid w:val="00884E2B"/>
    <w:rsid w:val="0088578D"/>
    <w:rsid w:val="008863B5"/>
    <w:rsid w:val="008866D3"/>
    <w:rsid w:val="008904E3"/>
    <w:rsid w:val="00890549"/>
    <w:rsid w:val="0089074C"/>
    <w:rsid w:val="00891526"/>
    <w:rsid w:val="0089157A"/>
    <w:rsid w:val="00892751"/>
    <w:rsid w:val="00893DAE"/>
    <w:rsid w:val="008945F3"/>
    <w:rsid w:val="00894DD4"/>
    <w:rsid w:val="00895460"/>
    <w:rsid w:val="0089581E"/>
    <w:rsid w:val="00897A0F"/>
    <w:rsid w:val="008A0A4E"/>
    <w:rsid w:val="008A0B73"/>
    <w:rsid w:val="008A1571"/>
    <w:rsid w:val="008A16EA"/>
    <w:rsid w:val="008A1836"/>
    <w:rsid w:val="008A2197"/>
    <w:rsid w:val="008A2AF9"/>
    <w:rsid w:val="008A36F3"/>
    <w:rsid w:val="008A3745"/>
    <w:rsid w:val="008A3C00"/>
    <w:rsid w:val="008A44DB"/>
    <w:rsid w:val="008A6C4A"/>
    <w:rsid w:val="008A6D34"/>
    <w:rsid w:val="008B291B"/>
    <w:rsid w:val="008B2C91"/>
    <w:rsid w:val="008B2D31"/>
    <w:rsid w:val="008B45F4"/>
    <w:rsid w:val="008B46B0"/>
    <w:rsid w:val="008B4B4D"/>
    <w:rsid w:val="008B5C9C"/>
    <w:rsid w:val="008B61C3"/>
    <w:rsid w:val="008B686A"/>
    <w:rsid w:val="008B73CB"/>
    <w:rsid w:val="008C128C"/>
    <w:rsid w:val="008C1814"/>
    <w:rsid w:val="008C1FEC"/>
    <w:rsid w:val="008C3236"/>
    <w:rsid w:val="008C6C7F"/>
    <w:rsid w:val="008C6CA0"/>
    <w:rsid w:val="008D06C2"/>
    <w:rsid w:val="008D18AA"/>
    <w:rsid w:val="008D2DB2"/>
    <w:rsid w:val="008D366F"/>
    <w:rsid w:val="008D4505"/>
    <w:rsid w:val="008D65A4"/>
    <w:rsid w:val="008D73EA"/>
    <w:rsid w:val="008D792E"/>
    <w:rsid w:val="008E05B0"/>
    <w:rsid w:val="008E2CB3"/>
    <w:rsid w:val="008E4AB5"/>
    <w:rsid w:val="008E64D9"/>
    <w:rsid w:val="008E6DF8"/>
    <w:rsid w:val="008E7E81"/>
    <w:rsid w:val="008F18A1"/>
    <w:rsid w:val="008F2303"/>
    <w:rsid w:val="008F313B"/>
    <w:rsid w:val="009003FB"/>
    <w:rsid w:val="00900AC1"/>
    <w:rsid w:val="00901C28"/>
    <w:rsid w:val="009035C3"/>
    <w:rsid w:val="00903B74"/>
    <w:rsid w:val="00904A04"/>
    <w:rsid w:val="009055B6"/>
    <w:rsid w:val="009055EA"/>
    <w:rsid w:val="00905FB5"/>
    <w:rsid w:val="009069BA"/>
    <w:rsid w:val="00906E67"/>
    <w:rsid w:val="00906EFC"/>
    <w:rsid w:val="00907182"/>
    <w:rsid w:val="00907E27"/>
    <w:rsid w:val="00911AB9"/>
    <w:rsid w:val="009128D9"/>
    <w:rsid w:val="00912E63"/>
    <w:rsid w:val="00914AF9"/>
    <w:rsid w:val="0091503A"/>
    <w:rsid w:val="0091635C"/>
    <w:rsid w:val="009168D9"/>
    <w:rsid w:val="00916F97"/>
    <w:rsid w:val="00920E37"/>
    <w:rsid w:val="00921D4A"/>
    <w:rsid w:val="00922229"/>
    <w:rsid w:val="00922B6E"/>
    <w:rsid w:val="00923021"/>
    <w:rsid w:val="00924529"/>
    <w:rsid w:val="00924B4E"/>
    <w:rsid w:val="00924B9E"/>
    <w:rsid w:val="009257B9"/>
    <w:rsid w:val="00926822"/>
    <w:rsid w:val="009322C7"/>
    <w:rsid w:val="00932A57"/>
    <w:rsid w:val="009332A3"/>
    <w:rsid w:val="00934046"/>
    <w:rsid w:val="0093464A"/>
    <w:rsid w:val="00935971"/>
    <w:rsid w:val="0094114F"/>
    <w:rsid w:val="0094200D"/>
    <w:rsid w:val="009429D9"/>
    <w:rsid w:val="00942DE3"/>
    <w:rsid w:val="009436B8"/>
    <w:rsid w:val="00944128"/>
    <w:rsid w:val="00945558"/>
    <w:rsid w:val="00945A87"/>
    <w:rsid w:val="009518EF"/>
    <w:rsid w:val="00953456"/>
    <w:rsid w:val="00954AD2"/>
    <w:rsid w:val="00955AC1"/>
    <w:rsid w:val="009561E9"/>
    <w:rsid w:val="0095669B"/>
    <w:rsid w:val="00960338"/>
    <w:rsid w:val="00961E7E"/>
    <w:rsid w:val="00962793"/>
    <w:rsid w:val="00962FCE"/>
    <w:rsid w:val="00964BDE"/>
    <w:rsid w:val="009667DB"/>
    <w:rsid w:val="00967A56"/>
    <w:rsid w:val="00970C54"/>
    <w:rsid w:val="00970DA8"/>
    <w:rsid w:val="009713AF"/>
    <w:rsid w:val="00971574"/>
    <w:rsid w:val="009715E4"/>
    <w:rsid w:val="009717DA"/>
    <w:rsid w:val="009722B2"/>
    <w:rsid w:val="0097283E"/>
    <w:rsid w:val="00973D2F"/>
    <w:rsid w:val="00974540"/>
    <w:rsid w:val="00975349"/>
    <w:rsid w:val="00975513"/>
    <w:rsid w:val="00976980"/>
    <w:rsid w:val="00976E65"/>
    <w:rsid w:val="00977EB4"/>
    <w:rsid w:val="00980247"/>
    <w:rsid w:val="00982657"/>
    <w:rsid w:val="00982977"/>
    <w:rsid w:val="00982D28"/>
    <w:rsid w:val="009835C3"/>
    <w:rsid w:val="00983C39"/>
    <w:rsid w:val="00985A66"/>
    <w:rsid w:val="00990388"/>
    <w:rsid w:val="00991210"/>
    <w:rsid w:val="00992DFA"/>
    <w:rsid w:val="00993198"/>
    <w:rsid w:val="00993991"/>
    <w:rsid w:val="00993D17"/>
    <w:rsid w:val="00994CB0"/>
    <w:rsid w:val="00994EEF"/>
    <w:rsid w:val="009960E3"/>
    <w:rsid w:val="00996488"/>
    <w:rsid w:val="00996E06"/>
    <w:rsid w:val="00996F31"/>
    <w:rsid w:val="0099757A"/>
    <w:rsid w:val="009979FD"/>
    <w:rsid w:val="009A15F9"/>
    <w:rsid w:val="009A267D"/>
    <w:rsid w:val="009A4AF9"/>
    <w:rsid w:val="009A4C56"/>
    <w:rsid w:val="009A65B0"/>
    <w:rsid w:val="009A6C37"/>
    <w:rsid w:val="009B0163"/>
    <w:rsid w:val="009B061C"/>
    <w:rsid w:val="009B07D6"/>
    <w:rsid w:val="009B10FA"/>
    <w:rsid w:val="009B12FD"/>
    <w:rsid w:val="009B31C0"/>
    <w:rsid w:val="009B3BFE"/>
    <w:rsid w:val="009B42EC"/>
    <w:rsid w:val="009B44C6"/>
    <w:rsid w:val="009B4FDF"/>
    <w:rsid w:val="009B6AD1"/>
    <w:rsid w:val="009C06DA"/>
    <w:rsid w:val="009C06F2"/>
    <w:rsid w:val="009C09F0"/>
    <w:rsid w:val="009C0AAF"/>
    <w:rsid w:val="009C19D2"/>
    <w:rsid w:val="009C3086"/>
    <w:rsid w:val="009C59C3"/>
    <w:rsid w:val="009C7034"/>
    <w:rsid w:val="009D1ECC"/>
    <w:rsid w:val="009D207E"/>
    <w:rsid w:val="009D3667"/>
    <w:rsid w:val="009D5489"/>
    <w:rsid w:val="009D55EE"/>
    <w:rsid w:val="009D60C2"/>
    <w:rsid w:val="009D6249"/>
    <w:rsid w:val="009D647C"/>
    <w:rsid w:val="009D6CE1"/>
    <w:rsid w:val="009D714D"/>
    <w:rsid w:val="009D75C3"/>
    <w:rsid w:val="009D7CD7"/>
    <w:rsid w:val="009E0443"/>
    <w:rsid w:val="009E0501"/>
    <w:rsid w:val="009E0AEF"/>
    <w:rsid w:val="009E13FA"/>
    <w:rsid w:val="009E356A"/>
    <w:rsid w:val="009E66AF"/>
    <w:rsid w:val="009E6958"/>
    <w:rsid w:val="009E747C"/>
    <w:rsid w:val="009E7D18"/>
    <w:rsid w:val="009E7F25"/>
    <w:rsid w:val="009F019C"/>
    <w:rsid w:val="009F094D"/>
    <w:rsid w:val="009F0956"/>
    <w:rsid w:val="009F3988"/>
    <w:rsid w:val="009F3C96"/>
    <w:rsid w:val="009F468B"/>
    <w:rsid w:val="009F4CA1"/>
    <w:rsid w:val="009F55FA"/>
    <w:rsid w:val="009F5E5C"/>
    <w:rsid w:val="009F6D86"/>
    <w:rsid w:val="009F6F21"/>
    <w:rsid w:val="009F72AD"/>
    <w:rsid w:val="00A0094F"/>
    <w:rsid w:val="00A01261"/>
    <w:rsid w:val="00A01FEC"/>
    <w:rsid w:val="00A023C5"/>
    <w:rsid w:val="00A02ADE"/>
    <w:rsid w:val="00A0372E"/>
    <w:rsid w:val="00A06689"/>
    <w:rsid w:val="00A109DD"/>
    <w:rsid w:val="00A11A20"/>
    <w:rsid w:val="00A12FE1"/>
    <w:rsid w:val="00A14224"/>
    <w:rsid w:val="00A14BE1"/>
    <w:rsid w:val="00A15851"/>
    <w:rsid w:val="00A20BF5"/>
    <w:rsid w:val="00A20D61"/>
    <w:rsid w:val="00A214F2"/>
    <w:rsid w:val="00A21C20"/>
    <w:rsid w:val="00A22E56"/>
    <w:rsid w:val="00A23584"/>
    <w:rsid w:val="00A236B2"/>
    <w:rsid w:val="00A23E69"/>
    <w:rsid w:val="00A23FB1"/>
    <w:rsid w:val="00A25544"/>
    <w:rsid w:val="00A30A91"/>
    <w:rsid w:val="00A311EC"/>
    <w:rsid w:val="00A331E7"/>
    <w:rsid w:val="00A35CDE"/>
    <w:rsid w:val="00A36598"/>
    <w:rsid w:val="00A366AA"/>
    <w:rsid w:val="00A40D93"/>
    <w:rsid w:val="00A415CC"/>
    <w:rsid w:val="00A417F6"/>
    <w:rsid w:val="00A41976"/>
    <w:rsid w:val="00A4202B"/>
    <w:rsid w:val="00A43E09"/>
    <w:rsid w:val="00A44B42"/>
    <w:rsid w:val="00A44C13"/>
    <w:rsid w:val="00A45230"/>
    <w:rsid w:val="00A460E2"/>
    <w:rsid w:val="00A50DA7"/>
    <w:rsid w:val="00A51210"/>
    <w:rsid w:val="00A5131C"/>
    <w:rsid w:val="00A53EAF"/>
    <w:rsid w:val="00A5421C"/>
    <w:rsid w:val="00A54240"/>
    <w:rsid w:val="00A55B4C"/>
    <w:rsid w:val="00A56708"/>
    <w:rsid w:val="00A57587"/>
    <w:rsid w:val="00A576C9"/>
    <w:rsid w:val="00A57FAB"/>
    <w:rsid w:val="00A61AC1"/>
    <w:rsid w:val="00A62088"/>
    <w:rsid w:val="00A63261"/>
    <w:rsid w:val="00A632E6"/>
    <w:rsid w:val="00A6369A"/>
    <w:rsid w:val="00A650DC"/>
    <w:rsid w:val="00A6580D"/>
    <w:rsid w:val="00A672F0"/>
    <w:rsid w:val="00A677FA"/>
    <w:rsid w:val="00A67B45"/>
    <w:rsid w:val="00A67C8F"/>
    <w:rsid w:val="00A702F1"/>
    <w:rsid w:val="00A70B11"/>
    <w:rsid w:val="00A7173E"/>
    <w:rsid w:val="00A71F79"/>
    <w:rsid w:val="00A73275"/>
    <w:rsid w:val="00A7413D"/>
    <w:rsid w:val="00A74CAF"/>
    <w:rsid w:val="00A75066"/>
    <w:rsid w:val="00A769B7"/>
    <w:rsid w:val="00A77754"/>
    <w:rsid w:val="00A77BAE"/>
    <w:rsid w:val="00A77CB6"/>
    <w:rsid w:val="00A81098"/>
    <w:rsid w:val="00A825AA"/>
    <w:rsid w:val="00A8288D"/>
    <w:rsid w:val="00A83E1F"/>
    <w:rsid w:val="00A840D4"/>
    <w:rsid w:val="00A84F0A"/>
    <w:rsid w:val="00A85852"/>
    <w:rsid w:val="00A859DF"/>
    <w:rsid w:val="00A85A17"/>
    <w:rsid w:val="00A87465"/>
    <w:rsid w:val="00A87C62"/>
    <w:rsid w:val="00A9106F"/>
    <w:rsid w:val="00A914C1"/>
    <w:rsid w:val="00A91BD5"/>
    <w:rsid w:val="00A922E3"/>
    <w:rsid w:val="00A9321A"/>
    <w:rsid w:val="00A93DFD"/>
    <w:rsid w:val="00A944DC"/>
    <w:rsid w:val="00A95415"/>
    <w:rsid w:val="00A963E7"/>
    <w:rsid w:val="00A96583"/>
    <w:rsid w:val="00A96CEE"/>
    <w:rsid w:val="00A97777"/>
    <w:rsid w:val="00AA0C38"/>
    <w:rsid w:val="00AA0CC1"/>
    <w:rsid w:val="00AA1C81"/>
    <w:rsid w:val="00AA3393"/>
    <w:rsid w:val="00AA3683"/>
    <w:rsid w:val="00AA578A"/>
    <w:rsid w:val="00AA7589"/>
    <w:rsid w:val="00AA7F5F"/>
    <w:rsid w:val="00AB00DA"/>
    <w:rsid w:val="00AB0302"/>
    <w:rsid w:val="00AB1AA4"/>
    <w:rsid w:val="00AB200B"/>
    <w:rsid w:val="00AB2761"/>
    <w:rsid w:val="00AB27DC"/>
    <w:rsid w:val="00AB5602"/>
    <w:rsid w:val="00AB64A5"/>
    <w:rsid w:val="00AB7BF3"/>
    <w:rsid w:val="00AB7E07"/>
    <w:rsid w:val="00AC0402"/>
    <w:rsid w:val="00AC13CF"/>
    <w:rsid w:val="00AC2CA1"/>
    <w:rsid w:val="00AC34A5"/>
    <w:rsid w:val="00AC5A75"/>
    <w:rsid w:val="00AC5CAE"/>
    <w:rsid w:val="00AC6334"/>
    <w:rsid w:val="00AC7F6F"/>
    <w:rsid w:val="00AD0386"/>
    <w:rsid w:val="00AD11F0"/>
    <w:rsid w:val="00AD282A"/>
    <w:rsid w:val="00AD34F0"/>
    <w:rsid w:val="00AD38C8"/>
    <w:rsid w:val="00AD3CAF"/>
    <w:rsid w:val="00AD6AC4"/>
    <w:rsid w:val="00AD7B21"/>
    <w:rsid w:val="00AE08FD"/>
    <w:rsid w:val="00AE4FD1"/>
    <w:rsid w:val="00AE5163"/>
    <w:rsid w:val="00AE540F"/>
    <w:rsid w:val="00AE55DC"/>
    <w:rsid w:val="00AE6FB8"/>
    <w:rsid w:val="00AF003B"/>
    <w:rsid w:val="00AF1A54"/>
    <w:rsid w:val="00AF220B"/>
    <w:rsid w:val="00AF25C6"/>
    <w:rsid w:val="00AF4B6A"/>
    <w:rsid w:val="00AF5EB2"/>
    <w:rsid w:val="00AF6239"/>
    <w:rsid w:val="00B00851"/>
    <w:rsid w:val="00B00A90"/>
    <w:rsid w:val="00B01694"/>
    <w:rsid w:val="00B07AFD"/>
    <w:rsid w:val="00B10FA7"/>
    <w:rsid w:val="00B1136C"/>
    <w:rsid w:val="00B122D1"/>
    <w:rsid w:val="00B1249C"/>
    <w:rsid w:val="00B13BDB"/>
    <w:rsid w:val="00B15571"/>
    <w:rsid w:val="00B15DFC"/>
    <w:rsid w:val="00B1723D"/>
    <w:rsid w:val="00B17723"/>
    <w:rsid w:val="00B2007F"/>
    <w:rsid w:val="00B23451"/>
    <w:rsid w:val="00B238C8"/>
    <w:rsid w:val="00B243CB"/>
    <w:rsid w:val="00B24D05"/>
    <w:rsid w:val="00B253EC"/>
    <w:rsid w:val="00B2618C"/>
    <w:rsid w:val="00B26BF5"/>
    <w:rsid w:val="00B2789A"/>
    <w:rsid w:val="00B27A66"/>
    <w:rsid w:val="00B27B26"/>
    <w:rsid w:val="00B27E55"/>
    <w:rsid w:val="00B30AEC"/>
    <w:rsid w:val="00B31B31"/>
    <w:rsid w:val="00B3355E"/>
    <w:rsid w:val="00B3405E"/>
    <w:rsid w:val="00B34418"/>
    <w:rsid w:val="00B36414"/>
    <w:rsid w:val="00B37BF9"/>
    <w:rsid w:val="00B433D9"/>
    <w:rsid w:val="00B452BB"/>
    <w:rsid w:val="00B4632A"/>
    <w:rsid w:val="00B4731E"/>
    <w:rsid w:val="00B47ABB"/>
    <w:rsid w:val="00B47EFC"/>
    <w:rsid w:val="00B5066C"/>
    <w:rsid w:val="00B50AAB"/>
    <w:rsid w:val="00B52A1D"/>
    <w:rsid w:val="00B537D2"/>
    <w:rsid w:val="00B54097"/>
    <w:rsid w:val="00B54DE5"/>
    <w:rsid w:val="00B55194"/>
    <w:rsid w:val="00B57796"/>
    <w:rsid w:val="00B57B8A"/>
    <w:rsid w:val="00B57CE0"/>
    <w:rsid w:val="00B603E4"/>
    <w:rsid w:val="00B63368"/>
    <w:rsid w:val="00B65324"/>
    <w:rsid w:val="00B656A2"/>
    <w:rsid w:val="00B65CA7"/>
    <w:rsid w:val="00B65E7E"/>
    <w:rsid w:val="00B667BE"/>
    <w:rsid w:val="00B67AD7"/>
    <w:rsid w:val="00B70A29"/>
    <w:rsid w:val="00B70D91"/>
    <w:rsid w:val="00B7110A"/>
    <w:rsid w:val="00B712AD"/>
    <w:rsid w:val="00B71762"/>
    <w:rsid w:val="00B7281A"/>
    <w:rsid w:val="00B745B4"/>
    <w:rsid w:val="00B74869"/>
    <w:rsid w:val="00B76A79"/>
    <w:rsid w:val="00B778A5"/>
    <w:rsid w:val="00B77AA9"/>
    <w:rsid w:val="00B77CA9"/>
    <w:rsid w:val="00B77F81"/>
    <w:rsid w:val="00B80536"/>
    <w:rsid w:val="00B806FA"/>
    <w:rsid w:val="00B81D6A"/>
    <w:rsid w:val="00B820AD"/>
    <w:rsid w:val="00B82EEA"/>
    <w:rsid w:val="00B83026"/>
    <w:rsid w:val="00B831B1"/>
    <w:rsid w:val="00B84116"/>
    <w:rsid w:val="00B84FE1"/>
    <w:rsid w:val="00B85B10"/>
    <w:rsid w:val="00B87279"/>
    <w:rsid w:val="00B878B5"/>
    <w:rsid w:val="00B90014"/>
    <w:rsid w:val="00B90EE5"/>
    <w:rsid w:val="00B923F2"/>
    <w:rsid w:val="00B94CE1"/>
    <w:rsid w:val="00B9506F"/>
    <w:rsid w:val="00B95CB7"/>
    <w:rsid w:val="00B96B4C"/>
    <w:rsid w:val="00B96D0A"/>
    <w:rsid w:val="00B97136"/>
    <w:rsid w:val="00BA0218"/>
    <w:rsid w:val="00BA11C4"/>
    <w:rsid w:val="00BA1DB1"/>
    <w:rsid w:val="00BA3C90"/>
    <w:rsid w:val="00BA3D96"/>
    <w:rsid w:val="00BA45F0"/>
    <w:rsid w:val="00BA56EA"/>
    <w:rsid w:val="00BA5A1E"/>
    <w:rsid w:val="00BA5CEC"/>
    <w:rsid w:val="00BA6382"/>
    <w:rsid w:val="00BA6484"/>
    <w:rsid w:val="00BA6D4C"/>
    <w:rsid w:val="00BA7FFC"/>
    <w:rsid w:val="00BB08FE"/>
    <w:rsid w:val="00BB0F7E"/>
    <w:rsid w:val="00BB1EDA"/>
    <w:rsid w:val="00BB2044"/>
    <w:rsid w:val="00BB2600"/>
    <w:rsid w:val="00BB2DA1"/>
    <w:rsid w:val="00BB3015"/>
    <w:rsid w:val="00BB3849"/>
    <w:rsid w:val="00BB3CFF"/>
    <w:rsid w:val="00BB3EA7"/>
    <w:rsid w:val="00BB40B7"/>
    <w:rsid w:val="00BB52F3"/>
    <w:rsid w:val="00BB58F0"/>
    <w:rsid w:val="00BB5969"/>
    <w:rsid w:val="00BB676F"/>
    <w:rsid w:val="00BB6F86"/>
    <w:rsid w:val="00BB75C5"/>
    <w:rsid w:val="00BB7AC3"/>
    <w:rsid w:val="00BC1700"/>
    <w:rsid w:val="00BC217B"/>
    <w:rsid w:val="00BC2573"/>
    <w:rsid w:val="00BC3D51"/>
    <w:rsid w:val="00BC6852"/>
    <w:rsid w:val="00BC6D16"/>
    <w:rsid w:val="00BD0902"/>
    <w:rsid w:val="00BD0908"/>
    <w:rsid w:val="00BD14CC"/>
    <w:rsid w:val="00BD1C0F"/>
    <w:rsid w:val="00BD22A5"/>
    <w:rsid w:val="00BD42E1"/>
    <w:rsid w:val="00BD564C"/>
    <w:rsid w:val="00BD577F"/>
    <w:rsid w:val="00BD5E64"/>
    <w:rsid w:val="00BD629F"/>
    <w:rsid w:val="00BE15DF"/>
    <w:rsid w:val="00BE346B"/>
    <w:rsid w:val="00BE3891"/>
    <w:rsid w:val="00BE4E8B"/>
    <w:rsid w:val="00BE679D"/>
    <w:rsid w:val="00BE67E6"/>
    <w:rsid w:val="00BF11A4"/>
    <w:rsid w:val="00BF1631"/>
    <w:rsid w:val="00BF2955"/>
    <w:rsid w:val="00BF3785"/>
    <w:rsid w:val="00BF3A3F"/>
    <w:rsid w:val="00BF4D50"/>
    <w:rsid w:val="00BF7B84"/>
    <w:rsid w:val="00C00E64"/>
    <w:rsid w:val="00C0114C"/>
    <w:rsid w:val="00C013E5"/>
    <w:rsid w:val="00C01B66"/>
    <w:rsid w:val="00C01B9A"/>
    <w:rsid w:val="00C01ECC"/>
    <w:rsid w:val="00C030E4"/>
    <w:rsid w:val="00C0313B"/>
    <w:rsid w:val="00C034EE"/>
    <w:rsid w:val="00C041CD"/>
    <w:rsid w:val="00C043A6"/>
    <w:rsid w:val="00C047C5"/>
    <w:rsid w:val="00C049EB"/>
    <w:rsid w:val="00C0609C"/>
    <w:rsid w:val="00C060BC"/>
    <w:rsid w:val="00C06829"/>
    <w:rsid w:val="00C070CC"/>
    <w:rsid w:val="00C11495"/>
    <w:rsid w:val="00C13A43"/>
    <w:rsid w:val="00C13AE4"/>
    <w:rsid w:val="00C13B76"/>
    <w:rsid w:val="00C13C32"/>
    <w:rsid w:val="00C14002"/>
    <w:rsid w:val="00C14BCB"/>
    <w:rsid w:val="00C15474"/>
    <w:rsid w:val="00C159D9"/>
    <w:rsid w:val="00C163B1"/>
    <w:rsid w:val="00C163D0"/>
    <w:rsid w:val="00C1648F"/>
    <w:rsid w:val="00C21372"/>
    <w:rsid w:val="00C21D6F"/>
    <w:rsid w:val="00C22146"/>
    <w:rsid w:val="00C228D5"/>
    <w:rsid w:val="00C22D9A"/>
    <w:rsid w:val="00C232D5"/>
    <w:rsid w:val="00C2368D"/>
    <w:rsid w:val="00C261A2"/>
    <w:rsid w:val="00C337C3"/>
    <w:rsid w:val="00C341A9"/>
    <w:rsid w:val="00C34405"/>
    <w:rsid w:val="00C3472C"/>
    <w:rsid w:val="00C34F40"/>
    <w:rsid w:val="00C35DF4"/>
    <w:rsid w:val="00C36B80"/>
    <w:rsid w:val="00C36EE8"/>
    <w:rsid w:val="00C37065"/>
    <w:rsid w:val="00C37113"/>
    <w:rsid w:val="00C421B6"/>
    <w:rsid w:val="00C42D67"/>
    <w:rsid w:val="00C43299"/>
    <w:rsid w:val="00C4338A"/>
    <w:rsid w:val="00C44802"/>
    <w:rsid w:val="00C44E32"/>
    <w:rsid w:val="00C4560E"/>
    <w:rsid w:val="00C46562"/>
    <w:rsid w:val="00C477D7"/>
    <w:rsid w:val="00C508C1"/>
    <w:rsid w:val="00C51384"/>
    <w:rsid w:val="00C53889"/>
    <w:rsid w:val="00C53BF7"/>
    <w:rsid w:val="00C54267"/>
    <w:rsid w:val="00C5451A"/>
    <w:rsid w:val="00C54DB4"/>
    <w:rsid w:val="00C55B66"/>
    <w:rsid w:val="00C61AF1"/>
    <w:rsid w:val="00C648C9"/>
    <w:rsid w:val="00C64B60"/>
    <w:rsid w:val="00C67FCC"/>
    <w:rsid w:val="00C703E3"/>
    <w:rsid w:val="00C70958"/>
    <w:rsid w:val="00C71858"/>
    <w:rsid w:val="00C71A37"/>
    <w:rsid w:val="00C71E42"/>
    <w:rsid w:val="00C7233F"/>
    <w:rsid w:val="00C72D09"/>
    <w:rsid w:val="00C74621"/>
    <w:rsid w:val="00C7479E"/>
    <w:rsid w:val="00C749AC"/>
    <w:rsid w:val="00C74C98"/>
    <w:rsid w:val="00C759CB"/>
    <w:rsid w:val="00C76985"/>
    <w:rsid w:val="00C775B1"/>
    <w:rsid w:val="00C81E14"/>
    <w:rsid w:val="00C828D1"/>
    <w:rsid w:val="00C82A7B"/>
    <w:rsid w:val="00C8454C"/>
    <w:rsid w:val="00C84F3C"/>
    <w:rsid w:val="00C8585D"/>
    <w:rsid w:val="00C863E2"/>
    <w:rsid w:val="00C86597"/>
    <w:rsid w:val="00C871DC"/>
    <w:rsid w:val="00C90FEC"/>
    <w:rsid w:val="00C91E89"/>
    <w:rsid w:val="00C92244"/>
    <w:rsid w:val="00C92E23"/>
    <w:rsid w:val="00C931C6"/>
    <w:rsid w:val="00C9371C"/>
    <w:rsid w:val="00C96E5C"/>
    <w:rsid w:val="00C972BC"/>
    <w:rsid w:val="00C9790B"/>
    <w:rsid w:val="00C97BC9"/>
    <w:rsid w:val="00CA0FF1"/>
    <w:rsid w:val="00CA1CA0"/>
    <w:rsid w:val="00CA1E22"/>
    <w:rsid w:val="00CA2557"/>
    <w:rsid w:val="00CA2EBB"/>
    <w:rsid w:val="00CA388D"/>
    <w:rsid w:val="00CA3FFA"/>
    <w:rsid w:val="00CA4633"/>
    <w:rsid w:val="00CA556B"/>
    <w:rsid w:val="00CB1333"/>
    <w:rsid w:val="00CB17FC"/>
    <w:rsid w:val="00CB22B5"/>
    <w:rsid w:val="00CB41D2"/>
    <w:rsid w:val="00CB48DC"/>
    <w:rsid w:val="00CB5435"/>
    <w:rsid w:val="00CB58C7"/>
    <w:rsid w:val="00CB5F21"/>
    <w:rsid w:val="00CB7400"/>
    <w:rsid w:val="00CB7C7D"/>
    <w:rsid w:val="00CC16E0"/>
    <w:rsid w:val="00CC3125"/>
    <w:rsid w:val="00CC5077"/>
    <w:rsid w:val="00CC56A0"/>
    <w:rsid w:val="00CC5F99"/>
    <w:rsid w:val="00CC6038"/>
    <w:rsid w:val="00CD23C8"/>
    <w:rsid w:val="00CD400A"/>
    <w:rsid w:val="00CD4CF9"/>
    <w:rsid w:val="00CD4D20"/>
    <w:rsid w:val="00CD593C"/>
    <w:rsid w:val="00CD6E2D"/>
    <w:rsid w:val="00CD754A"/>
    <w:rsid w:val="00CD756F"/>
    <w:rsid w:val="00CE3533"/>
    <w:rsid w:val="00CE3738"/>
    <w:rsid w:val="00CE38E8"/>
    <w:rsid w:val="00CE428C"/>
    <w:rsid w:val="00CE4310"/>
    <w:rsid w:val="00CE4383"/>
    <w:rsid w:val="00CE43AD"/>
    <w:rsid w:val="00CE4D93"/>
    <w:rsid w:val="00CE5AA0"/>
    <w:rsid w:val="00CE75FC"/>
    <w:rsid w:val="00CE7C21"/>
    <w:rsid w:val="00CF1113"/>
    <w:rsid w:val="00CF14CB"/>
    <w:rsid w:val="00CF1560"/>
    <w:rsid w:val="00CF27A1"/>
    <w:rsid w:val="00CF36E4"/>
    <w:rsid w:val="00CF39DD"/>
    <w:rsid w:val="00CF3CD2"/>
    <w:rsid w:val="00CF4B06"/>
    <w:rsid w:val="00CF5C65"/>
    <w:rsid w:val="00D000B4"/>
    <w:rsid w:val="00D000EC"/>
    <w:rsid w:val="00D0097B"/>
    <w:rsid w:val="00D0284B"/>
    <w:rsid w:val="00D0389D"/>
    <w:rsid w:val="00D03EAD"/>
    <w:rsid w:val="00D05321"/>
    <w:rsid w:val="00D05A41"/>
    <w:rsid w:val="00D06467"/>
    <w:rsid w:val="00D12EA4"/>
    <w:rsid w:val="00D13549"/>
    <w:rsid w:val="00D1479A"/>
    <w:rsid w:val="00D167E8"/>
    <w:rsid w:val="00D16B44"/>
    <w:rsid w:val="00D2047D"/>
    <w:rsid w:val="00D20E10"/>
    <w:rsid w:val="00D20F61"/>
    <w:rsid w:val="00D22A0C"/>
    <w:rsid w:val="00D250BD"/>
    <w:rsid w:val="00D25FA5"/>
    <w:rsid w:val="00D272AB"/>
    <w:rsid w:val="00D3290E"/>
    <w:rsid w:val="00D3319D"/>
    <w:rsid w:val="00D3399B"/>
    <w:rsid w:val="00D35E79"/>
    <w:rsid w:val="00D3615D"/>
    <w:rsid w:val="00D37D11"/>
    <w:rsid w:val="00D40126"/>
    <w:rsid w:val="00D42338"/>
    <w:rsid w:val="00D4259D"/>
    <w:rsid w:val="00D4260B"/>
    <w:rsid w:val="00D4294F"/>
    <w:rsid w:val="00D42DDB"/>
    <w:rsid w:val="00D42EF5"/>
    <w:rsid w:val="00D435A1"/>
    <w:rsid w:val="00D453B3"/>
    <w:rsid w:val="00D46552"/>
    <w:rsid w:val="00D46696"/>
    <w:rsid w:val="00D4681F"/>
    <w:rsid w:val="00D46B40"/>
    <w:rsid w:val="00D47BDD"/>
    <w:rsid w:val="00D52173"/>
    <w:rsid w:val="00D52E94"/>
    <w:rsid w:val="00D52EBB"/>
    <w:rsid w:val="00D53D59"/>
    <w:rsid w:val="00D549E3"/>
    <w:rsid w:val="00D56643"/>
    <w:rsid w:val="00D57B4F"/>
    <w:rsid w:val="00D57B9E"/>
    <w:rsid w:val="00D600D9"/>
    <w:rsid w:val="00D6048E"/>
    <w:rsid w:val="00D61751"/>
    <w:rsid w:val="00D61791"/>
    <w:rsid w:val="00D63A0B"/>
    <w:rsid w:val="00D67157"/>
    <w:rsid w:val="00D70548"/>
    <w:rsid w:val="00D7091B"/>
    <w:rsid w:val="00D70D5A"/>
    <w:rsid w:val="00D71690"/>
    <w:rsid w:val="00D7183E"/>
    <w:rsid w:val="00D73B4C"/>
    <w:rsid w:val="00D7441E"/>
    <w:rsid w:val="00D749B4"/>
    <w:rsid w:val="00D75427"/>
    <w:rsid w:val="00D76C75"/>
    <w:rsid w:val="00D773C7"/>
    <w:rsid w:val="00D800BF"/>
    <w:rsid w:val="00D805D4"/>
    <w:rsid w:val="00D82117"/>
    <w:rsid w:val="00D82701"/>
    <w:rsid w:val="00D8328B"/>
    <w:rsid w:val="00D839F8"/>
    <w:rsid w:val="00D84D73"/>
    <w:rsid w:val="00D85581"/>
    <w:rsid w:val="00D855AD"/>
    <w:rsid w:val="00D85B6A"/>
    <w:rsid w:val="00D868C4"/>
    <w:rsid w:val="00D86AA4"/>
    <w:rsid w:val="00D86C1E"/>
    <w:rsid w:val="00D90837"/>
    <w:rsid w:val="00D90D54"/>
    <w:rsid w:val="00D918D6"/>
    <w:rsid w:val="00D91A5C"/>
    <w:rsid w:val="00D91CB2"/>
    <w:rsid w:val="00D91F54"/>
    <w:rsid w:val="00D9456B"/>
    <w:rsid w:val="00D95929"/>
    <w:rsid w:val="00D95B9A"/>
    <w:rsid w:val="00D9674C"/>
    <w:rsid w:val="00DA1E5D"/>
    <w:rsid w:val="00DA222B"/>
    <w:rsid w:val="00DA23C1"/>
    <w:rsid w:val="00DA29BA"/>
    <w:rsid w:val="00DA3B1D"/>
    <w:rsid w:val="00DA4557"/>
    <w:rsid w:val="00DA4A29"/>
    <w:rsid w:val="00DA4ED4"/>
    <w:rsid w:val="00DA51BA"/>
    <w:rsid w:val="00DA5609"/>
    <w:rsid w:val="00DB0B21"/>
    <w:rsid w:val="00DB1997"/>
    <w:rsid w:val="00DB24F2"/>
    <w:rsid w:val="00DB2966"/>
    <w:rsid w:val="00DB34DB"/>
    <w:rsid w:val="00DB42B5"/>
    <w:rsid w:val="00DB51D9"/>
    <w:rsid w:val="00DB597A"/>
    <w:rsid w:val="00DB5B51"/>
    <w:rsid w:val="00DB62D7"/>
    <w:rsid w:val="00DB7505"/>
    <w:rsid w:val="00DB7DA7"/>
    <w:rsid w:val="00DC0840"/>
    <w:rsid w:val="00DC103C"/>
    <w:rsid w:val="00DC11A5"/>
    <w:rsid w:val="00DC16B2"/>
    <w:rsid w:val="00DC1A76"/>
    <w:rsid w:val="00DC1D07"/>
    <w:rsid w:val="00DD03D6"/>
    <w:rsid w:val="00DD10C6"/>
    <w:rsid w:val="00DD1A74"/>
    <w:rsid w:val="00DD1D7B"/>
    <w:rsid w:val="00DD364C"/>
    <w:rsid w:val="00DD4C4F"/>
    <w:rsid w:val="00DD5526"/>
    <w:rsid w:val="00DD5BDA"/>
    <w:rsid w:val="00DD61FF"/>
    <w:rsid w:val="00DD662F"/>
    <w:rsid w:val="00DD686B"/>
    <w:rsid w:val="00DD7565"/>
    <w:rsid w:val="00DE00BF"/>
    <w:rsid w:val="00DE25B3"/>
    <w:rsid w:val="00DE2DD8"/>
    <w:rsid w:val="00DE637B"/>
    <w:rsid w:val="00DE71E6"/>
    <w:rsid w:val="00DE76A2"/>
    <w:rsid w:val="00DF1105"/>
    <w:rsid w:val="00DF23D1"/>
    <w:rsid w:val="00DF2DBD"/>
    <w:rsid w:val="00DF2FF9"/>
    <w:rsid w:val="00DF4472"/>
    <w:rsid w:val="00DF4C5B"/>
    <w:rsid w:val="00DF57A7"/>
    <w:rsid w:val="00DF5A3E"/>
    <w:rsid w:val="00DF6C05"/>
    <w:rsid w:val="00DF6E49"/>
    <w:rsid w:val="00E00FED"/>
    <w:rsid w:val="00E01326"/>
    <w:rsid w:val="00E026FE"/>
    <w:rsid w:val="00E0395D"/>
    <w:rsid w:val="00E047AD"/>
    <w:rsid w:val="00E04E6B"/>
    <w:rsid w:val="00E05005"/>
    <w:rsid w:val="00E05644"/>
    <w:rsid w:val="00E05981"/>
    <w:rsid w:val="00E05A01"/>
    <w:rsid w:val="00E10FF5"/>
    <w:rsid w:val="00E120D6"/>
    <w:rsid w:val="00E138B0"/>
    <w:rsid w:val="00E15329"/>
    <w:rsid w:val="00E159D2"/>
    <w:rsid w:val="00E15D86"/>
    <w:rsid w:val="00E1707E"/>
    <w:rsid w:val="00E232F7"/>
    <w:rsid w:val="00E23D1D"/>
    <w:rsid w:val="00E26166"/>
    <w:rsid w:val="00E26C0B"/>
    <w:rsid w:val="00E27128"/>
    <w:rsid w:val="00E3066F"/>
    <w:rsid w:val="00E30A74"/>
    <w:rsid w:val="00E310A1"/>
    <w:rsid w:val="00E3126E"/>
    <w:rsid w:val="00E31359"/>
    <w:rsid w:val="00E32004"/>
    <w:rsid w:val="00E333EC"/>
    <w:rsid w:val="00E346E6"/>
    <w:rsid w:val="00E35319"/>
    <w:rsid w:val="00E36E25"/>
    <w:rsid w:val="00E376A3"/>
    <w:rsid w:val="00E40F7E"/>
    <w:rsid w:val="00E42E41"/>
    <w:rsid w:val="00E4303E"/>
    <w:rsid w:val="00E445E2"/>
    <w:rsid w:val="00E447CD"/>
    <w:rsid w:val="00E44F10"/>
    <w:rsid w:val="00E45681"/>
    <w:rsid w:val="00E46283"/>
    <w:rsid w:val="00E46868"/>
    <w:rsid w:val="00E46962"/>
    <w:rsid w:val="00E50279"/>
    <w:rsid w:val="00E510B4"/>
    <w:rsid w:val="00E51399"/>
    <w:rsid w:val="00E52DB6"/>
    <w:rsid w:val="00E549A1"/>
    <w:rsid w:val="00E554BD"/>
    <w:rsid w:val="00E55A5E"/>
    <w:rsid w:val="00E55CA7"/>
    <w:rsid w:val="00E55E19"/>
    <w:rsid w:val="00E5638A"/>
    <w:rsid w:val="00E565AB"/>
    <w:rsid w:val="00E57408"/>
    <w:rsid w:val="00E575CD"/>
    <w:rsid w:val="00E60FEE"/>
    <w:rsid w:val="00E610B3"/>
    <w:rsid w:val="00E61F79"/>
    <w:rsid w:val="00E62188"/>
    <w:rsid w:val="00E62C2E"/>
    <w:rsid w:val="00E63EA5"/>
    <w:rsid w:val="00E640DD"/>
    <w:rsid w:val="00E64D1D"/>
    <w:rsid w:val="00E64F68"/>
    <w:rsid w:val="00E653A2"/>
    <w:rsid w:val="00E656C5"/>
    <w:rsid w:val="00E6582C"/>
    <w:rsid w:val="00E664F7"/>
    <w:rsid w:val="00E67C4F"/>
    <w:rsid w:val="00E70379"/>
    <w:rsid w:val="00E70D19"/>
    <w:rsid w:val="00E70DC9"/>
    <w:rsid w:val="00E71735"/>
    <w:rsid w:val="00E71E04"/>
    <w:rsid w:val="00E74AF8"/>
    <w:rsid w:val="00E74B33"/>
    <w:rsid w:val="00E750AB"/>
    <w:rsid w:val="00E75841"/>
    <w:rsid w:val="00E7628E"/>
    <w:rsid w:val="00E76433"/>
    <w:rsid w:val="00E776BF"/>
    <w:rsid w:val="00E77958"/>
    <w:rsid w:val="00E77B57"/>
    <w:rsid w:val="00E77BE1"/>
    <w:rsid w:val="00E81C02"/>
    <w:rsid w:val="00E8295E"/>
    <w:rsid w:val="00E82CE2"/>
    <w:rsid w:val="00E837A1"/>
    <w:rsid w:val="00E83AF9"/>
    <w:rsid w:val="00E848E4"/>
    <w:rsid w:val="00E8533C"/>
    <w:rsid w:val="00E85A8B"/>
    <w:rsid w:val="00E85E9E"/>
    <w:rsid w:val="00E863AF"/>
    <w:rsid w:val="00E8762D"/>
    <w:rsid w:val="00E90175"/>
    <w:rsid w:val="00E902A4"/>
    <w:rsid w:val="00E902A6"/>
    <w:rsid w:val="00E927D0"/>
    <w:rsid w:val="00E94E0E"/>
    <w:rsid w:val="00E9627F"/>
    <w:rsid w:val="00EA3026"/>
    <w:rsid w:val="00EA4526"/>
    <w:rsid w:val="00EA5759"/>
    <w:rsid w:val="00EA6401"/>
    <w:rsid w:val="00EB0EAC"/>
    <w:rsid w:val="00EB2723"/>
    <w:rsid w:val="00EB54DE"/>
    <w:rsid w:val="00EB6A49"/>
    <w:rsid w:val="00EC1468"/>
    <w:rsid w:val="00EC19EE"/>
    <w:rsid w:val="00EC1CF4"/>
    <w:rsid w:val="00EC23C1"/>
    <w:rsid w:val="00EC33CA"/>
    <w:rsid w:val="00EC4639"/>
    <w:rsid w:val="00EC46F1"/>
    <w:rsid w:val="00EC4894"/>
    <w:rsid w:val="00EC4AC3"/>
    <w:rsid w:val="00EC5034"/>
    <w:rsid w:val="00EC6135"/>
    <w:rsid w:val="00EC7892"/>
    <w:rsid w:val="00EC7DDF"/>
    <w:rsid w:val="00ED0DA6"/>
    <w:rsid w:val="00ED116A"/>
    <w:rsid w:val="00ED29A4"/>
    <w:rsid w:val="00ED29AB"/>
    <w:rsid w:val="00ED39E7"/>
    <w:rsid w:val="00ED4D42"/>
    <w:rsid w:val="00ED4D98"/>
    <w:rsid w:val="00ED578E"/>
    <w:rsid w:val="00ED6056"/>
    <w:rsid w:val="00EE03A0"/>
    <w:rsid w:val="00EE052E"/>
    <w:rsid w:val="00EE2C91"/>
    <w:rsid w:val="00EE2EEC"/>
    <w:rsid w:val="00EE554F"/>
    <w:rsid w:val="00EE5AA8"/>
    <w:rsid w:val="00EE5D28"/>
    <w:rsid w:val="00EE5EE6"/>
    <w:rsid w:val="00EE61DC"/>
    <w:rsid w:val="00EE6864"/>
    <w:rsid w:val="00EE73DC"/>
    <w:rsid w:val="00EF0076"/>
    <w:rsid w:val="00EF0DD4"/>
    <w:rsid w:val="00EF1D1C"/>
    <w:rsid w:val="00EF2903"/>
    <w:rsid w:val="00EF3ADF"/>
    <w:rsid w:val="00EF4140"/>
    <w:rsid w:val="00EF414E"/>
    <w:rsid w:val="00EF5A6B"/>
    <w:rsid w:val="00F02CFD"/>
    <w:rsid w:val="00F045B9"/>
    <w:rsid w:val="00F06B55"/>
    <w:rsid w:val="00F06F2F"/>
    <w:rsid w:val="00F0788B"/>
    <w:rsid w:val="00F11E1E"/>
    <w:rsid w:val="00F12267"/>
    <w:rsid w:val="00F144BC"/>
    <w:rsid w:val="00F144D1"/>
    <w:rsid w:val="00F148EA"/>
    <w:rsid w:val="00F16D2C"/>
    <w:rsid w:val="00F17C35"/>
    <w:rsid w:val="00F20A7E"/>
    <w:rsid w:val="00F21CF2"/>
    <w:rsid w:val="00F21D33"/>
    <w:rsid w:val="00F22891"/>
    <w:rsid w:val="00F249A3"/>
    <w:rsid w:val="00F26955"/>
    <w:rsid w:val="00F269E0"/>
    <w:rsid w:val="00F26B27"/>
    <w:rsid w:val="00F26FBC"/>
    <w:rsid w:val="00F271E1"/>
    <w:rsid w:val="00F3015C"/>
    <w:rsid w:val="00F30828"/>
    <w:rsid w:val="00F32045"/>
    <w:rsid w:val="00F32C53"/>
    <w:rsid w:val="00F34483"/>
    <w:rsid w:val="00F350F3"/>
    <w:rsid w:val="00F36E0B"/>
    <w:rsid w:val="00F37DF3"/>
    <w:rsid w:val="00F4013A"/>
    <w:rsid w:val="00F4016F"/>
    <w:rsid w:val="00F40700"/>
    <w:rsid w:val="00F40715"/>
    <w:rsid w:val="00F4133A"/>
    <w:rsid w:val="00F41C3C"/>
    <w:rsid w:val="00F41FA6"/>
    <w:rsid w:val="00F42037"/>
    <w:rsid w:val="00F42865"/>
    <w:rsid w:val="00F42923"/>
    <w:rsid w:val="00F43258"/>
    <w:rsid w:val="00F46724"/>
    <w:rsid w:val="00F4678A"/>
    <w:rsid w:val="00F4752E"/>
    <w:rsid w:val="00F50D72"/>
    <w:rsid w:val="00F510AE"/>
    <w:rsid w:val="00F51C49"/>
    <w:rsid w:val="00F52DAF"/>
    <w:rsid w:val="00F531F5"/>
    <w:rsid w:val="00F54165"/>
    <w:rsid w:val="00F55A94"/>
    <w:rsid w:val="00F55D91"/>
    <w:rsid w:val="00F56E24"/>
    <w:rsid w:val="00F60940"/>
    <w:rsid w:val="00F60EA0"/>
    <w:rsid w:val="00F62296"/>
    <w:rsid w:val="00F63291"/>
    <w:rsid w:val="00F6352D"/>
    <w:rsid w:val="00F6393F"/>
    <w:rsid w:val="00F64A35"/>
    <w:rsid w:val="00F64AA7"/>
    <w:rsid w:val="00F65254"/>
    <w:rsid w:val="00F662A0"/>
    <w:rsid w:val="00F66578"/>
    <w:rsid w:val="00F67523"/>
    <w:rsid w:val="00F67E3B"/>
    <w:rsid w:val="00F70518"/>
    <w:rsid w:val="00F70DBD"/>
    <w:rsid w:val="00F73B27"/>
    <w:rsid w:val="00F74AEC"/>
    <w:rsid w:val="00F75689"/>
    <w:rsid w:val="00F757D9"/>
    <w:rsid w:val="00F76143"/>
    <w:rsid w:val="00F764E0"/>
    <w:rsid w:val="00F76C46"/>
    <w:rsid w:val="00F76FB1"/>
    <w:rsid w:val="00F775D8"/>
    <w:rsid w:val="00F77947"/>
    <w:rsid w:val="00F80B08"/>
    <w:rsid w:val="00F81C10"/>
    <w:rsid w:val="00F81D22"/>
    <w:rsid w:val="00F81F50"/>
    <w:rsid w:val="00F83335"/>
    <w:rsid w:val="00F84776"/>
    <w:rsid w:val="00F849C2"/>
    <w:rsid w:val="00F86AE4"/>
    <w:rsid w:val="00F86D37"/>
    <w:rsid w:val="00F87636"/>
    <w:rsid w:val="00F87D0A"/>
    <w:rsid w:val="00F918C8"/>
    <w:rsid w:val="00F91BA3"/>
    <w:rsid w:val="00F91C6E"/>
    <w:rsid w:val="00F91E81"/>
    <w:rsid w:val="00F92A13"/>
    <w:rsid w:val="00F92F4B"/>
    <w:rsid w:val="00F93286"/>
    <w:rsid w:val="00F932ED"/>
    <w:rsid w:val="00F93B12"/>
    <w:rsid w:val="00F94043"/>
    <w:rsid w:val="00F949F6"/>
    <w:rsid w:val="00F94E2F"/>
    <w:rsid w:val="00F9531B"/>
    <w:rsid w:val="00F958F4"/>
    <w:rsid w:val="00F95AC4"/>
    <w:rsid w:val="00F96E37"/>
    <w:rsid w:val="00FA0A57"/>
    <w:rsid w:val="00FA1219"/>
    <w:rsid w:val="00FA1966"/>
    <w:rsid w:val="00FA2D12"/>
    <w:rsid w:val="00FA343C"/>
    <w:rsid w:val="00FA4A4D"/>
    <w:rsid w:val="00FA566D"/>
    <w:rsid w:val="00FA568A"/>
    <w:rsid w:val="00FA6031"/>
    <w:rsid w:val="00FA60E6"/>
    <w:rsid w:val="00FB0145"/>
    <w:rsid w:val="00FB053D"/>
    <w:rsid w:val="00FB1668"/>
    <w:rsid w:val="00FB2011"/>
    <w:rsid w:val="00FB2ECF"/>
    <w:rsid w:val="00FB38AF"/>
    <w:rsid w:val="00FB441E"/>
    <w:rsid w:val="00FB5194"/>
    <w:rsid w:val="00FB562B"/>
    <w:rsid w:val="00FB785E"/>
    <w:rsid w:val="00FB7F80"/>
    <w:rsid w:val="00FC1AB5"/>
    <w:rsid w:val="00FC2042"/>
    <w:rsid w:val="00FC3097"/>
    <w:rsid w:val="00FC32C9"/>
    <w:rsid w:val="00FC5AC5"/>
    <w:rsid w:val="00FC6254"/>
    <w:rsid w:val="00FC6548"/>
    <w:rsid w:val="00FC6B5A"/>
    <w:rsid w:val="00FC7785"/>
    <w:rsid w:val="00FD02B7"/>
    <w:rsid w:val="00FD0675"/>
    <w:rsid w:val="00FD14A7"/>
    <w:rsid w:val="00FD1939"/>
    <w:rsid w:val="00FD31C0"/>
    <w:rsid w:val="00FD39DF"/>
    <w:rsid w:val="00FD427D"/>
    <w:rsid w:val="00FD4362"/>
    <w:rsid w:val="00FD43F2"/>
    <w:rsid w:val="00FD48B9"/>
    <w:rsid w:val="00FD52B3"/>
    <w:rsid w:val="00FD53CE"/>
    <w:rsid w:val="00FD587A"/>
    <w:rsid w:val="00FD5F18"/>
    <w:rsid w:val="00FE186B"/>
    <w:rsid w:val="00FE2700"/>
    <w:rsid w:val="00FE3165"/>
    <w:rsid w:val="00FE31E8"/>
    <w:rsid w:val="00FE4028"/>
    <w:rsid w:val="00FE611F"/>
    <w:rsid w:val="00FE6AA7"/>
    <w:rsid w:val="00FE7212"/>
    <w:rsid w:val="00FE7B33"/>
    <w:rsid w:val="00FF05EA"/>
    <w:rsid w:val="00FF09F1"/>
    <w:rsid w:val="00FF122B"/>
    <w:rsid w:val="00FF144A"/>
    <w:rsid w:val="00FF1F4F"/>
    <w:rsid w:val="00FF22BD"/>
    <w:rsid w:val="00FF3D04"/>
    <w:rsid w:val="00FF4E72"/>
    <w:rsid w:val="00FF5968"/>
    <w:rsid w:val="00FF658A"/>
    <w:rsid w:val="00FF66B3"/>
    <w:rsid w:val="016B3CA6"/>
    <w:rsid w:val="01CD7511"/>
    <w:rsid w:val="022E6D4C"/>
    <w:rsid w:val="02317836"/>
    <w:rsid w:val="02430B2B"/>
    <w:rsid w:val="02D57A60"/>
    <w:rsid w:val="02E836CB"/>
    <w:rsid w:val="03386882"/>
    <w:rsid w:val="03780553"/>
    <w:rsid w:val="03C93DE4"/>
    <w:rsid w:val="03CF276F"/>
    <w:rsid w:val="03FE7515"/>
    <w:rsid w:val="04104985"/>
    <w:rsid w:val="0410684E"/>
    <w:rsid w:val="05052E25"/>
    <w:rsid w:val="0528745E"/>
    <w:rsid w:val="052A1FDD"/>
    <w:rsid w:val="058C6F70"/>
    <w:rsid w:val="062126EF"/>
    <w:rsid w:val="0662250D"/>
    <w:rsid w:val="069756C9"/>
    <w:rsid w:val="06EA41D2"/>
    <w:rsid w:val="06F82B78"/>
    <w:rsid w:val="072E42E3"/>
    <w:rsid w:val="07D729CE"/>
    <w:rsid w:val="08404482"/>
    <w:rsid w:val="0968446C"/>
    <w:rsid w:val="09880AD8"/>
    <w:rsid w:val="0AA5328F"/>
    <w:rsid w:val="0B134589"/>
    <w:rsid w:val="0B1D082A"/>
    <w:rsid w:val="0B7E48FD"/>
    <w:rsid w:val="0BFB0153"/>
    <w:rsid w:val="0C712265"/>
    <w:rsid w:val="0CA00E3D"/>
    <w:rsid w:val="0CFC2EE8"/>
    <w:rsid w:val="0D417D41"/>
    <w:rsid w:val="0DC6668B"/>
    <w:rsid w:val="0E2F068D"/>
    <w:rsid w:val="0E545AFA"/>
    <w:rsid w:val="0F4628FA"/>
    <w:rsid w:val="0F594D76"/>
    <w:rsid w:val="0F9B2B5E"/>
    <w:rsid w:val="0FB106A7"/>
    <w:rsid w:val="0FB34829"/>
    <w:rsid w:val="0FD13773"/>
    <w:rsid w:val="0FF24AF1"/>
    <w:rsid w:val="105B51DC"/>
    <w:rsid w:val="10A5532B"/>
    <w:rsid w:val="10B02E63"/>
    <w:rsid w:val="10C14D02"/>
    <w:rsid w:val="11C22947"/>
    <w:rsid w:val="11C96F3F"/>
    <w:rsid w:val="126E4DBE"/>
    <w:rsid w:val="12E55F94"/>
    <w:rsid w:val="1308440F"/>
    <w:rsid w:val="13404493"/>
    <w:rsid w:val="135607B7"/>
    <w:rsid w:val="13776870"/>
    <w:rsid w:val="13B6593C"/>
    <w:rsid w:val="13BB5EEE"/>
    <w:rsid w:val="14537884"/>
    <w:rsid w:val="14593BBF"/>
    <w:rsid w:val="14B538EB"/>
    <w:rsid w:val="14D56C28"/>
    <w:rsid w:val="151C338A"/>
    <w:rsid w:val="1565002B"/>
    <w:rsid w:val="15E45DCF"/>
    <w:rsid w:val="164973BC"/>
    <w:rsid w:val="16D229E9"/>
    <w:rsid w:val="16D818E9"/>
    <w:rsid w:val="173D66F2"/>
    <w:rsid w:val="17430389"/>
    <w:rsid w:val="175C0959"/>
    <w:rsid w:val="177941D0"/>
    <w:rsid w:val="17DC532F"/>
    <w:rsid w:val="17EF566D"/>
    <w:rsid w:val="17FD6E0B"/>
    <w:rsid w:val="18800267"/>
    <w:rsid w:val="190310EC"/>
    <w:rsid w:val="19201D08"/>
    <w:rsid w:val="19731B79"/>
    <w:rsid w:val="198122A9"/>
    <w:rsid w:val="19847D59"/>
    <w:rsid w:val="1A024AC4"/>
    <w:rsid w:val="1AA57B5F"/>
    <w:rsid w:val="1B260840"/>
    <w:rsid w:val="1B597DC3"/>
    <w:rsid w:val="1B8E24F5"/>
    <w:rsid w:val="1BE761D2"/>
    <w:rsid w:val="1C2407D2"/>
    <w:rsid w:val="1C392717"/>
    <w:rsid w:val="1CAB6378"/>
    <w:rsid w:val="1D314742"/>
    <w:rsid w:val="1DB73C31"/>
    <w:rsid w:val="1E157A4A"/>
    <w:rsid w:val="1E5006DD"/>
    <w:rsid w:val="1E626810"/>
    <w:rsid w:val="1E7C1444"/>
    <w:rsid w:val="1EE44777"/>
    <w:rsid w:val="1F3A1F0D"/>
    <w:rsid w:val="1F515A41"/>
    <w:rsid w:val="1FC15C06"/>
    <w:rsid w:val="1FD561E6"/>
    <w:rsid w:val="20767B13"/>
    <w:rsid w:val="208E2D86"/>
    <w:rsid w:val="20A41BDD"/>
    <w:rsid w:val="21354379"/>
    <w:rsid w:val="21432F64"/>
    <w:rsid w:val="21BC2A3F"/>
    <w:rsid w:val="21D218F6"/>
    <w:rsid w:val="21EE38EF"/>
    <w:rsid w:val="224A72AF"/>
    <w:rsid w:val="22547760"/>
    <w:rsid w:val="22723839"/>
    <w:rsid w:val="230B6C59"/>
    <w:rsid w:val="2317298E"/>
    <w:rsid w:val="232C1B42"/>
    <w:rsid w:val="23C823BC"/>
    <w:rsid w:val="23E454E0"/>
    <w:rsid w:val="24057464"/>
    <w:rsid w:val="24767F86"/>
    <w:rsid w:val="24A42D4D"/>
    <w:rsid w:val="24D34D10"/>
    <w:rsid w:val="24F46692"/>
    <w:rsid w:val="25D57113"/>
    <w:rsid w:val="26D60601"/>
    <w:rsid w:val="26E51EF5"/>
    <w:rsid w:val="26FE01DA"/>
    <w:rsid w:val="28012834"/>
    <w:rsid w:val="28017784"/>
    <w:rsid w:val="287F157E"/>
    <w:rsid w:val="28D41922"/>
    <w:rsid w:val="28DD78F7"/>
    <w:rsid w:val="29CC726F"/>
    <w:rsid w:val="29D5537D"/>
    <w:rsid w:val="29ED2E52"/>
    <w:rsid w:val="2AD02892"/>
    <w:rsid w:val="2AED414D"/>
    <w:rsid w:val="2B5E29D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7834E6"/>
    <w:rsid w:val="31922776"/>
    <w:rsid w:val="31B441AF"/>
    <w:rsid w:val="326D2B4F"/>
    <w:rsid w:val="32A81084"/>
    <w:rsid w:val="32D70991"/>
    <w:rsid w:val="33645134"/>
    <w:rsid w:val="33B2679E"/>
    <w:rsid w:val="33DC14FA"/>
    <w:rsid w:val="33F03413"/>
    <w:rsid w:val="33FE5EE3"/>
    <w:rsid w:val="34F34C56"/>
    <w:rsid w:val="357A5788"/>
    <w:rsid w:val="357C0E23"/>
    <w:rsid w:val="35A12C25"/>
    <w:rsid w:val="35C65A22"/>
    <w:rsid w:val="360308BC"/>
    <w:rsid w:val="36147632"/>
    <w:rsid w:val="364D4D27"/>
    <w:rsid w:val="36530971"/>
    <w:rsid w:val="36561BAE"/>
    <w:rsid w:val="36610C56"/>
    <w:rsid w:val="366B24CA"/>
    <w:rsid w:val="369710F6"/>
    <w:rsid w:val="37133678"/>
    <w:rsid w:val="374D486F"/>
    <w:rsid w:val="376916D4"/>
    <w:rsid w:val="376E6E4C"/>
    <w:rsid w:val="37D705FE"/>
    <w:rsid w:val="38095396"/>
    <w:rsid w:val="385666E5"/>
    <w:rsid w:val="38DB70E7"/>
    <w:rsid w:val="38DF1432"/>
    <w:rsid w:val="3A8E40C5"/>
    <w:rsid w:val="3AD16F1E"/>
    <w:rsid w:val="3B192EFF"/>
    <w:rsid w:val="3BCE25E6"/>
    <w:rsid w:val="3C1B106D"/>
    <w:rsid w:val="3C4A7A83"/>
    <w:rsid w:val="3C8F7C8D"/>
    <w:rsid w:val="3CEA2ACF"/>
    <w:rsid w:val="3D0C77C5"/>
    <w:rsid w:val="3D48523F"/>
    <w:rsid w:val="3D8B06B4"/>
    <w:rsid w:val="3DC46A40"/>
    <w:rsid w:val="3DFB6043"/>
    <w:rsid w:val="3F3618F0"/>
    <w:rsid w:val="3FA25215"/>
    <w:rsid w:val="3FC14E74"/>
    <w:rsid w:val="40275E65"/>
    <w:rsid w:val="404A6865"/>
    <w:rsid w:val="40731D0B"/>
    <w:rsid w:val="408738DD"/>
    <w:rsid w:val="40BD25B1"/>
    <w:rsid w:val="41540A99"/>
    <w:rsid w:val="41560048"/>
    <w:rsid w:val="41BC1F10"/>
    <w:rsid w:val="424B3AFB"/>
    <w:rsid w:val="42BD13B0"/>
    <w:rsid w:val="42E250CC"/>
    <w:rsid w:val="436051E9"/>
    <w:rsid w:val="43765341"/>
    <w:rsid w:val="45E60474"/>
    <w:rsid w:val="46886E13"/>
    <w:rsid w:val="46C1077C"/>
    <w:rsid w:val="46CE0949"/>
    <w:rsid w:val="476756F9"/>
    <w:rsid w:val="47756B56"/>
    <w:rsid w:val="478F3EA7"/>
    <w:rsid w:val="47AD3F78"/>
    <w:rsid w:val="482B5C12"/>
    <w:rsid w:val="48591370"/>
    <w:rsid w:val="492C3528"/>
    <w:rsid w:val="49B4651F"/>
    <w:rsid w:val="49D066E0"/>
    <w:rsid w:val="49D639C4"/>
    <w:rsid w:val="49DF23EE"/>
    <w:rsid w:val="49E30303"/>
    <w:rsid w:val="49E329B9"/>
    <w:rsid w:val="4A5A551E"/>
    <w:rsid w:val="4A9C1DE8"/>
    <w:rsid w:val="4AED1B3A"/>
    <w:rsid w:val="4BA171CC"/>
    <w:rsid w:val="4CE6400E"/>
    <w:rsid w:val="4CF906E8"/>
    <w:rsid w:val="4D5670A7"/>
    <w:rsid w:val="4D5D1F52"/>
    <w:rsid w:val="4DBC63C0"/>
    <w:rsid w:val="4E540763"/>
    <w:rsid w:val="4E72442D"/>
    <w:rsid w:val="4EB0364A"/>
    <w:rsid w:val="4F5D7111"/>
    <w:rsid w:val="4F8E36B5"/>
    <w:rsid w:val="4FA45F82"/>
    <w:rsid w:val="4FC20AA7"/>
    <w:rsid w:val="4FE80B78"/>
    <w:rsid w:val="4FF026F6"/>
    <w:rsid w:val="50031CC4"/>
    <w:rsid w:val="505F1EFD"/>
    <w:rsid w:val="509F6857"/>
    <w:rsid w:val="50B70587"/>
    <w:rsid w:val="50F2027E"/>
    <w:rsid w:val="513D1102"/>
    <w:rsid w:val="519A03E7"/>
    <w:rsid w:val="521024B8"/>
    <w:rsid w:val="523978C1"/>
    <w:rsid w:val="52DD0A68"/>
    <w:rsid w:val="52EC7E76"/>
    <w:rsid w:val="5345588D"/>
    <w:rsid w:val="53B034DF"/>
    <w:rsid w:val="54DE0F4F"/>
    <w:rsid w:val="54E53259"/>
    <w:rsid w:val="54E97D97"/>
    <w:rsid w:val="55B769EE"/>
    <w:rsid w:val="560B1770"/>
    <w:rsid w:val="563D07A6"/>
    <w:rsid w:val="56721F39"/>
    <w:rsid w:val="568527A9"/>
    <w:rsid w:val="570D1B3D"/>
    <w:rsid w:val="57381ED9"/>
    <w:rsid w:val="57787D9B"/>
    <w:rsid w:val="577C1E80"/>
    <w:rsid w:val="579E6879"/>
    <w:rsid w:val="588C0AAD"/>
    <w:rsid w:val="58AA3B72"/>
    <w:rsid w:val="58F05AD9"/>
    <w:rsid w:val="59036554"/>
    <w:rsid w:val="59200143"/>
    <w:rsid w:val="5A812E59"/>
    <w:rsid w:val="5A995DAB"/>
    <w:rsid w:val="5ABA7460"/>
    <w:rsid w:val="5AF779F8"/>
    <w:rsid w:val="5B7B0345"/>
    <w:rsid w:val="5B9C24F1"/>
    <w:rsid w:val="5B9E50D3"/>
    <w:rsid w:val="5BB46CAC"/>
    <w:rsid w:val="5C105F94"/>
    <w:rsid w:val="5C251D7A"/>
    <w:rsid w:val="5CBE4561"/>
    <w:rsid w:val="5CBF064C"/>
    <w:rsid w:val="5CFA1CEF"/>
    <w:rsid w:val="5D2C49EA"/>
    <w:rsid w:val="5D5B22C0"/>
    <w:rsid w:val="5DB73653"/>
    <w:rsid w:val="5DDF5D0B"/>
    <w:rsid w:val="5DE44F8E"/>
    <w:rsid w:val="5E2F576D"/>
    <w:rsid w:val="5E4274C8"/>
    <w:rsid w:val="5E92568E"/>
    <w:rsid w:val="5EC82C37"/>
    <w:rsid w:val="5ECC1828"/>
    <w:rsid w:val="5EF210D2"/>
    <w:rsid w:val="5F042BD4"/>
    <w:rsid w:val="5F230F76"/>
    <w:rsid w:val="5F2447E2"/>
    <w:rsid w:val="602A170A"/>
    <w:rsid w:val="60437933"/>
    <w:rsid w:val="605A28BD"/>
    <w:rsid w:val="610B183C"/>
    <w:rsid w:val="61110D5A"/>
    <w:rsid w:val="61613AC5"/>
    <w:rsid w:val="61811391"/>
    <w:rsid w:val="61B028AE"/>
    <w:rsid w:val="61D640C8"/>
    <w:rsid w:val="61F17EFD"/>
    <w:rsid w:val="621D5FD0"/>
    <w:rsid w:val="625351F3"/>
    <w:rsid w:val="62553A9B"/>
    <w:rsid w:val="62A954D2"/>
    <w:rsid w:val="63D66D3A"/>
    <w:rsid w:val="640D0C28"/>
    <w:rsid w:val="6445786C"/>
    <w:rsid w:val="644E61D8"/>
    <w:rsid w:val="64CD559E"/>
    <w:rsid w:val="65C02314"/>
    <w:rsid w:val="65F36F7A"/>
    <w:rsid w:val="65FA5B9B"/>
    <w:rsid w:val="667C6BC9"/>
    <w:rsid w:val="67525716"/>
    <w:rsid w:val="67557264"/>
    <w:rsid w:val="67AC14B0"/>
    <w:rsid w:val="67BD17AC"/>
    <w:rsid w:val="67FF3173"/>
    <w:rsid w:val="68517281"/>
    <w:rsid w:val="68567627"/>
    <w:rsid w:val="69247457"/>
    <w:rsid w:val="698A4060"/>
    <w:rsid w:val="699B23DE"/>
    <w:rsid w:val="69BE5464"/>
    <w:rsid w:val="69E14866"/>
    <w:rsid w:val="6A136E9E"/>
    <w:rsid w:val="6A3B5037"/>
    <w:rsid w:val="6B4F0843"/>
    <w:rsid w:val="6B7867DE"/>
    <w:rsid w:val="6BA90006"/>
    <w:rsid w:val="6BF65381"/>
    <w:rsid w:val="6C161E18"/>
    <w:rsid w:val="6CBB08C6"/>
    <w:rsid w:val="6D2A351D"/>
    <w:rsid w:val="6D2C5AA6"/>
    <w:rsid w:val="6E3431D3"/>
    <w:rsid w:val="6E64590C"/>
    <w:rsid w:val="6E815E20"/>
    <w:rsid w:val="6EC35D97"/>
    <w:rsid w:val="6F4D188F"/>
    <w:rsid w:val="6F682E22"/>
    <w:rsid w:val="6F827E1F"/>
    <w:rsid w:val="6FA716EA"/>
    <w:rsid w:val="6FBE33DD"/>
    <w:rsid w:val="6FE17280"/>
    <w:rsid w:val="70695629"/>
    <w:rsid w:val="70AE3055"/>
    <w:rsid w:val="70B86A28"/>
    <w:rsid w:val="71180965"/>
    <w:rsid w:val="71C9438B"/>
    <w:rsid w:val="71EB232F"/>
    <w:rsid w:val="71F22395"/>
    <w:rsid w:val="72E03AF4"/>
    <w:rsid w:val="72F14B3B"/>
    <w:rsid w:val="732F3A9D"/>
    <w:rsid w:val="73310943"/>
    <w:rsid w:val="736E713E"/>
    <w:rsid w:val="73821076"/>
    <w:rsid w:val="73AA2969"/>
    <w:rsid w:val="73B22405"/>
    <w:rsid w:val="73CF1F2D"/>
    <w:rsid w:val="73FC1BEE"/>
    <w:rsid w:val="74822716"/>
    <w:rsid w:val="74A77D79"/>
    <w:rsid w:val="74BB2C8C"/>
    <w:rsid w:val="74CB2345"/>
    <w:rsid w:val="74D44523"/>
    <w:rsid w:val="74EE2280"/>
    <w:rsid w:val="750D3D28"/>
    <w:rsid w:val="756176A1"/>
    <w:rsid w:val="75C5459B"/>
    <w:rsid w:val="765866EF"/>
    <w:rsid w:val="766429FA"/>
    <w:rsid w:val="76D45B66"/>
    <w:rsid w:val="76FE2417"/>
    <w:rsid w:val="770A5917"/>
    <w:rsid w:val="771E653D"/>
    <w:rsid w:val="77222009"/>
    <w:rsid w:val="7763578D"/>
    <w:rsid w:val="7781219A"/>
    <w:rsid w:val="788E700F"/>
    <w:rsid w:val="794006DB"/>
    <w:rsid w:val="79D85CE8"/>
    <w:rsid w:val="79FC27A4"/>
    <w:rsid w:val="7A1E0BB7"/>
    <w:rsid w:val="7A322C02"/>
    <w:rsid w:val="7AF65F04"/>
    <w:rsid w:val="7B052BD7"/>
    <w:rsid w:val="7B072853"/>
    <w:rsid w:val="7B5B2FAF"/>
    <w:rsid w:val="7BA10F88"/>
    <w:rsid w:val="7C855CB8"/>
    <w:rsid w:val="7CA44252"/>
    <w:rsid w:val="7DA40457"/>
    <w:rsid w:val="7DB479EE"/>
    <w:rsid w:val="7DCD6635"/>
    <w:rsid w:val="7E9C1324"/>
    <w:rsid w:val="7EE36967"/>
    <w:rsid w:val="7F4108E0"/>
    <w:rsid w:val="7F9663C3"/>
    <w:rsid w:val="7FA345E5"/>
    <w:rsid w:val="7FB360BF"/>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nhideWhenUsed="0" w:uiPriority="0" w:semiHidden="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5" w:lineRule="auto"/>
      <w:outlineLvl w:val="2"/>
    </w:pPr>
    <w:rPr>
      <w:b/>
      <w:bCs/>
      <w:sz w:val="32"/>
      <w:szCs w:val="32"/>
    </w:rPr>
  </w:style>
  <w:style w:type="paragraph" w:styleId="5">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0"/>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51"/>
    <w:qFormat/>
    <w:uiPriority w:val="9"/>
    <w:pPr>
      <w:keepNext/>
      <w:keepLines/>
      <w:spacing w:before="240" w:after="64" w:line="320" w:lineRule="auto"/>
      <w:outlineLvl w:val="5"/>
    </w:pPr>
    <w:rPr>
      <w:rFonts w:ascii="Cambria" w:hAnsi="Cambria"/>
      <w:b/>
      <w:bCs/>
      <w:sz w:val="24"/>
    </w:rPr>
  </w:style>
  <w:style w:type="paragraph" w:styleId="8">
    <w:name w:val="heading 7"/>
    <w:basedOn w:val="1"/>
    <w:next w:val="1"/>
    <w:link w:val="52"/>
    <w:qFormat/>
    <w:uiPriority w:val="9"/>
    <w:pPr>
      <w:keepNext/>
      <w:keepLines/>
      <w:spacing w:before="240" w:after="64" w:line="320" w:lineRule="auto"/>
      <w:ind w:left="1296" w:hanging="1296"/>
      <w:outlineLvl w:val="6"/>
    </w:pPr>
    <w:rPr>
      <w:b/>
      <w:bCs/>
      <w:sz w:val="24"/>
    </w:rPr>
  </w:style>
  <w:style w:type="paragraph" w:styleId="9">
    <w:name w:val="heading 8"/>
    <w:basedOn w:val="1"/>
    <w:next w:val="1"/>
    <w:link w:val="53"/>
    <w:qFormat/>
    <w:uiPriority w:val="9"/>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54"/>
    <w:qFormat/>
    <w:uiPriority w:val="9"/>
    <w:pPr>
      <w:keepNext/>
      <w:keepLines/>
      <w:spacing w:before="240" w:after="64" w:line="320" w:lineRule="auto"/>
      <w:ind w:left="1584" w:hanging="1584"/>
      <w:outlineLvl w:val="8"/>
    </w:pPr>
    <w:rPr>
      <w:rFonts w:ascii="Cambria" w:hAnsi="Cambria"/>
      <w:szCs w:val="21"/>
    </w:rPr>
  </w:style>
  <w:style w:type="character" w:default="1" w:styleId="41">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57"/>
    <w:qFormat/>
    <w:uiPriority w:val="0"/>
    <w:pPr>
      <w:ind w:firstLine="200" w:firstLineChars="200"/>
    </w:pPr>
  </w:style>
  <w:style w:type="paragraph" w:styleId="13">
    <w:name w:val="Document Map"/>
    <w:basedOn w:val="1"/>
    <w:link w:val="58"/>
    <w:qFormat/>
    <w:uiPriority w:val="99"/>
    <w:rPr>
      <w:rFonts w:ascii="宋体"/>
      <w:sz w:val="18"/>
      <w:szCs w:val="18"/>
    </w:rPr>
  </w:style>
  <w:style w:type="paragraph" w:styleId="14">
    <w:name w:val="annotation text"/>
    <w:basedOn w:val="1"/>
    <w:link w:val="55"/>
    <w:qFormat/>
    <w:uiPriority w:val="99"/>
    <w:pPr>
      <w:jc w:val="left"/>
    </w:pPr>
  </w:style>
  <w:style w:type="paragraph" w:styleId="15">
    <w:name w:val="Body Text 3"/>
    <w:basedOn w:val="1"/>
    <w:link w:val="103"/>
    <w:qFormat/>
    <w:uiPriority w:val="0"/>
    <w:pPr>
      <w:spacing w:after="0" w:line="240" w:lineRule="auto"/>
      <w:jc w:val="center"/>
    </w:pPr>
    <w:rPr>
      <w:rFonts w:ascii="Times New Roman" w:hAnsi="Times New Roman" w:eastAsia="黑体"/>
      <w:kern w:val="0"/>
      <w:sz w:val="44"/>
    </w:rPr>
  </w:style>
  <w:style w:type="paragraph" w:styleId="16">
    <w:name w:val="Body Text"/>
    <w:basedOn w:val="1"/>
    <w:link w:val="96"/>
    <w:qFormat/>
    <w:uiPriority w:val="0"/>
    <w:pPr>
      <w:spacing w:after="120" w:line="240" w:lineRule="auto"/>
    </w:pPr>
    <w:rPr>
      <w:kern w:val="0"/>
      <w:sz w:val="20"/>
    </w:rPr>
  </w:style>
  <w:style w:type="paragraph" w:styleId="17">
    <w:name w:val="Body Text Indent"/>
    <w:basedOn w:val="1"/>
    <w:link w:val="59"/>
    <w:qFormat/>
    <w:uiPriority w:val="0"/>
    <w:pPr>
      <w:ind w:firstLine="630"/>
    </w:pPr>
    <w:rPr>
      <w:sz w:val="32"/>
      <w:szCs w:val="20"/>
    </w:rPr>
  </w:style>
  <w:style w:type="paragraph" w:styleId="18">
    <w:name w:val="toc 5"/>
    <w:basedOn w:val="1"/>
    <w:next w:val="1"/>
    <w:qFormat/>
    <w:uiPriority w:val="39"/>
    <w:pPr>
      <w:ind w:left="1680" w:leftChars="800"/>
    </w:pPr>
  </w:style>
  <w:style w:type="paragraph" w:styleId="19">
    <w:name w:val="toc 3"/>
    <w:basedOn w:val="1"/>
    <w:next w:val="1"/>
    <w:qFormat/>
    <w:uiPriority w:val="39"/>
    <w:pPr>
      <w:ind w:left="840" w:leftChars="400"/>
    </w:pPr>
  </w:style>
  <w:style w:type="paragraph" w:styleId="20">
    <w:name w:val="Plain Text"/>
    <w:basedOn w:val="1"/>
    <w:link w:val="73"/>
    <w:qFormat/>
    <w:uiPriority w:val="0"/>
    <w:pPr>
      <w:spacing w:after="0" w:line="240" w:lineRule="auto"/>
    </w:pPr>
    <w:rPr>
      <w:rFonts w:ascii="宋体" w:hAnsi="Courier New" w:cs="Courier New"/>
      <w:kern w:val="0"/>
      <w:sz w:val="20"/>
      <w:szCs w:val="21"/>
    </w:rPr>
  </w:style>
  <w:style w:type="paragraph" w:styleId="21">
    <w:name w:val="toc 8"/>
    <w:basedOn w:val="1"/>
    <w:next w:val="1"/>
    <w:qFormat/>
    <w:uiPriority w:val="39"/>
    <w:pPr>
      <w:ind w:left="2940" w:leftChars="1400"/>
    </w:pPr>
  </w:style>
  <w:style w:type="paragraph" w:styleId="22">
    <w:name w:val="Date"/>
    <w:basedOn w:val="1"/>
    <w:next w:val="1"/>
    <w:link w:val="83"/>
    <w:qFormat/>
    <w:uiPriority w:val="0"/>
    <w:pPr>
      <w:spacing w:after="0" w:line="240" w:lineRule="auto"/>
      <w:ind w:left="100" w:leftChars="2500"/>
    </w:pPr>
    <w:rPr>
      <w:kern w:val="0"/>
      <w:sz w:val="20"/>
    </w:rPr>
  </w:style>
  <w:style w:type="paragraph" w:styleId="23">
    <w:name w:val="Body Text Indent 2"/>
    <w:basedOn w:val="1"/>
    <w:link w:val="92"/>
    <w:qFormat/>
    <w:uiPriority w:val="0"/>
    <w:pPr>
      <w:spacing w:after="120" w:line="480" w:lineRule="auto"/>
      <w:ind w:left="420" w:leftChars="200"/>
    </w:pPr>
    <w:rPr>
      <w:rFonts w:ascii="Times New Roman" w:hAnsi="Times New Roman"/>
      <w:kern w:val="0"/>
      <w:sz w:val="20"/>
    </w:rPr>
  </w:style>
  <w:style w:type="paragraph" w:styleId="24">
    <w:name w:val="Balloon Text"/>
    <w:basedOn w:val="1"/>
    <w:link w:val="60"/>
    <w:qFormat/>
    <w:uiPriority w:val="99"/>
    <w:rPr>
      <w:sz w:val="18"/>
      <w:szCs w:val="18"/>
    </w:rPr>
  </w:style>
  <w:style w:type="paragraph" w:styleId="25">
    <w:name w:val="footer"/>
    <w:basedOn w:val="1"/>
    <w:link w:val="61"/>
    <w:qFormat/>
    <w:uiPriority w:val="0"/>
    <w:pPr>
      <w:tabs>
        <w:tab w:val="center" w:pos="4153"/>
        <w:tab w:val="right" w:pos="8306"/>
      </w:tabs>
      <w:snapToGrid w:val="0"/>
      <w:jc w:val="left"/>
    </w:pPr>
    <w:rPr>
      <w:sz w:val="18"/>
      <w:szCs w:val="20"/>
    </w:rPr>
  </w:style>
  <w:style w:type="paragraph" w:styleId="26">
    <w:name w:val="header"/>
    <w:basedOn w:val="1"/>
    <w:link w:val="62"/>
    <w:qFormat/>
    <w:uiPriority w:val="99"/>
    <w:pPr>
      <w:pBdr>
        <w:bottom w:val="single" w:color="auto" w:sz="6" w:space="1"/>
      </w:pBdr>
      <w:tabs>
        <w:tab w:val="center" w:pos="4153"/>
        <w:tab w:val="right" w:pos="8306"/>
      </w:tabs>
      <w:snapToGrid w:val="0"/>
      <w:jc w:val="center"/>
    </w:pPr>
    <w:rPr>
      <w:sz w:val="18"/>
      <w:szCs w:val="20"/>
    </w:rPr>
  </w:style>
  <w:style w:type="paragraph" w:styleId="27">
    <w:name w:val="toc 1"/>
    <w:basedOn w:val="1"/>
    <w:next w:val="1"/>
    <w:qFormat/>
    <w:uiPriority w:val="39"/>
  </w:style>
  <w:style w:type="paragraph" w:styleId="28">
    <w:name w:val="toc 4"/>
    <w:basedOn w:val="1"/>
    <w:next w:val="1"/>
    <w:qFormat/>
    <w:uiPriority w:val="39"/>
    <w:pPr>
      <w:ind w:left="1260" w:leftChars="600"/>
    </w:pPr>
  </w:style>
  <w:style w:type="paragraph" w:styleId="29">
    <w:name w:val="Subtitle"/>
    <w:basedOn w:val="1"/>
    <w:next w:val="1"/>
    <w:link w:val="102"/>
    <w:qFormat/>
    <w:uiPriority w:val="11"/>
    <w:pPr>
      <w:spacing w:before="240" w:after="60" w:line="312" w:lineRule="auto"/>
      <w:jc w:val="center"/>
      <w:outlineLvl w:val="1"/>
    </w:pPr>
    <w:rPr>
      <w:rFonts w:ascii="Cambria" w:hAnsi="Cambria"/>
      <w:b/>
      <w:bCs/>
      <w:kern w:val="28"/>
      <w:sz w:val="32"/>
      <w:szCs w:val="32"/>
    </w:rPr>
  </w:style>
  <w:style w:type="paragraph" w:styleId="30">
    <w:name w:val="List Number 5"/>
    <w:basedOn w:val="1"/>
    <w:qFormat/>
    <w:uiPriority w:val="0"/>
    <w:pPr>
      <w:widowControl/>
      <w:tabs>
        <w:tab w:val="left" w:pos="2040"/>
      </w:tabs>
      <w:spacing w:after="0" w:line="240" w:lineRule="atLeast"/>
      <w:ind w:left="800" w:leftChars="800" w:hanging="200" w:hangingChars="200"/>
    </w:pPr>
    <w:rPr>
      <w:rFonts w:ascii="Arial" w:hAnsi="Arial"/>
      <w:kern w:val="0"/>
      <w:szCs w:val="21"/>
    </w:rPr>
  </w:style>
  <w:style w:type="paragraph" w:styleId="31">
    <w:name w:val="toc 6"/>
    <w:basedOn w:val="1"/>
    <w:next w:val="1"/>
    <w:qFormat/>
    <w:uiPriority w:val="39"/>
    <w:pPr>
      <w:ind w:left="2100" w:leftChars="1000"/>
    </w:pPr>
  </w:style>
  <w:style w:type="paragraph" w:styleId="32">
    <w:name w:val="Body Text Indent 3"/>
    <w:basedOn w:val="1"/>
    <w:link w:val="78"/>
    <w:qFormat/>
    <w:uiPriority w:val="0"/>
    <w:pPr>
      <w:spacing w:after="120" w:line="240" w:lineRule="auto"/>
      <w:ind w:left="420" w:leftChars="200"/>
    </w:pPr>
    <w:rPr>
      <w:rFonts w:ascii="Times New Roman" w:hAnsi="Times New Roman"/>
      <w:kern w:val="0"/>
      <w:sz w:val="16"/>
      <w:szCs w:val="16"/>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3360" w:leftChars="1600"/>
    </w:pPr>
  </w:style>
  <w:style w:type="paragraph" w:styleId="35">
    <w:name w:val="Normal (Web)"/>
    <w:basedOn w:val="1"/>
    <w:qFormat/>
    <w:uiPriority w:val="99"/>
    <w:pPr>
      <w:widowControl/>
      <w:spacing w:before="100" w:beforeAutospacing="1" w:after="100" w:afterAutospacing="1"/>
      <w:jc w:val="left"/>
    </w:pPr>
    <w:rPr>
      <w:rFonts w:ascii="宋体"/>
      <w:kern w:val="0"/>
      <w:sz w:val="18"/>
      <w:szCs w:val="18"/>
    </w:rPr>
  </w:style>
  <w:style w:type="paragraph" w:styleId="36">
    <w:name w:val="Title"/>
    <w:basedOn w:val="1"/>
    <w:next w:val="1"/>
    <w:link w:val="76"/>
    <w:qFormat/>
    <w:uiPriority w:val="10"/>
    <w:pPr>
      <w:spacing w:before="240" w:after="60" w:line="240" w:lineRule="auto"/>
      <w:jc w:val="center"/>
      <w:outlineLvl w:val="0"/>
    </w:pPr>
    <w:rPr>
      <w:rFonts w:ascii="Cambria" w:hAnsi="Cambria"/>
      <w:b/>
      <w:bCs/>
      <w:kern w:val="0"/>
      <w:sz w:val="32"/>
      <w:szCs w:val="32"/>
    </w:rPr>
  </w:style>
  <w:style w:type="paragraph" w:styleId="37">
    <w:name w:val="annotation subject"/>
    <w:basedOn w:val="14"/>
    <w:next w:val="14"/>
    <w:link w:val="56"/>
    <w:qFormat/>
    <w:uiPriority w:val="99"/>
    <w:rPr>
      <w:b/>
      <w:bCs/>
    </w:rPr>
  </w:style>
  <w:style w:type="paragraph" w:styleId="38">
    <w:name w:val="Body Text First Indent 2"/>
    <w:basedOn w:val="17"/>
    <w:link w:val="108"/>
    <w:qFormat/>
    <w:uiPriority w:val="0"/>
    <w:pPr>
      <w:spacing w:after="120" w:line="240" w:lineRule="auto"/>
      <w:ind w:left="420" w:leftChars="200" w:firstLine="420" w:firstLineChars="200"/>
    </w:pPr>
    <w:rPr>
      <w:kern w:val="0"/>
      <w:sz w:val="20"/>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rFonts w:ascii="Times New Roman" w:hAnsi="Times New Roman" w:eastAsia="宋体" w:cs="Times New Roman"/>
      <w:b/>
      <w:bCs/>
    </w:rPr>
  </w:style>
  <w:style w:type="character" w:styleId="43">
    <w:name w:val="page number"/>
    <w:qFormat/>
    <w:uiPriority w:val="0"/>
  </w:style>
  <w:style w:type="character" w:styleId="44">
    <w:name w:val="Hyperlink"/>
    <w:basedOn w:val="41"/>
    <w:unhideWhenUsed/>
    <w:qFormat/>
    <w:uiPriority w:val="99"/>
    <w:rPr>
      <w:color w:val="0563C1" w:themeColor="hyperlink"/>
      <w:u w:val="single"/>
      <w14:textFill>
        <w14:solidFill>
          <w14:schemeClr w14:val="hlink"/>
        </w14:solidFill>
      </w14:textFill>
    </w:rPr>
  </w:style>
  <w:style w:type="character" w:styleId="45">
    <w:name w:val="annotation reference"/>
    <w:qFormat/>
    <w:uiPriority w:val="0"/>
    <w:rPr>
      <w:sz w:val="21"/>
      <w:szCs w:val="21"/>
    </w:rPr>
  </w:style>
  <w:style w:type="character" w:customStyle="1" w:styleId="46">
    <w:name w:val="标题 1 Char"/>
    <w:link w:val="2"/>
    <w:qFormat/>
    <w:uiPriority w:val="9"/>
    <w:rPr>
      <w:b/>
      <w:bCs/>
      <w:kern w:val="44"/>
      <w:sz w:val="44"/>
      <w:szCs w:val="44"/>
    </w:rPr>
  </w:style>
  <w:style w:type="character" w:customStyle="1" w:styleId="47">
    <w:name w:val="标题 2 Char"/>
    <w:basedOn w:val="41"/>
    <w:link w:val="3"/>
    <w:qFormat/>
    <w:uiPriority w:val="9"/>
    <w:rPr>
      <w:rFonts w:ascii="Arial" w:hAnsi="Arial" w:eastAsia="黑体"/>
      <w:b/>
      <w:bCs/>
      <w:kern w:val="2"/>
      <w:sz w:val="32"/>
      <w:szCs w:val="32"/>
    </w:rPr>
  </w:style>
  <w:style w:type="character" w:customStyle="1" w:styleId="48">
    <w:name w:val="标题 3 Char"/>
    <w:basedOn w:val="41"/>
    <w:link w:val="4"/>
    <w:qFormat/>
    <w:uiPriority w:val="0"/>
    <w:rPr>
      <w:b/>
      <w:bCs/>
      <w:kern w:val="2"/>
      <w:sz w:val="32"/>
      <w:szCs w:val="32"/>
    </w:rPr>
  </w:style>
  <w:style w:type="character" w:customStyle="1" w:styleId="49">
    <w:name w:val="标题 4 Char"/>
    <w:basedOn w:val="41"/>
    <w:link w:val="5"/>
    <w:qFormat/>
    <w:uiPriority w:val="0"/>
    <w:rPr>
      <w:rFonts w:ascii="Cambria" w:hAnsi="Cambria"/>
      <w:b/>
      <w:bCs/>
      <w:kern w:val="2"/>
      <w:sz w:val="28"/>
      <w:szCs w:val="28"/>
    </w:rPr>
  </w:style>
  <w:style w:type="character" w:customStyle="1" w:styleId="50">
    <w:name w:val="标题 5 Char"/>
    <w:basedOn w:val="41"/>
    <w:link w:val="6"/>
    <w:qFormat/>
    <w:uiPriority w:val="9"/>
    <w:rPr>
      <w:rFonts w:ascii="Times New Roman" w:hAnsi="Times New Roman"/>
      <w:b/>
      <w:bCs/>
      <w:kern w:val="2"/>
      <w:sz w:val="28"/>
      <w:szCs w:val="28"/>
    </w:rPr>
  </w:style>
  <w:style w:type="character" w:customStyle="1" w:styleId="51">
    <w:name w:val="标题 6 Char"/>
    <w:basedOn w:val="41"/>
    <w:link w:val="7"/>
    <w:qFormat/>
    <w:uiPriority w:val="9"/>
    <w:rPr>
      <w:rFonts w:ascii="Cambria" w:hAnsi="Cambria"/>
      <w:b/>
      <w:bCs/>
      <w:kern w:val="2"/>
      <w:sz w:val="24"/>
      <w:szCs w:val="24"/>
    </w:rPr>
  </w:style>
  <w:style w:type="character" w:customStyle="1" w:styleId="52">
    <w:name w:val="标题 7 Char"/>
    <w:basedOn w:val="41"/>
    <w:link w:val="8"/>
    <w:qFormat/>
    <w:uiPriority w:val="9"/>
    <w:rPr>
      <w:b/>
      <w:bCs/>
      <w:kern w:val="2"/>
      <w:sz w:val="24"/>
      <w:szCs w:val="24"/>
    </w:rPr>
  </w:style>
  <w:style w:type="character" w:customStyle="1" w:styleId="53">
    <w:name w:val="标题 8 Char"/>
    <w:basedOn w:val="41"/>
    <w:link w:val="9"/>
    <w:qFormat/>
    <w:uiPriority w:val="9"/>
    <w:rPr>
      <w:rFonts w:ascii="Cambria" w:hAnsi="Cambria"/>
      <w:kern w:val="2"/>
      <w:sz w:val="24"/>
      <w:szCs w:val="24"/>
    </w:rPr>
  </w:style>
  <w:style w:type="character" w:customStyle="1" w:styleId="54">
    <w:name w:val="标题 9 Char"/>
    <w:basedOn w:val="41"/>
    <w:link w:val="10"/>
    <w:qFormat/>
    <w:uiPriority w:val="9"/>
    <w:rPr>
      <w:rFonts w:ascii="Cambria" w:hAnsi="Cambria"/>
      <w:kern w:val="2"/>
      <w:sz w:val="21"/>
      <w:szCs w:val="21"/>
    </w:rPr>
  </w:style>
  <w:style w:type="character" w:customStyle="1" w:styleId="55">
    <w:name w:val="批注文字 Char3"/>
    <w:link w:val="14"/>
    <w:qFormat/>
    <w:uiPriority w:val="99"/>
    <w:rPr>
      <w:kern w:val="2"/>
      <w:sz w:val="21"/>
      <w:szCs w:val="24"/>
    </w:rPr>
  </w:style>
  <w:style w:type="character" w:customStyle="1" w:styleId="56">
    <w:name w:val="批注主题 Char"/>
    <w:link w:val="37"/>
    <w:qFormat/>
    <w:uiPriority w:val="99"/>
    <w:rPr>
      <w:b/>
      <w:bCs/>
      <w:kern w:val="2"/>
      <w:sz w:val="21"/>
      <w:szCs w:val="24"/>
    </w:rPr>
  </w:style>
  <w:style w:type="character" w:customStyle="1" w:styleId="57">
    <w:name w:val="正文缩进 Char"/>
    <w:link w:val="12"/>
    <w:qFormat/>
    <w:uiPriority w:val="0"/>
    <w:rPr>
      <w:kern w:val="2"/>
      <w:sz w:val="21"/>
      <w:szCs w:val="24"/>
    </w:rPr>
  </w:style>
  <w:style w:type="character" w:customStyle="1" w:styleId="58">
    <w:name w:val="文档结构图 Char"/>
    <w:link w:val="13"/>
    <w:qFormat/>
    <w:uiPriority w:val="99"/>
    <w:rPr>
      <w:rFonts w:ascii="宋体"/>
      <w:kern w:val="2"/>
      <w:sz w:val="18"/>
      <w:szCs w:val="18"/>
    </w:rPr>
  </w:style>
  <w:style w:type="character" w:customStyle="1" w:styleId="59">
    <w:name w:val="正文文本缩进 Char2"/>
    <w:basedOn w:val="41"/>
    <w:link w:val="17"/>
    <w:qFormat/>
    <w:uiPriority w:val="0"/>
    <w:rPr>
      <w:kern w:val="2"/>
      <w:sz w:val="32"/>
    </w:rPr>
  </w:style>
  <w:style w:type="character" w:customStyle="1" w:styleId="60">
    <w:name w:val="批注框文本 Char"/>
    <w:link w:val="24"/>
    <w:qFormat/>
    <w:uiPriority w:val="99"/>
    <w:rPr>
      <w:kern w:val="2"/>
      <w:sz w:val="18"/>
      <w:szCs w:val="18"/>
    </w:rPr>
  </w:style>
  <w:style w:type="character" w:customStyle="1" w:styleId="61">
    <w:name w:val="页脚 Char"/>
    <w:basedOn w:val="41"/>
    <w:link w:val="25"/>
    <w:qFormat/>
    <w:uiPriority w:val="0"/>
    <w:rPr>
      <w:kern w:val="2"/>
      <w:sz w:val="18"/>
    </w:rPr>
  </w:style>
  <w:style w:type="character" w:customStyle="1" w:styleId="62">
    <w:name w:val="页眉 Char"/>
    <w:basedOn w:val="41"/>
    <w:link w:val="26"/>
    <w:qFormat/>
    <w:uiPriority w:val="99"/>
    <w:rPr>
      <w:kern w:val="2"/>
      <w:sz w:val="18"/>
    </w:rPr>
  </w:style>
  <w:style w:type="character" w:customStyle="1" w:styleId="63">
    <w:name w:val="font91"/>
    <w:qFormat/>
    <w:uiPriority w:val="0"/>
    <w:rPr>
      <w:rFonts w:hint="eastAsia" w:ascii="宋体" w:hAnsi="宋体" w:eastAsia="宋体" w:cs="宋体"/>
      <w:color w:val="FF0000"/>
      <w:sz w:val="21"/>
      <w:szCs w:val="21"/>
      <w:u w:val="single"/>
    </w:rPr>
  </w:style>
  <w:style w:type="character" w:customStyle="1" w:styleId="64">
    <w:name w:val="font101"/>
    <w:qFormat/>
    <w:uiPriority w:val="0"/>
    <w:rPr>
      <w:rFonts w:hint="eastAsia" w:ascii="宋体" w:hAnsi="宋体" w:eastAsia="宋体" w:cs="宋体"/>
      <w:color w:val="000000"/>
      <w:sz w:val="21"/>
      <w:szCs w:val="21"/>
      <w:u w:val="single"/>
    </w:rPr>
  </w:style>
  <w:style w:type="character" w:customStyle="1" w:styleId="65">
    <w:name w:val="font111"/>
    <w:qFormat/>
    <w:uiPriority w:val="0"/>
    <w:rPr>
      <w:rFonts w:hint="default" w:ascii="Eʩ" w:hAnsi="Eʩ" w:eastAsia="Eʩ" w:cs="Eʩ"/>
      <w:color w:val="000000"/>
      <w:sz w:val="21"/>
      <w:szCs w:val="21"/>
      <w:u w:val="single"/>
    </w:rPr>
  </w:style>
  <w:style w:type="character" w:customStyle="1" w:styleId="66">
    <w:name w:val="font31"/>
    <w:qFormat/>
    <w:uiPriority w:val="0"/>
    <w:rPr>
      <w:rFonts w:hint="eastAsia" w:ascii="宋体" w:hAnsi="宋体" w:eastAsia="宋体" w:cs="宋体"/>
      <w:color w:val="000000"/>
      <w:sz w:val="21"/>
      <w:szCs w:val="21"/>
      <w:u w:val="none"/>
    </w:rPr>
  </w:style>
  <w:style w:type="paragraph" w:customStyle="1" w:styleId="6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paragraph" w:customStyle="1" w:styleId="69">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70">
    <w:name w:val="正文首行缩进两字符"/>
    <w:basedOn w:val="1"/>
    <w:link w:val="71"/>
    <w:qFormat/>
    <w:uiPriority w:val="99"/>
    <w:pPr>
      <w:spacing w:line="360" w:lineRule="auto"/>
      <w:ind w:firstLine="200" w:firstLineChars="200"/>
    </w:pPr>
  </w:style>
  <w:style w:type="character" w:customStyle="1" w:styleId="71">
    <w:name w:val="正文首行缩进两字符 Char"/>
    <w:link w:val="70"/>
    <w:qFormat/>
    <w:locked/>
    <w:uiPriority w:val="99"/>
    <w:rPr>
      <w:kern w:val="2"/>
      <w:sz w:val="21"/>
      <w:szCs w:val="24"/>
    </w:rPr>
  </w:style>
  <w:style w:type="character" w:customStyle="1" w:styleId="72">
    <w:name w:val="批注文字 Char1"/>
    <w:basedOn w:val="41"/>
    <w:qFormat/>
    <w:uiPriority w:val="99"/>
    <w:rPr>
      <w:rFonts w:ascii="Times New Roman" w:hAnsi="Times New Roman" w:eastAsia="宋体" w:cs="Times New Roman"/>
      <w:szCs w:val="24"/>
    </w:rPr>
  </w:style>
  <w:style w:type="character" w:customStyle="1" w:styleId="73">
    <w:name w:val="纯文本 Char"/>
    <w:link w:val="20"/>
    <w:qFormat/>
    <w:locked/>
    <w:uiPriority w:val="0"/>
    <w:rPr>
      <w:rFonts w:ascii="宋体" w:hAnsi="Courier New" w:cs="Courier New"/>
      <w:szCs w:val="21"/>
    </w:rPr>
  </w:style>
  <w:style w:type="character" w:customStyle="1" w:styleId="74">
    <w:name w:val="纯文本 Char1"/>
    <w:basedOn w:val="41"/>
    <w:qFormat/>
    <w:uiPriority w:val="0"/>
    <w:rPr>
      <w:rFonts w:ascii="宋体" w:hAnsi="Courier New" w:cs="Courier New"/>
      <w:kern w:val="2"/>
      <w:sz w:val="21"/>
      <w:szCs w:val="21"/>
    </w:rPr>
  </w:style>
  <w:style w:type="character" w:customStyle="1" w:styleId="75">
    <w:name w:val="标题 Char1"/>
    <w:qFormat/>
    <w:uiPriority w:val="0"/>
    <w:rPr>
      <w:rFonts w:ascii="Cambria" w:hAnsi="Cambria" w:cs="Times New Roman"/>
      <w:b/>
      <w:bCs/>
      <w:kern w:val="2"/>
      <w:sz w:val="32"/>
      <w:szCs w:val="32"/>
    </w:rPr>
  </w:style>
  <w:style w:type="character" w:customStyle="1" w:styleId="76">
    <w:name w:val="标题 Char"/>
    <w:link w:val="36"/>
    <w:qFormat/>
    <w:uiPriority w:val="10"/>
    <w:rPr>
      <w:rFonts w:ascii="Cambria" w:hAnsi="Cambria"/>
      <w:b/>
      <w:bCs/>
      <w:sz w:val="32"/>
      <w:szCs w:val="32"/>
    </w:rPr>
  </w:style>
  <w:style w:type="character" w:customStyle="1" w:styleId="77">
    <w:name w:val="正文文本缩进 Char"/>
    <w:qFormat/>
    <w:uiPriority w:val="0"/>
    <w:rPr>
      <w:sz w:val="32"/>
    </w:rPr>
  </w:style>
  <w:style w:type="character" w:customStyle="1" w:styleId="78">
    <w:name w:val="正文文本缩进 3 Char"/>
    <w:link w:val="32"/>
    <w:qFormat/>
    <w:uiPriority w:val="0"/>
    <w:rPr>
      <w:rFonts w:ascii="Times New Roman" w:hAnsi="Times New Roman"/>
      <w:sz w:val="16"/>
      <w:szCs w:val="16"/>
    </w:rPr>
  </w:style>
  <w:style w:type="character" w:customStyle="1" w:styleId="79">
    <w:name w:val="副标题 Char1"/>
    <w:qFormat/>
    <w:uiPriority w:val="0"/>
    <w:rPr>
      <w:rFonts w:ascii="Cambria" w:hAnsi="Cambria" w:cs="Times New Roman"/>
      <w:b/>
      <w:bCs/>
      <w:kern w:val="28"/>
      <w:sz w:val="32"/>
      <w:szCs w:val="32"/>
    </w:rPr>
  </w:style>
  <w:style w:type="character" w:customStyle="1" w:styleId="80">
    <w:name w:val="副标题 Char2"/>
    <w:qFormat/>
    <w:uiPriority w:val="0"/>
    <w:rPr>
      <w:rFonts w:ascii="Calibri Light" w:hAnsi="Calibri Light" w:cs="Times New Roman"/>
      <w:b/>
      <w:bCs/>
      <w:kern w:val="28"/>
      <w:sz w:val="32"/>
      <w:szCs w:val="32"/>
    </w:rPr>
  </w:style>
  <w:style w:type="character" w:customStyle="1" w:styleId="81">
    <w:name w:val="Table Text Char1"/>
    <w:link w:val="82"/>
    <w:qFormat/>
    <w:uiPriority w:val="0"/>
    <w:rPr>
      <w:rFonts w:ascii="Arial" w:hAnsi="Arial"/>
      <w:sz w:val="18"/>
    </w:rPr>
  </w:style>
  <w:style w:type="paragraph" w:customStyle="1" w:styleId="82">
    <w:name w:val="Table Text"/>
    <w:link w:val="81"/>
    <w:qFormat/>
    <w:uiPriority w:val="0"/>
    <w:pPr>
      <w:snapToGrid w:val="0"/>
      <w:spacing w:before="80" w:after="80"/>
    </w:pPr>
    <w:rPr>
      <w:rFonts w:ascii="Arial" w:hAnsi="Arial" w:eastAsia="宋体" w:cs="Times New Roman"/>
      <w:sz w:val="18"/>
      <w:lang w:val="en-US" w:eastAsia="zh-CN" w:bidi="ar-SA"/>
    </w:rPr>
  </w:style>
  <w:style w:type="character" w:customStyle="1" w:styleId="83">
    <w:name w:val="日期 Char"/>
    <w:link w:val="22"/>
    <w:qFormat/>
    <w:uiPriority w:val="0"/>
    <w:rPr>
      <w:szCs w:val="24"/>
    </w:rPr>
  </w:style>
  <w:style w:type="character" w:customStyle="1" w:styleId="84">
    <w:name w:val="正文文本 Char1"/>
    <w:qFormat/>
    <w:uiPriority w:val="0"/>
    <w:rPr>
      <w:kern w:val="2"/>
      <w:sz w:val="21"/>
      <w:szCs w:val="24"/>
    </w:rPr>
  </w:style>
  <w:style w:type="character" w:customStyle="1" w:styleId="85">
    <w:name w:val="参数表格 字符"/>
    <w:basedOn w:val="86"/>
    <w:link w:val="88"/>
    <w:qFormat/>
    <w:uiPriority w:val="0"/>
    <w:rPr>
      <w:rFonts w:ascii="宋体" w:hAnsi="宋体"/>
      <w:sz w:val="24"/>
      <w:szCs w:val="24"/>
    </w:rPr>
  </w:style>
  <w:style w:type="character" w:customStyle="1" w:styleId="86">
    <w:name w:val="参数正文 字符"/>
    <w:link w:val="87"/>
    <w:qFormat/>
    <w:uiPriority w:val="0"/>
    <w:rPr>
      <w:rFonts w:ascii="宋体" w:hAnsi="宋体"/>
      <w:sz w:val="24"/>
      <w:szCs w:val="24"/>
    </w:rPr>
  </w:style>
  <w:style w:type="paragraph" w:customStyle="1" w:styleId="87">
    <w:name w:val="参数正文"/>
    <w:basedOn w:val="1"/>
    <w:link w:val="86"/>
    <w:qFormat/>
    <w:uiPriority w:val="0"/>
    <w:pPr>
      <w:spacing w:after="0" w:line="360" w:lineRule="auto"/>
      <w:ind w:firstLine="480" w:firstLineChars="200"/>
      <w:jc w:val="left"/>
    </w:pPr>
    <w:rPr>
      <w:rFonts w:ascii="宋体" w:hAnsi="宋体"/>
      <w:kern w:val="0"/>
      <w:sz w:val="24"/>
    </w:rPr>
  </w:style>
  <w:style w:type="paragraph" w:customStyle="1" w:styleId="88">
    <w:name w:val="参数表格"/>
    <w:basedOn w:val="87"/>
    <w:link w:val="85"/>
    <w:qFormat/>
    <w:uiPriority w:val="0"/>
    <w:pPr>
      <w:ind w:firstLine="0" w:firstLineChars="0"/>
    </w:pPr>
  </w:style>
  <w:style w:type="character" w:customStyle="1" w:styleId="89">
    <w:name w:val="正文文本 Char2"/>
    <w:qFormat/>
    <w:uiPriority w:val="0"/>
    <w:rPr>
      <w:kern w:val="2"/>
      <w:sz w:val="21"/>
      <w:szCs w:val="24"/>
    </w:rPr>
  </w:style>
  <w:style w:type="character" w:customStyle="1" w:styleId="90">
    <w:name w:val="short_text"/>
    <w:qFormat/>
    <w:uiPriority w:val="0"/>
    <w:rPr>
      <w:rFonts w:cs="Times New Roman"/>
    </w:rPr>
  </w:style>
  <w:style w:type="character" w:customStyle="1" w:styleId="91">
    <w:name w:val="ask-title"/>
    <w:qFormat/>
    <w:uiPriority w:val="0"/>
  </w:style>
  <w:style w:type="character" w:customStyle="1" w:styleId="92">
    <w:name w:val="正文文本缩进 2 Char"/>
    <w:link w:val="23"/>
    <w:qFormat/>
    <w:uiPriority w:val="0"/>
    <w:rPr>
      <w:rFonts w:ascii="Times New Roman" w:hAnsi="Times New Roman"/>
      <w:szCs w:val="24"/>
    </w:rPr>
  </w:style>
  <w:style w:type="character" w:customStyle="1" w:styleId="93">
    <w:name w:val="正文文本缩进 3 Char1"/>
    <w:qFormat/>
    <w:uiPriority w:val="0"/>
    <w:rPr>
      <w:kern w:val="2"/>
      <w:sz w:val="16"/>
      <w:szCs w:val="16"/>
    </w:rPr>
  </w:style>
  <w:style w:type="character" w:customStyle="1" w:styleId="94">
    <w:name w:val="列表段落 字符"/>
    <w:link w:val="95"/>
    <w:qFormat/>
    <w:uiPriority w:val="34"/>
    <w:rPr>
      <w:rFonts w:ascii="宋体" w:hAnsi="宋体" w:cs="宋体"/>
      <w:sz w:val="24"/>
      <w:szCs w:val="24"/>
    </w:rPr>
  </w:style>
  <w:style w:type="paragraph" w:customStyle="1" w:styleId="95">
    <w:name w:val="列表段落1"/>
    <w:basedOn w:val="1"/>
    <w:link w:val="94"/>
    <w:qFormat/>
    <w:uiPriority w:val="34"/>
    <w:pPr>
      <w:widowControl/>
      <w:spacing w:after="0" w:line="240" w:lineRule="auto"/>
      <w:ind w:firstLine="420" w:firstLineChars="200"/>
      <w:jc w:val="left"/>
    </w:pPr>
    <w:rPr>
      <w:rFonts w:ascii="宋体" w:hAnsi="宋体" w:cs="宋体"/>
      <w:kern w:val="0"/>
      <w:sz w:val="24"/>
    </w:rPr>
  </w:style>
  <w:style w:type="character" w:customStyle="1" w:styleId="96">
    <w:name w:val="正文文本 Char"/>
    <w:link w:val="16"/>
    <w:qFormat/>
    <w:locked/>
    <w:uiPriority w:val="0"/>
    <w:rPr>
      <w:szCs w:val="24"/>
    </w:rPr>
  </w:style>
  <w:style w:type="character" w:customStyle="1" w:styleId="97">
    <w:name w:val="apple-converted-space"/>
    <w:qFormat/>
    <w:uiPriority w:val="0"/>
    <w:rPr>
      <w:rFonts w:ascii="Times New Roman" w:hAnsi="Times New Roman" w:eastAsia="宋体" w:cs="Times New Roman"/>
    </w:rPr>
  </w:style>
  <w:style w:type="character" w:customStyle="1" w:styleId="98">
    <w:name w:val="标题 Char2"/>
    <w:qFormat/>
    <w:uiPriority w:val="0"/>
    <w:rPr>
      <w:rFonts w:ascii="Calibri Light" w:hAnsi="Calibri Light" w:cs="Times New Roman"/>
      <w:b/>
      <w:bCs/>
      <w:kern w:val="2"/>
      <w:sz w:val="32"/>
      <w:szCs w:val="32"/>
    </w:rPr>
  </w:style>
  <w:style w:type="character" w:customStyle="1" w:styleId="99">
    <w:name w:val="表格正文"/>
    <w:qFormat/>
    <w:uiPriority w:val="0"/>
    <w:rPr>
      <w:rFonts w:ascii="Book Antiqua" w:hAnsi="Book Antiqua" w:eastAsia="仿宋_GB2312"/>
      <w:sz w:val="18"/>
    </w:rPr>
  </w:style>
  <w:style w:type="character" w:customStyle="1" w:styleId="100">
    <w:name w:val="批注文字 字符"/>
    <w:qFormat/>
    <w:uiPriority w:val="99"/>
    <w:rPr>
      <w:kern w:val="2"/>
      <w:sz w:val="21"/>
      <w:szCs w:val="24"/>
    </w:rPr>
  </w:style>
  <w:style w:type="character" w:customStyle="1" w:styleId="101">
    <w:name w:val="正文文本缩进 2 Char1"/>
    <w:qFormat/>
    <w:uiPriority w:val="0"/>
    <w:rPr>
      <w:kern w:val="2"/>
      <w:sz w:val="21"/>
      <w:szCs w:val="24"/>
    </w:rPr>
  </w:style>
  <w:style w:type="character" w:customStyle="1" w:styleId="102">
    <w:name w:val="副标题 Char"/>
    <w:link w:val="29"/>
    <w:qFormat/>
    <w:uiPriority w:val="11"/>
    <w:rPr>
      <w:rFonts w:ascii="Cambria" w:hAnsi="Cambria"/>
      <w:b/>
      <w:bCs/>
      <w:kern w:val="28"/>
      <w:sz w:val="32"/>
      <w:szCs w:val="32"/>
    </w:rPr>
  </w:style>
  <w:style w:type="character" w:customStyle="1" w:styleId="103">
    <w:name w:val="正文文本 3 Char"/>
    <w:link w:val="15"/>
    <w:qFormat/>
    <w:uiPriority w:val="0"/>
    <w:rPr>
      <w:rFonts w:ascii="Times New Roman" w:hAnsi="Times New Roman" w:eastAsia="黑体"/>
      <w:sz w:val="44"/>
      <w:szCs w:val="24"/>
    </w:rPr>
  </w:style>
  <w:style w:type="character" w:customStyle="1" w:styleId="104">
    <w:name w:val="样式1 Char"/>
    <w:link w:val="105"/>
    <w:qFormat/>
    <w:uiPriority w:val="0"/>
    <w:rPr>
      <w:rFonts w:ascii="宋体" w:hAnsi="宋体"/>
      <w:sz w:val="24"/>
      <w:szCs w:val="24"/>
    </w:rPr>
  </w:style>
  <w:style w:type="paragraph" w:customStyle="1" w:styleId="105">
    <w:name w:val="样式1"/>
    <w:basedOn w:val="1"/>
    <w:link w:val="104"/>
    <w:qFormat/>
    <w:uiPriority w:val="0"/>
    <w:pPr>
      <w:spacing w:after="0" w:line="500" w:lineRule="exact"/>
    </w:pPr>
    <w:rPr>
      <w:rFonts w:ascii="宋体" w:hAnsi="宋体"/>
      <w:kern w:val="0"/>
      <w:sz w:val="24"/>
    </w:rPr>
  </w:style>
  <w:style w:type="character" w:customStyle="1" w:styleId="106">
    <w:name w:val="日期 Char1"/>
    <w:qFormat/>
    <w:uiPriority w:val="0"/>
    <w:rPr>
      <w:kern w:val="2"/>
      <w:sz w:val="21"/>
      <w:szCs w:val="24"/>
    </w:rPr>
  </w:style>
  <w:style w:type="character" w:customStyle="1" w:styleId="107">
    <w:name w:val="正文文本 3 Char1"/>
    <w:qFormat/>
    <w:uiPriority w:val="0"/>
    <w:rPr>
      <w:kern w:val="2"/>
      <w:sz w:val="16"/>
      <w:szCs w:val="16"/>
    </w:rPr>
  </w:style>
  <w:style w:type="character" w:customStyle="1" w:styleId="108">
    <w:name w:val="正文首行缩进 2 Char"/>
    <w:link w:val="38"/>
    <w:qFormat/>
    <w:uiPriority w:val="0"/>
    <w:rPr>
      <w:szCs w:val="24"/>
    </w:rPr>
  </w:style>
  <w:style w:type="character" w:customStyle="1" w:styleId="109">
    <w:name w:val="（符号）邀请函中一、"/>
    <w:qFormat/>
    <w:uiPriority w:val="0"/>
    <w:rPr>
      <w:rFonts w:ascii="黑体" w:hAnsi="黑体" w:eastAsia="黑体" w:cs="Times New Roman"/>
      <w:b/>
      <w:bCs/>
      <w:sz w:val="24"/>
    </w:rPr>
  </w:style>
  <w:style w:type="character" w:customStyle="1" w:styleId="110">
    <w:name w:val="方案正文 Char"/>
    <w:link w:val="111"/>
    <w:qFormat/>
    <w:uiPriority w:val="0"/>
    <w:rPr>
      <w:rFonts w:ascii="华文细黑" w:hAnsi="华文细黑" w:eastAsia="华文细黑"/>
      <w:sz w:val="24"/>
      <w:szCs w:val="24"/>
    </w:rPr>
  </w:style>
  <w:style w:type="paragraph" w:customStyle="1" w:styleId="111">
    <w:name w:val="方案正文"/>
    <w:basedOn w:val="1"/>
    <w:link w:val="110"/>
    <w:qFormat/>
    <w:uiPriority w:val="0"/>
    <w:pPr>
      <w:spacing w:before="120" w:after="0" w:line="360" w:lineRule="auto"/>
      <w:ind w:firstLine="425" w:firstLineChars="177"/>
    </w:pPr>
    <w:rPr>
      <w:rFonts w:ascii="华文细黑" w:hAnsi="华文细黑" w:eastAsia="华文细黑"/>
      <w:kern w:val="0"/>
      <w:sz w:val="24"/>
    </w:rPr>
  </w:style>
  <w:style w:type="character" w:customStyle="1" w:styleId="112">
    <w:name w:val="批注主题 Char1"/>
    <w:basedOn w:val="72"/>
    <w:semiHidden/>
    <w:qFormat/>
    <w:uiPriority w:val="99"/>
    <w:rPr>
      <w:rFonts w:ascii="Calibri" w:hAnsi="Calibri" w:eastAsia="宋体" w:cs="Times New Roman"/>
      <w:b/>
      <w:bCs/>
      <w:szCs w:val="24"/>
    </w:rPr>
  </w:style>
  <w:style w:type="character" w:customStyle="1" w:styleId="113">
    <w:name w:val="文档结构图 Char1"/>
    <w:basedOn w:val="41"/>
    <w:semiHidden/>
    <w:qFormat/>
    <w:uiPriority w:val="99"/>
    <w:rPr>
      <w:rFonts w:ascii="宋体" w:hAnsi="Calibri" w:eastAsia="宋体" w:cs="Times New Roman"/>
      <w:sz w:val="18"/>
      <w:szCs w:val="18"/>
    </w:rPr>
  </w:style>
  <w:style w:type="character" w:customStyle="1" w:styleId="114">
    <w:name w:val="正文文本 3 Char2"/>
    <w:basedOn w:val="41"/>
    <w:semiHidden/>
    <w:qFormat/>
    <w:uiPriority w:val="99"/>
    <w:rPr>
      <w:kern w:val="2"/>
      <w:sz w:val="16"/>
      <w:szCs w:val="16"/>
    </w:rPr>
  </w:style>
  <w:style w:type="character" w:customStyle="1" w:styleId="115">
    <w:name w:val="正文文本 Char3"/>
    <w:basedOn w:val="41"/>
    <w:semiHidden/>
    <w:qFormat/>
    <w:uiPriority w:val="99"/>
    <w:rPr>
      <w:kern w:val="2"/>
      <w:sz w:val="21"/>
      <w:szCs w:val="24"/>
    </w:rPr>
  </w:style>
  <w:style w:type="character" w:customStyle="1" w:styleId="116">
    <w:name w:val="正文文本缩进 Char1"/>
    <w:basedOn w:val="41"/>
    <w:qFormat/>
    <w:uiPriority w:val="99"/>
    <w:rPr>
      <w:rFonts w:ascii="Calibri" w:hAnsi="Calibri" w:eastAsia="宋体" w:cs="Times New Roman"/>
      <w:szCs w:val="24"/>
    </w:rPr>
  </w:style>
  <w:style w:type="character" w:customStyle="1" w:styleId="117">
    <w:name w:val="正文文本缩进 3 Char2"/>
    <w:basedOn w:val="41"/>
    <w:semiHidden/>
    <w:qFormat/>
    <w:uiPriority w:val="99"/>
    <w:rPr>
      <w:kern w:val="2"/>
      <w:sz w:val="16"/>
      <w:szCs w:val="16"/>
    </w:rPr>
  </w:style>
  <w:style w:type="character" w:customStyle="1" w:styleId="118">
    <w:name w:val="正文文本缩进 2 Char2"/>
    <w:basedOn w:val="41"/>
    <w:semiHidden/>
    <w:qFormat/>
    <w:uiPriority w:val="99"/>
    <w:rPr>
      <w:kern w:val="2"/>
      <w:sz w:val="21"/>
      <w:szCs w:val="24"/>
    </w:rPr>
  </w:style>
  <w:style w:type="character" w:customStyle="1" w:styleId="119">
    <w:name w:val="纯文本 Char2"/>
    <w:basedOn w:val="41"/>
    <w:semiHidden/>
    <w:qFormat/>
    <w:uiPriority w:val="99"/>
    <w:rPr>
      <w:rFonts w:ascii="宋体" w:hAnsi="Courier New" w:eastAsia="宋体" w:cs="Courier New"/>
      <w:szCs w:val="21"/>
    </w:rPr>
  </w:style>
  <w:style w:type="character" w:customStyle="1" w:styleId="120">
    <w:name w:val="日期 Char2"/>
    <w:basedOn w:val="41"/>
    <w:qFormat/>
    <w:uiPriority w:val="99"/>
    <w:rPr>
      <w:kern w:val="2"/>
      <w:sz w:val="21"/>
      <w:szCs w:val="24"/>
    </w:rPr>
  </w:style>
  <w:style w:type="character" w:customStyle="1" w:styleId="121">
    <w:name w:val="正文首行缩进 2 Char1"/>
    <w:basedOn w:val="59"/>
    <w:semiHidden/>
    <w:qFormat/>
    <w:uiPriority w:val="99"/>
    <w:rPr>
      <w:kern w:val="2"/>
      <w:sz w:val="21"/>
      <w:szCs w:val="24"/>
    </w:rPr>
  </w:style>
  <w:style w:type="character" w:customStyle="1" w:styleId="122">
    <w:name w:val="标题 Char3"/>
    <w:basedOn w:val="41"/>
    <w:qFormat/>
    <w:uiPriority w:val="10"/>
    <w:rPr>
      <w:rFonts w:asciiTheme="majorHAnsi" w:hAnsiTheme="majorHAnsi" w:cstheme="majorBidi"/>
      <w:b/>
      <w:bCs/>
      <w:kern w:val="2"/>
      <w:sz w:val="32"/>
      <w:szCs w:val="32"/>
    </w:rPr>
  </w:style>
  <w:style w:type="character" w:customStyle="1" w:styleId="123">
    <w:name w:val="批注框文本 Char1"/>
    <w:basedOn w:val="41"/>
    <w:semiHidden/>
    <w:qFormat/>
    <w:uiPriority w:val="99"/>
    <w:rPr>
      <w:rFonts w:ascii="Calibri" w:hAnsi="Calibri" w:eastAsia="宋体" w:cs="Times New Roman"/>
      <w:sz w:val="18"/>
      <w:szCs w:val="18"/>
    </w:rPr>
  </w:style>
  <w:style w:type="character" w:customStyle="1" w:styleId="124">
    <w:name w:val="副标题 Char3"/>
    <w:basedOn w:val="41"/>
    <w:qFormat/>
    <w:uiPriority w:val="11"/>
    <w:rPr>
      <w:rFonts w:asciiTheme="majorHAnsi" w:hAnsiTheme="majorHAnsi" w:cstheme="majorBidi"/>
      <w:b/>
      <w:bCs/>
      <w:kern w:val="28"/>
      <w:sz w:val="32"/>
      <w:szCs w:val="32"/>
    </w:rPr>
  </w:style>
  <w:style w:type="paragraph" w:customStyle="1" w:styleId="125">
    <w:name w:val="Char Char1 Char"/>
    <w:basedOn w:val="1"/>
    <w:qFormat/>
    <w:uiPriority w:val="0"/>
    <w:pPr>
      <w:spacing w:after="0" w:line="240" w:lineRule="auto"/>
    </w:pPr>
    <w:rPr>
      <w:rFonts w:ascii="Times New Roman" w:hAnsi="Times New Roman"/>
    </w:rPr>
  </w:style>
  <w:style w:type="paragraph" w:customStyle="1" w:styleId="126">
    <w:name w:val="列出段落1"/>
    <w:basedOn w:val="1"/>
    <w:qFormat/>
    <w:uiPriority w:val="0"/>
    <w:pPr>
      <w:spacing w:after="0" w:line="240" w:lineRule="auto"/>
      <w:ind w:firstLine="420" w:firstLineChars="200"/>
    </w:pPr>
    <w:rPr>
      <w:rFonts w:ascii="Times New Roman" w:hAnsi="Times New Roman"/>
      <w:szCs w:val="21"/>
    </w:rPr>
  </w:style>
  <w:style w:type="paragraph" w:customStyle="1" w:styleId="127">
    <w:name w:val="_Style 6"/>
    <w:basedOn w:val="1"/>
    <w:qFormat/>
    <w:uiPriority w:val="0"/>
    <w:pPr>
      <w:widowControl/>
      <w:spacing w:line="240" w:lineRule="exact"/>
      <w:ind w:left="-62" w:right="36" w:rightChars="15"/>
      <w:jc w:val="left"/>
    </w:pPr>
    <w:rPr>
      <w:rFonts w:ascii="Arial" w:hAnsi="Arial" w:eastAsia="Times New Roman"/>
      <w:kern w:val="0"/>
      <w:sz w:val="20"/>
      <w:lang w:eastAsia="en-US"/>
    </w:rPr>
  </w:style>
  <w:style w:type="paragraph" w:customStyle="1" w:styleId="128">
    <w:name w:val="p15"/>
    <w:basedOn w:val="1"/>
    <w:qFormat/>
    <w:uiPriority w:val="0"/>
    <w:pPr>
      <w:widowControl/>
      <w:spacing w:after="0" w:line="240" w:lineRule="auto"/>
    </w:pPr>
    <w:rPr>
      <w:rFonts w:cs="宋体"/>
      <w:kern w:val="0"/>
      <w:szCs w:val="21"/>
    </w:rPr>
  </w:style>
  <w:style w:type="paragraph" w:customStyle="1" w:styleId="129">
    <w:name w:val="Char Char Char Char Char Char"/>
    <w:basedOn w:val="1"/>
    <w:qFormat/>
    <w:uiPriority w:val="0"/>
    <w:pPr>
      <w:widowControl/>
      <w:spacing w:line="240" w:lineRule="exact"/>
      <w:ind w:left="-62" w:right="36" w:rightChars="15"/>
      <w:jc w:val="left"/>
    </w:pPr>
    <w:rPr>
      <w:rFonts w:ascii="Arial" w:hAnsi="Arial" w:eastAsia="Times New Roman"/>
      <w:kern w:val="0"/>
      <w:sz w:val="20"/>
      <w:szCs w:val="20"/>
      <w:lang w:eastAsia="en-US"/>
    </w:rPr>
  </w:style>
  <w:style w:type="paragraph" w:customStyle="1" w:styleId="130">
    <w:name w:val="_Style 2"/>
    <w:basedOn w:val="1"/>
    <w:qFormat/>
    <w:uiPriority w:val="99"/>
    <w:pPr>
      <w:spacing w:after="0" w:line="240" w:lineRule="auto"/>
      <w:ind w:firstLine="420" w:firstLineChars="200"/>
    </w:pPr>
    <w:rPr>
      <w:rFonts w:ascii="Times New Roman" w:hAnsi="Times New Roman"/>
      <w:sz w:val="18"/>
      <w:szCs w:val="18"/>
    </w:rPr>
  </w:style>
  <w:style w:type="paragraph" w:customStyle="1" w:styleId="131">
    <w:name w:val="表格"/>
    <w:basedOn w:val="1"/>
    <w:qFormat/>
    <w:uiPriority w:val="0"/>
    <w:pPr>
      <w:spacing w:after="0" w:line="400" w:lineRule="exact"/>
    </w:pPr>
    <w:rPr>
      <w:rFonts w:ascii="Times New Roman" w:hAnsi="Times New Roman"/>
      <w:sz w:val="24"/>
    </w:rPr>
  </w:style>
  <w:style w:type="paragraph" w:customStyle="1" w:styleId="132">
    <w:name w:val="列出段落2"/>
    <w:basedOn w:val="1"/>
    <w:qFormat/>
    <w:uiPriority w:val="0"/>
    <w:pPr>
      <w:spacing w:after="0" w:line="240" w:lineRule="auto"/>
      <w:ind w:firstLine="420" w:firstLineChars="200"/>
    </w:pPr>
    <w:rPr>
      <w:szCs w:val="22"/>
    </w:rPr>
  </w:style>
  <w:style w:type="paragraph" w:customStyle="1" w:styleId="133">
    <w:name w:val="列出段落3"/>
    <w:basedOn w:val="1"/>
    <w:qFormat/>
    <w:uiPriority w:val="0"/>
    <w:pPr>
      <w:spacing w:after="0" w:line="240" w:lineRule="auto"/>
      <w:ind w:firstLine="420" w:firstLineChars="200"/>
    </w:pPr>
    <w:rPr>
      <w:rFonts w:ascii="Times New Roman" w:hAnsi="Times New Roman"/>
    </w:rPr>
  </w:style>
  <w:style w:type="paragraph" w:customStyle="1" w:styleId="134">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35">
    <w:name w:val="Default"/>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customStyle="1" w:styleId="136">
    <w:name w:val="列表（编号一级）（绿盟科技）"/>
    <w:basedOn w:val="1"/>
    <w:qFormat/>
    <w:uiPriority w:val="0"/>
    <w:pPr>
      <w:widowControl/>
      <w:spacing w:beforeLines="25" w:after="0" w:line="300" w:lineRule="auto"/>
      <w:ind w:left="840"/>
      <w:jc w:val="left"/>
    </w:pPr>
    <w:rPr>
      <w:rFonts w:ascii="Arial" w:hAnsi="Arial"/>
      <w:kern w:val="0"/>
      <w:szCs w:val="21"/>
    </w:rPr>
  </w:style>
  <w:style w:type="paragraph" w:customStyle="1" w:styleId="137">
    <w:name w:val="0"/>
    <w:basedOn w:val="1"/>
    <w:qFormat/>
    <w:uiPriority w:val="0"/>
    <w:pPr>
      <w:widowControl/>
      <w:snapToGrid w:val="0"/>
      <w:spacing w:after="0" w:line="240" w:lineRule="auto"/>
    </w:pPr>
    <w:rPr>
      <w:rFonts w:ascii="Times New Roman" w:hAnsi="Times New Roman"/>
      <w:szCs w:val="21"/>
    </w:rPr>
  </w:style>
  <w:style w:type="paragraph" w:customStyle="1" w:styleId="138">
    <w:name w:val="p0"/>
    <w:basedOn w:val="1"/>
    <w:qFormat/>
    <w:uiPriority w:val="0"/>
    <w:pPr>
      <w:widowControl/>
      <w:spacing w:after="0" w:line="240" w:lineRule="auto"/>
    </w:pPr>
    <w:rPr>
      <w:rFonts w:ascii="Times New Roman" w:hAnsi="Times New Roman"/>
      <w:kern w:val="0"/>
      <w:szCs w:val="20"/>
    </w:rPr>
  </w:style>
  <w:style w:type="paragraph" w:customStyle="1" w:styleId="139">
    <w:name w:val="bullet"/>
    <w:basedOn w:val="1"/>
    <w:qFormat/>
    <w:uiPriority w:val="0"/>
    <w:pPr>
      <w:tabs>
        <w:tab w:val="left" w:pos="720"/>
      </w:tabs>
      <w:spacing w:after="0" w:line="240" w:lineRule="auto"/>
    </w:pPr>
    <w:rPr>
      <w:rFonts w:ascii="Times New Roman" w:hAnsi="Times New Roman"/>
    </w:rPr>
  </w:style>
  <w:style w:type="paragraph" w:customStyle="1" w:styleId="140">
    <w:name w:val="List Paragraph1"/>
    <w:basedOn w:val="1"/>
    <w:qFormat/>
    <w:uiPriority w:val="0"/>
    <w:pPr>
      <w:spacing w:after="0" w:line="240" w:lineRule="auto"/>
      <w:ind w:firstLine="420" w:firstLineChars="200"/>
    </w:pPr>
    <w:rPr>
      <w:szCs w:val="22"/>
    </w:rPr>
  </w:style>
  <w:style w:type="paragraph" w:customStyle="1" w:styleId="141">
    <w:name w:val="_Style 1"/>
    <w:basedOn w:val="1"/>
    <w:qFormat/>
    <w:uiPriority w:val="0"/>
    <w:pPr>
      <w:spacing w:after="0" w:line="240" w:lineRule="auto"/>
      <w:ind w:firstLine="420" w:firstLineChars="200"/>
    </w:pPr>
    <w:rPr>
      <w:rFonts w:ascii="Times New Roman" w:hAnsi="Times New Roman"/>
      <w:sz w:val="18"/>
      <w:szCs w:val="18"/>
    </w:rPr>
  </w:style>
  <w:style w:type="paragraph" w:customStyle="1" w:styleId="142">
    <w:name w:val="列表（编号二级）（绿盟科技）"/>
    <w:basedOn w:val="136"/>
    <w:qFormat/>
    <w:uiPriority w:val="0"/>
    <w:pPr>
      <w:tabs>
        <w:tab w:val="left" w:pos="1440"/>
      </w:tabs>
      <w:spacing w:beforeLines="0"/>
      <w:ind w:left="1260" w:hanging="360"/>
    </w:pPr>
  </w:style>
  <w:style w:type="paragraph" w:customStyle="1" w:styleId="143">
    <w:name w:val="Char1 Char Char Char Char Char Char"/>
    <w:basedOn w:val="1"/>
    <w:qFormat/>
    <w:uiPriority w:val="0"/>
    <w:pPr>
      <w:spacing w:after="0" w:line="240" w:lineRule="auto"/>
    </w:pPr>
    <w:rPr>
      <w:rFonts w:ascii="Tahoma" w:hAnsi="Tahoma"/>
      <w:sz w:val="24"/>
      <w:szCs w:val="20"/>
    </w:rPr>
  </w:style>
  <w:style w:type="paragraph" w:customStyle="1" w:styleId="144">
    <w:name w:val="正常"/>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145">
    <w:name w:val="修订1"/>
    <w:qFormat/>
    <w:uiPriority w:val="99"/>
    <w:rPr>
      <w:rFonts w:ascii="Times New Roman" w:hAnsi="Times New Roman" w:eastAsia="宋体" w:cs="Times New Roman"/>
      <w:kern w:val="2"/>
      <w:sz w:val="21"/>
      <w:szCs w:val="24"/>
      <w:lang w:val="en-US" w:eastAsia="zh-CN" w:bidi="ar-SA"/>
    </w:rPr>
  </w:style>
  <w:style w:type="table" w:customStyle="1" w:styleId="146">
    <w:name w:val="浅色底纹 - 强调文字颜色 11"/>
    <w:basedOn w:val="39"/>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47">
    <w:name w:val="列出段落 字符"/>
    <w:qFormat/>
    <w:uiPriority w:val="34"/>
    <w:rPr>
      <w:rFonts w:ascii="宋体" w:hAnsi="宋体" w:cs="宋体"/>
      <w:sz w:val="24"/>
      <w:szCs w:val="24"/>
    </w:rPr>
  </w:style>
  <w:style w:type="character" w:customStyle="1" w:styleId="148">
    <w:name w:val="列出段落 Char1"/>
    <w:qFormat/>
    <w:uiPriority w:val="34"/>
    <w:rPr>
      <w:rFonts w:ascii="宋体" w:hAnsi="宋体" w:cs="宋体"/>
      <w:sz w:val="24"/>
      <w:szCs w:val="24"/>
    </w:rPr>
  </w:style>
  <w:style w:type="character" w:customStyle="1" w:styleId="149">
    <w:name w:val="批注文字 Char2"/>
    <w:qFormat/>
    <w:uiPriority w:val="0"/>
    <w:rPr>
      <w:kern w:val="2"/>
      <w:sz w:val="21"/>
      <w:szCs w:val="24"/>
    </w:rPr>
  </w:style>
  <w:style w:type="paragraph" w:customStyle="1" w:styleId="150">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51">
    <w:name w:val="样式 标题 1 + (中文) 宋体"/>
    <w:basedOn w:val="2"/>
    <w:qFormat/>
    <w:uiPriority w:val="0"/>
    <w:pPr>
      <w:widowControl/>
      <w:spacing w:before="400" w:after="40" w:line="240" w:lineRule="auto"/>
      <w:ind w:left="432" w:hanging="432"/>
      <w:jc w:val="left"/>
    </w:pPr>
    <w:rPr>
      <w:rFonts w:ascii="Cambria" w:hAnsi="Cambria" w:eastAsia="黑体"/>
      <w:b w:val="0"/>
      <w:bCs w:val="0"/>
      <w:color w:val="244061"/>
      <w:kern w:val="0"/>
      <w:sz w:val="36"/>
      <w:szCs w:val="36"/>
      <w:lang w:eastAsia="en-US"/>
    </w:rPr>
  </w:style>
  <w:style w:type="character" w:customStyle="1" w:styleId="152">
    <w:name w:val="author-3563653"/>
    <w:basedOn w:val="41"/>
    <w:qFormat/>
    <w:uiPriority w:val="0"/>
  </w:style>
  <w:style w:type="character" w:customStyle="1" w:styleId="153">
    <w:name w:val="彩色底纹 - 着色 3 字符"/>
    <w:link w:val="154"/>
    <w:qFormat/>
    <w:uiPriority w:val="99"/>
    <w:rPr>
      <w:rFonts w:ascii="宋体" w:hAnsi="宋体" w:cs="宋体"/>
      <w:sz w:val="24"/>
      <w:szCs w:val="24"/>
    </w:rPr>
  </w:style>
  <w:style w:type="paragraph" w:customStyle="1" w:styleId="154">
    <w:name w:val="彩色底纹 - 着色 31"/>
    <w:basedOn w:val="1"/>
    <w:link w:val="153"/>
    <w:qFormat/>
    <w:uiPriority w:val="99"/>
    <w:pPr>
      <w:widowControl/>
      <w:spacing w:after="0" w:line="240" w:lineRule="auto"/>
      <w:ind w:firstLine="420" w:firstLineChars="200"/>
      <w:jc w:val="left"/>
    </w:pPr>
    <w:rPr>
      <w:rFonts w:ascii="宋体" w:hAnsi="宋体" w:cs="宋体"/>
      <w:kern w:val="0"/>
      <w:sz w:val="24"/>
    </w:rPr>
  </w:style>
  <w:style w:type="character" w:customStyle="1" w:styleId="155">
    <w:name w:val="批注文字 字符1"/>
    <w:qFormat/>
    <w:locked/>
    <w:uiPriority w:val="99"/>
    <w:rPr>
      <w:rFonts w:ascii="Times New Roman" w:hAnsi="Times New Roman" w:eastAsia="宋体" w:cs="Times New Roman"/>
      <w:szCs w:val="20"/>
    </w:rPr>
  </w:style>
  <w:style w:type="paragraph" w:customStyle="1" w:styleId="156">
    <w:name w:val="修订1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1"/>
    <w:basedOn w:val="41"/>
    <w:unhideWhenUsed/>
    <w:qFormat/>
    <w:uiPriority w:val="99"/>
    <w:rPr>
      <w:color w:val="808080"/>
      <w:shd w:val="clear" w:color="auto" w:fill="E6E6E6"/>
    </w:rPr>
  </w:style>
  <w:style w:type="paragraph" w:customStyle="1" w:styleId="158">
    <w:name w:val="列出段落4"/>
    <w:basedOn w:val="1"/>
    <w:qFormat/>
    <w:uiPriority w:val="34"/>
    <w:pPr>
      <w:spacing w:after="0" w:line="240" w:lineRule="auto"/>
      <w:ind w:firstLine="420" w:firstLineChars="200"/>
    </w:pPr>
    <w:rPr>
      <w:szCs w:val="22"/>
    </w:rPr>
  </w:style>
  <w:style w:type="paragraph" w:customStyle="1" w:styleId="159">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60">
    <w:name w:val="标题 1 字符"/>
    <w:qFormat/>
    <w:uiPriority w:val="9"/>
    <w:rPr>
      <w:b/>
      <w:bCs/>
      <w:kern w:val="44"/>
      <w:sz w:val="44"/>
      <w:szCs w:val="44"/>
    </w:rPr>
  </w:style>
  <w:style w:type="character" w:customStyle="1" w:styleId="161">
    <w:name w:val="h5-1 Char"/>
    <w:link w:val="162"/>
    <w:qFormat/>
    <w:uiPriority w:val="0"/>
    <w:rPr>
      <w:rFonts w:ascii="Arial" w:hAnsi="Arial" w:eastAsia="仿宋_GB2312" w:cs="Arial"/>
      <w:b/>
      <w:bCs/>
      <w:kern w:val="2"/>
      <w:sz w:val="24"/>
      <w:szCs w:val="28"/>
    </w:rPr>
  </w:style>
  <w:style w:type="paragraph" w:customStyle="1" w:styleId="162">
    <w:name w:val="h5-1"/>
    <w:basedOn w:val="6"/>
    <w:link w:val="161"/>
    <w:qFormat/>
    <w:uiPriority w:val="0"/>
    <w:pPr>
      <w:numPr>
        <w:ilvl w:val="0"/>
        <w:numId w:val="1"/>
      </w:numPr>
      <w:adjustRightInd w:val="0"/>
      <w:snapToGrid w:val="0"/>
      <w:spacing w:before="80" w:after="80" w:line="360" w:lineRule="auto"/>
      <w:ind w:left="200" w:leftChars="200"/>
    </w:pPr>
    <w:rPr>
      <w:rFonts w:ascii="Arial" w:hAnsi="Arial" w:eastAsia="仿宋_GB2312" w:cs="Arial"/>
      <w:sz w:val="24"/>
    </w:rPr>
  </w:style>
  <w:style w:type="character" w:customStyle="1" w:styleId="163">
    <w:name w:val="批注文字 Char"/>
    <w:qFormat/>
    <w:uiPriority w:val="99"/>
    <w:rPr>
      <w:kern w:val="2"/>
      <w:sz w:val="21"/>
    </w:rPr>
  </w:style>
  <w:style w:type="character" w:customStyle="1" w:styleId="164">
    <w:name w:val="font01"/>
    <w:basedOn w:val="41"/>
    <w:qFormat/>
    <w:uiPriority w:val="0"/>
    <w:rPr>
      <w:rFonts w:hint="eastAsia" w:ascii="宋体" w:hAnsi="宋体" w:eastAsia="宋体" w:cs="宋体"/>
      <w:color w:val="000000"/>
      <w:sz w:val="24"/>
      <w:szCs w:val="24"/>
      <w:u w:val="none"/>
    </w:rPr>
  </w:style>
  <w:style w:type="character" w:customStyle="1" w:styleId="165">
    <w:name w:val="font11"/>
    <w:basedOn w:val="41"/>
    <w:qFormat/>
    <w:uiPriority w:val="0"/>
    <w:rPr>
      <w:rFonts w:hint="eastAsia" w:ascii="宋体" w:hAnsi="宋体" w:eastAsia="宋体" w:cs="宋体"/>
      <w:color w:val="000000"/>
      <w:sz w:val="20"/>
      <w:szCs w:val="20"/>
      <w:u w:val="none"/>
    </w:rPr>
  </w:style>
  <w:style w:type="character" w:customStyle="1" w:styleId="166">
    <w:name w:val="font81"/>
    <w:basedOn w:val="41"/>
    <w:qFormat/>
    <w:uiPriority w:val="0"/>
    <w:rPr>
      <w:rFonts w:ascii="Calibri" w:hAnsi="Calibri" w:cs="Calibri"/>
      <w:color w:val="000000"/>
      <w:sz w:val="20"/>
      <w:szCs w:val="20"/>
      <w:u w:val="none"/>
    </w:rPr>
  </w:style>
  <w:style w:type="paragraph" w:customStyle="1" w:styleId="167">
    <w:name w:val="修订2"/>
    <w:hidden/>
    <w:semiHidden/>
    <w:qFormat/>
    <w:uiPriority w:val="99"/>
    <w:rPr>
      <w:rFonts w:ascii="Calibri" w:hAnsi="Calibri" w:eastAsia="宋体" w:cs="Times New Roman"/>
      <w:kern w:val="2"/>
      <w:sz w:val="21"/>
      <w:szCs w:val="24"/>
      <w:lang w:val="en-US" w:eastAsia="zh-CN" w:bidi="ar-SA"/>
    </w:rPr>
  </w:style>
  <w:style w:type="character" w:customStyle="1" w:styleId="168">
    <w:name w:val="列出段落 Char"/>
    <w:link w:val="169"/>
    <w:qFormat/>
    <w:uiPriority w:val="34"/>
    <w:rPr>
      <w:rFonts w:ascii="宋体" w:hAnsi="宋体" w:cs="宋体"/>
      <w:sz w:val="24"/>
      <w:szCs w:val="24"/>
    </w:rPr>
  </w:style>
  <w:style w:type="paragraph" w:styleId="169">
    <w:name w:val="List Paragraph"/>
    <w:basedOn w:val="1"/>
    <w:link w:val="168"/>
    <w:qFormat/>
    <w:uiPriority w:val="34"/>
    <w:pPr>
      <w:widowControl/>
      <w:spacing w:after="0" w:line="240" w:lineRule="auto"/>
      <w:ind w:firstLine="420" w:firstLineChars="200"/>
      <w:jc w:val="left"/>
    </w:pPr>
    <w:rPr>
      <w:rFonts w:ascii="宋体" w:hAnsi="宋体" w:cs="宋体"/>
      <w:kern w:val="0"/>
      <w:sz w:val="24"/>
    </w:rPr>
  </w:style>
  <w:style w:type="character" w:customStyle="1" w:styleId="170">
    <w:name w:val="UserStyle_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D53F0-FAE3-4FDE-8C6B-A173D69BB231}">
  <ds:schemaRefs/>
</ds:datastoreItem>
</file>

<file path=customXml/itemProps3.xml><?xml version="1.0" encoding="utf-8"?>
<ds:datastoreItem xmlns:ds="http://schemas.openxmlformats.org/officeDocument/2006/customXml" ds:itemID="{E169C578-4E32-4660-8D0B-395235EDC0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5068</Words>
  <Characters>28889</Characters>
  <Lines>240</Lines>
  <Paragraphs>67</Paragraphs>
  <TotalTime>0</TotalTime>
  <ScaleCrop>false</ScaleCrop>
  <LinksUpToDate>false</LinksUpToDate>
  <CharactersWithSpaces>33890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2018-05-24T02:38:00Z</dcterms:created>
  <dc:creator>s</dc:creator>
  <cp:lastModifiedBy>Administrator</cp:lastModifiedBy>
  <cp:lastPrinted>2020-08-04T00:21:00Z</cp:lastPrinted>
  <dcterms:modified xsi:type="dcterms:W3CDTF">2020-11-23T06:04:28Z</dcterms:modified>
  <dc:title>招标编号：xxxx [xxxx] xx号</dc:title>
  <cp:revision>1593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